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21A29">
      <w:pPr>
        <w:pStyle w:val="12"/>
        <w:snapToGrid w:val="0"/>
        <w:spacing w:before="1050" w:after="0"/>
      </w:pPr>
    </w:p>
    <w:p w14:paraId="6AF78C2F">
      <w:pPr>
        <w:pStyle w:val="8"/>
        <w:snapToGrid w:val="0"/>
        <w:jc w:val="center"/>
      </w:pPr>
      <w:r>
        <w:rPr>
          <w:rFonts w:ascii="黑体" w:hAnsi="黑体" w:eastAsia="黑体" w:cs="黑体"/>
          <w:b/>
          <w:color w:val="000000"/>
        </w:rPr>
        <w:t>中粮生物科技（太仓）股份有限公司</w:t>
      </w:r>
    </w:p>
    <w:p w14:paraId="5626795E">
      <w:pPr>
        <w:pStyle w:val="8"/>
        <w:snapToGrid w:val="0"/>
        <w:jc w:val="center"/>
        <w:rPr>
          <w:rFonts w:ascii="黑体" w:hAnsi="黑体" w:eastAsia="黑体" w:cs="黑体"/>
          <w:b/>
          <w:color w:val="000000"/>
        </w:rPr>
      </w:pPr>
      <w:r>
        <w:rPr>
          <w:rFonts w:ascii="黑体" w:hAnsi="黑体" w:eastAsia="黑体" w:cs="黑体"/>
          <w:b/>
          <w:color w:val="000000"/>
        </w:rPr>
        <w:t>新建55万吨／年淀粉糖项目</w:t>
      </w:r>
    </w:p>
    <w:p w14:paraId="4DA6F619"/>
    <w:p w14:paraId="71E2D4B4">
      <w:pPr>
        <w:pStyle w:val="8"/>
        <w:snapToGrid w:val="0"/>
        <w:spacing w:before="500"/>
        <w:jc w:val="center"/>
      </w:pPr>
      <w:r>
        <w:rPr>
          <w:rFonts w:ascii="黑体" w:hAnsi="黑体" w:eastAsia="黑体" w:cs="黑体"/>
          <w:b/>
          <w:color w:val="000000"/>
        </w:rPr>
        <w:t>AI</w:t>
      </w:r>
      <w:r>
        <w:rPr>
          <w:rFonts w:hint="eastAsia" w:ascii="黑体" w:hAnsi="黑体" w:eastAsia="黑体" w:cs="黑体"/>
          <w:b/>
          <w:color w:val="000000"/>
          <w:lang w:val="en-US" w:eastAsia="zh-CN"/>
        </w:rPr>
        <w:t>优化平台</w:t>
      </w:r>
      <w:r>
        <w:rPr>
          <w:rFonts w:ascii="黑体" w:hAnsi="黑体" w:eastAsia="黑体" w:cs="黑体"/>
          <w:b/>
          <w:color w:val="000000"/>
        </w:rPr>
        <w:t>综合业务蓝图</w:t>
      </w:r>
    </w:p>
    <w:p w14:paraId="46531728">
      <w:pPr>
        <w:pStyle w:val="12"/>
        <w:snapToGrid w:val="0"/>
        <w:spacing w:after="25"/>
      </w:pPr>
    </w:p>
    <w:p w14:paraId="33EAC1CF">
      <w:pPr>
        <w:spacing w:before="0" w:after="500"/>
        <w:jc w:val="center"/>
        <w:rPr>
          <w:rFonts w:ascii="宋体" w:hAnsi="宋体" w:eastAsia="宋体"/>
          <w:b w:val="0"/>
          <w:sz w:val="32"/>
        </w:rPr>
      </w:pPr>
    </w:p>
    <w:p w14:paraId="2940E13C">
      <w:pPr>
        <w:spacing w:before="0" w:after="1200"/>
        <w:jc w:val="center"/>
        <w:rPr>
          <w:rFonts w:ascii="宋体" w:hAnsi="宋体" w:eastAsia="宋体"/>
          <w:b w:val="0"/>
          <w:sz w:val="32"/>
        </w:rPr>
      </w:pPr>
    </w:p>
    <w:p w14:paraId="3E8D196C">
      <w:pPr>
        <w:spacing w:before="0" w:after="1200"/>
        <w:jc w:val="both"/>
        <w:rPr>
          <w:rFonts w:ascii="宋体" w:hAnsi="宋体" w:eastAsia="宋体"/>
          <w:b w:val="0"/>
          <w:sz w:val="32"/>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4252"/>
      </w:tblGrid>
      <w:tr w14:paraId="263BF38C">
        <w:trPr>
          <w:jc w:val="center"/>
        </w:trPr>
        <w:tc>
          <w:tcPr>
            <w:tcW w:w="2551" w:type="dxa"/>
          </w:tcPr>
          <w:p w14:paraId="0EDA3341">
            <w:pPr>
              <w:spacing w:after="40"/>
              <w:jc w:val="center"/>
            </w:pPr>
            <w:r>
              <w:rPr>
                <w:rFonts w:ascii="宋体" w:hAnsi="宋体" w:eastAsia="宋体"/>
                <w:sz w:val="22"/>
              </w:rPr>
              <w:t>版　本　号</w:t>
            </w:r>
          </w:p>
        </w:tc>
        <w:tc>
          <w:tcPr>
            <w:tcW w:w="4252" w:type="dxa"/>
          </w:tcPr>
          <w:p w14:paraId="29CC06C2">
            <w:pPr>
              <w:spacing w:after="40"/>
              <w:jc w:val="center"/>
            </w:pPr>
            <w:r>
              <w:rPr>
                <w:rFonts w:ascii="宋体" w:hAnsi="宋体" w:eastAsia="宋体"/>
                <w:sz w:val="22"/>
              </w:rPr>
              <w:t>V1.0</w:t>
            </w:r>
          </w:p>
        </w:tc>
      </w:tr>
      <w:tr w14:paraId="1B9F894A">
        <w:trPr>
          <w:jc w:val="center"/>
        </w:trPr>
        <w:tc>
          <w:tcPr>
            <w:tcW w:w="2551" w:type="dxa"/>
          </w:tcPr>
          <w:p w14:paraId="7A2CBC87">
            <w:pPr>
              <w:spacing w:after="40"/>
              <w:jc w:val="center"/>
            </w:pPr>
            <w:r>
              <w:rPr>
                <w:rFonts w:ascii="宋体" w:hAnsi="宋体" w:eastAsia="宋体"/>
                <w:sz w:val="22"/>
              </w:rPr>
              <w:t>编 制 单 位</w:t>
            </w:r>
          </w:p>
        </w:tc>
        <w:tc>
          <w:tcPr>
            <w:tcW w:w="4252" w:type="dxa"/>
          </w:tcPr>
          <w:p w14:paraId="0528A3CD">
            <w:pPr>
              <w:spacing w:after="40"/>
              <w:jc w:val="center"/>
            </w:pPr>
          </w:p>
        </w:tc>
      </w:tr>
      <w:tr w14:paraId="232A6515">
        <w:trPr>
          <w:jc w:val="center"/>
        </w:trPr>
        <w:tc>
          <w:tcPr>
            <w:tcW w:w="2551" w:type="dxa"/>
          </w:tcPr>
          <w:p w14:paraId="38C2393D">
            <w:pPr>
              <w:spacing w:after="40"/>
              <w:jc w:val="center"/>
            </w:pPr>
            <w:r>
              <w:rPr>
                <w:rFonts w:ascii="宋体" w:hAnsi="宋体" w:eastAsia="宋体"/>
                <w:sz w:val="22"/>
              </w:rPr>
              <w:t>编　制　人</w:t>
            </w:r>
          </w:p>
        </w:tc>
        <w:tc>
          <w:tcPr>
            <w:tcW w:w="4252" w:type="dxa"/>
          </w:tcPr>
          <w:p w14:paraId="54C7507F">
            <w:pPr>
              <w:spacing w:after="40"/>
              <w:jc w:val="center"/>
            </w:pPr>
          </w:p>
        </w:tc>
      </w:tr>
      <w:tr w14:paraId="1C341CBE">
        <w:trPr>
          <w:jc w:val="center"/>
        </w:trPr>
        <w:tc>
          <w:tcPr>
            <w:tcW w:w="2551" w:type="dxa"/>
          </w:tcPr>
          <w:p w14:paraId="6A16B957">
            <w:pPr>
              <w:spacing w:after="40"/>
              <w:jc w:val="center"/>
            </w:pPr>
            <w:r>
              <w:rPr>
                <w:rFonts w:ascii="宋体" w:hAnsi="宋体" w:eastAsia="宋体"/>
                <w:sz w:val="22"/>
              </w:rPr>
              <w:t>审　核　人</w:t>
            </w:r>
          </w:p>
        </w:tc>
        <w:tc>
          <w:tcPr>
            <w:tcW w:w="4252" w:type="dxa"/>
          </w:tcPr>
          <w:p w14:paraId="242F94E8">
            <w:pPr>
              <w:spacing w:after="40"/>
              <w:jc w:val="center"/>
            </w:pPr>
          </w:p>
        </w:tc>
      </w:tr>
      <w:tr w14:paraId="00C79702">
        <w:trPr>
          <w:jc w:val="center"/>
        </w:trPr>
        <w:tc>
          <w:tcPr>
            <w:tcW w:w="2551" w:type="dxa"/>
          </w:tcPr>
          <w:p w14:paraId="388E19E2">
            <w:pPr>
              <w:spacing w:after="40"/>
              <w:jc w:val="center"/>
            </w:pPr>
            <w:r>
              <w:rPr>
                <w:rFonts w:ascii="宋体" w:hAnsi="宋体" w:eastAsia="宋体"/>
                <w:sz w:val="22"/>
              </w:rPr>
              <w:t>编 制 日 期</w:t>
            </w:r>
          </w:p>
        </w:tc>
        <w:tc>
          <w:tcPr>
            <w:tcW w:w="4252" w:type="dxa"/>
          </w:tcPr>
          <w:p w14:paraId="2BF450D3">
            <w:pPr>
              <w:spacing w:after="40"/>
              <w:jc w:val="center"/>
            </w:pPr>
          </w:p>
        </w:tc>
      </w:tr>
    </w:tbl>
    <w:p w14:paraId="22BAAD99">
      <w:pPr>
        <w:pStyle w:val="8"/>
        <w:pageBreakBefore/>
        <w:snapToGrid w:val="0"/>
      </w:pPr>
      <w:r>
        <w:rPr>
          <w:rFonts w:ascii="黑体" w:hAnsi="黑体" w:eastAsia="黑体" w:cs="黑体"/>
          <w:b/>
          <w:color w:val="000000"/>
        </w:rPr>
        <w:t>目录</w:t>
      </w:r>
    </w:p>
    <w:p w14:paraId="720003E1">
      <w:pPr>
        <w:pStyle w:val="16"/>
        <w:tabs>
          <w:tab w:val="right" w:leader="dot" w:pos="8950"/>
        </w:tabs>
        <w:snapToGrid w:val="0"/>
        <w:ind w:left="0"/>
      </w:pPr>
      <w:r>
        <w:fldChar w:fldCharType="begin"/>
      </w:r>
      <w:r>
        <w:instrText xml:space="preserve"> HYPERLINK \l "s1" \h </w:instrText>
      </w:r>
      <w:r>
        <w:fldChar w:fldCharType="separate"/>
      </w:r>
      <w:r>
        <w:t>1　总体层：总则</w:t>
      </w:r>
      <w:r>
        <w:fldChar w:fldCharType="end"/>
      </w:r>
      <w:r>
        <w:tab/>
      </w:r>
      <w:r>
        <w:fldChar w:fldCharType="begin"/>
      </w:r>
      <w:r>
        <w:instrText xml:space="preserve"> PAGEREF s1 \h </w:instrText>
      </w:r>
      <w:r>
        <w:fldChar w:fldCharType="separate"/>
      </w:r>
      <w:r>
        <w:t>5</w:t>
      </w:r>
      <w:r>
        <w:fldChar w:fldCharType="end"/>
      </w:r>
    </w:p>
    <w:p w14:paraId="720003E2">
      <w:pPr>
        <w:pStyle w:val="16"/>
        <w:tabs>
          <w:tab w:val="right" w:leader="dot" w:pos="8950"/>
        </w:tabs>
        <w:snapToGrid w:val="0"/>
        <w:ind w:left="200"/>
      </w:pPr>
      <w:r>
        <w:fldChar w:fldCharType="begin"/>
      </w:r>
      <w:r>
        <w:instrText xml:space="preserve"> HYPERLINK \l "s1_1" \h </w:instrText>
      </w:r>
      <w:r>
        <w:fldChar w:fldCharType="separate"/>
      </w:r>
      <w:r>
        <w:t>1.1　项目背景与平台定位</w:t>
      </w:r>
      <w:r>
        <w:fldChar w:fldCharType="end"/>
      </w:r>
      <w:r>
        <w:tab/>
      </w:r>
      <w:r>
        <w:fldChar w:fldCharType="begin"/>
      </w:r>
      <w:r>
        <w:instrText xml:space="preserve"> PAGEREF s1_1 \h </w:instrText>
      </w:r>
      <w:r>
        <w:fldChar w:fldCharType="separate"/>
      </w:r>
      <w:r>
        <w:t>5</w:t>
      </w:r>
      <w:r>
        <w:fldChar w:fldCharType="end"/>
      </w:r>
    </w:p>
    <w:p w14:paraId="720003E3">
      <w:pPr>
        <w:pStyle w:val="16"/>
        <w:tabs>
          <w:tab w:val="right" w:leader="dot" w:pos="8950"/>
        </w:tabs>
        <w:snapToGrid w:val="0"/>
        <w:ind w:left="200"/>
      </w:pPr>
      <w:r>
        <w:fldChar w:fldCharType="begin"/>
      </w:r>
      <w:r>
        <w:instrText xml:space="preserve"> HYPERLINK \l "s1_2" \h </w:instrText>
      </w:r>
      <w:r>
        <w:fldChar w:fldCharType="separate"/>
      </w:r>
      <w:r>
        <w:t>1.2　建设目标</w:t>
      </w:r>
      <w:r>
        <w:fldChar w:fldCharType="end"/>
      </w:r>
      <w:r>
        <w:tab/>
      </w:r>
      <w:r>
        <w:fldChar w:fldCharType="begin"/>
      </w:r>
      <w:r>
        <w:instrText xml:space="preserve"> PAGEREF s1_2 \h </w:instrText>
      </w:r>
      <w:r>
        <w:fldChar w:fldCharType="separate"/>
      </w:r>
      <w:r>
        <w:t>5</w:t>
      </w:r>
      <w:r>
        <w:fldChar w:fldCharType="end"/>
      </w:r>
    </w:p>
    <w:p w14:paraId="720003E4">
      <w:pPr>
        <w:pStyle w:val="16"/>
        <w:tabs>
          <w:tab w:val="right" w:leader="dot" w:pos="8950"/>
        </w:tabs>
        <w:snapToGrid w:val="0"/>
        <w:ind w:left="0"/>
      </w:pPr>
      <w:r>
        <w:fldChar w:fldCharType="begin"/>
      </w:r>
      <w:r>
        <w:instrText xml:space="preserve"> HYPERLINK \l "s2" \h </w:instrText>
      </w:r>
      <w:r>
        <w:fldChar w:fldCharType="separate"/>
      </w:r>
      <w:r>
        <w:t>2　架构层：平台整体业务架构</w:t>
      </w:r>
      <w:r>
        <w:fldChar w:fldCharType="end"/>
      </w:r>
      <w:r>
        <w:tab/>
      </w:r>
      <w:r>
        <w:fldChar w:fldCharType="begin"/>
      </w:r>
      <w:r>
        <w:instrText xml:space="preserve"> PAGEREF s2 \h </w:instrText>
      </w:r>
      <w:r>
        <w:fldChar w:fldCharType="separate"/>
      </w:r>
      <w:r>
        <w:t>6</w:t>
      </w:r>
      <w:r>
        <w:fldChar w:fldCharType="end"/>
      </w:r>
    </w:p>
    <w:p w14:paraId="720003E5">
      <w:pPr>
        <w:pStyle w:val="16"/>
        <w:tabs>
          <w:tab w:val="right" w:leader="dot" w:pos="8950"/>
        </w:tabs>
        <w:snapToGrid w:val="0"/>
        <w:ind w:left="200"/>
      </w:pPr>
      <w:r>
        <w:fldChar w:fldCharType="begin"/>
      </w:r>
      <w:r>
        <w:instrText xml:space="preserve"> HYPERLINK \l "s2_1" \h </w:instrText>
      </w:r>
      <w:r>
        <w:fldChar w:fldCharType="separate"/>
      </w:r>
      <w:r>
        <w:t>2.1　平台在全厂系统格局中的位置</w:t>
      </w:r>
      <w:r>
        <w:fldChar w:fldCharType="end"/>
      </w:r>
      <w:r>
        <w:tab/>
      </w:r>
      <w:r>
        <w:fldChar w:fldCharType="begin"/>
      </w:r>
      <w:r>
        <w:instrText xml:space="preserve"> PAGEREF s2_1 \h </w:instrText>
      </w:r>
      <w:r>
        <w:fldChar w:fldCharType="separate"/>
      </w:r>
      <w:r>
        <w:t>6</w:t>
      </w:r>
      <w:r>
        <w:fldChar w:fldCharType="end"/>
      </w:r>
    </w:p>
    <w:p w14:paraId="720003E6">
      <w:pPr>
        <w:pStyle w:val="16"/>
        <w:tabs>
          <w:tab w:val="right" w:leader="dot" w:pos="8950"/>
        </w:tabs>
        <w:snapToGrid w:val="0"/>
        <w:ind w:left="200"/>
      </w:pPr>
      <w:r>
        <w:fldChar w:fldCharType="begin"/>
      </w:r>
      <w:r>
        <w:instrText xml:space="preserve"> HYPERLINK \l "s2_2" \h </w:instrText>
      </w:r>
      <w:r>
        <w:fldChar w:fldCharType="separate"/>
      </w:r>
      <w:r>
        <w:t>2.2　项目AI整体业务架构</w:t>
      </w:r>
      <w:r>
        <w:fldChar w:fldCharType="end"/>
      </w:r>
      <w:r>
        <w:tab/>
      </w:r>
      <w:r>
        <w:fldChar w:fldCharType="begin"/>
      </w:r>
      <w:r>
        <w:instrText xml:space="preserve"> PAGEREF s2_2 \h </w:instrText>
      </w:r>
      <w:r>
        <w:fldChar w:fldCharType="separate"/>
      </w:r>
      <w:r>
        <w:t>9</w:t>
      </w:r>
      <w:r>
        <w:fldChar w:fldCharType="end"/>
      </w:r>
    </w:p>
    <w:p w14:paraId="720003E7">
      <w:pPr>
        <w:pStyle w:val="16"/>
        <w:tabs>
          <w:tab w:val="right" w:leader="dot" w:pos="8950"/>
        </w:tabs>
        <w:snapToGrid w:val="0"/>
        <w:ind w:left="200"/>
      </w:pPr>
      <w:r>
        <w:fldChar w:fldCharType="begin"/>
      </w:r>
      <w:r>
        <w:instrText xml:space="preserve"> HYPERLINK \l "s2_3" \h </w:instrText>
      </w:r>
      <w:r>
        <w:fldChar w:fldCharType="separate"/>
      </w:r>
      <w:r>
        <w:t>2.3　层间关系与数据流转</w:t>
      </w:r>
      <w:r>
        <w:fldChar w:fldCharType="end"/>
      </w:r>
      <w:r>
        <w:tab/>
      </w:r>
      <w:r>
        <w:fldChar w:fldCharType="begin"/>
      </w:r>
      <w:r>
        <w:instrText xml:space="preserve"> PAGEREF s2_3 \h </w:instrText>
      </w:r>
      <w:r>
        <w:fldChar w:fldCharType="separate"/>
      </w:r>
      <w:r>
        <w:t>9</w:t>
      </w:r>
      <w:r>
        <w:fldChar w:fldCharType="end"/>
      </w:r>
    </w:p>
    <w:p w14:paraId="720003E8">
      <w:pPr>
        <w:pStyle w:val="16"/>
        <w:tabs>
          <w:tab w:val="right" w:leader="dot" w:pos="8950"/>
        </w:tabs>
        <w:snapToGrid w:val="0"/>
        <w:ind w:left="200"/>
      </w:pPr>
      <w:r>
        <w:fldChar w:fldCharType="begin"/>
      </w:r>
      <w:r>
        <w:instrText xml:space="preserve"> HYPERLINK \l "s2_4" \h </w:instrText>
      </w:r>
      <w:r>
        <w:fldChar w:fldCharType="separate"/>
      </w:r>
      <w:r>
        <w:t>2.4　安全与权限的业务要求</w:t>
      </w:r>
      <w:r>
        <w:fldChar w:fldCharType="end"/>
      </w:r>
      <w:r>
        <w:tab/>
      </w:r>
      <w:r>
        <w:fldChar w:fldCharType="begin"/>
      </w:r>
      <w:r>
        <w:instrText xml:space="preserve"> PAGEREF s2_4 \h </w:instrText>
      </w:r>
      <w:r>
        <w:fldChar w:fldCharType="separate"/>
      </w:r>
      <w:r>
        <w:t>10</w:t>
      </w:r>
      <w:r>
        <w:fldChar w:fldCharType="end"/>
      </w:r>
    </w:p>
    <w:p w14:paraId="720003E9">
      <w:pPr>
        <w:pStyle w:val="16"/>
        <w:tabs>
          <w:tab w:val="right" w:leader="dot" w:pos="8950"/>
        </w:tabs>
        <w:snapToGrid w:val="0"/>
        <w:ind w:left="200"/>
      </w:pPr>
      <w:r>
        <w:fldChar w:fldCharType="begin"/>
      </w:r>
      <w:r>
        <w:instrText xml:space="preserve"> HYPERLINK \l "s2_5" \h </w:instrText>
      </w:r>
      <w:r>
        <w:fldChar w:fldCharType="separate"/>
      </w:r>
      <w:r>
        <w:t>2.5　平台模块协同关系</w:t>
      </w:r>
      <w:r>
        <w:fldChar w:fldCharType="end"/>
      </w:r>
      <w:r>
        <w:tab/>
      </w:r>
      <w:r>
        <w:fldChar w:fldCharType="begin"/>
      </w:r>
      <w:r>
        <w:instrText xml:space="preserve"> PAGEREF s2_5 \h </w:instrText>
      </w:r>
      <w:r>
        <w:fldChar w:fldCharType="separate"/>
      </w:r>
      <w:r>
        <w:t>11</w:t>
      </w:r>
      <w:r>
        <w:fldChar w:fldCharType="end"/>
      </w:r>
    </w:p>
    <w:p w14:paraId="720003EA">
      <w:pPr>
        <w:pStyle w:val="16"/>
        <w:tabs>
          <w:tab w:val="right" w:leader="dot" w:pos="8950"/>
        </w:tabs>
        <w:snapToGrid w:val="0"/>
        <w:ind w:left="0"/>
      </w:pPr>
      <w:r>
        <w:fldChar w:fldCharType="begin"/>
      </w:r>
      <w:r>
        <w:instrText xml:space="preserve"> HYPERLINK \l "s3" \h </w:instrText>
      </w:r>
      <w:r>
        <w:fldChar w:fldCharType="separate"/>
      </w:r>
      <w:r>
        <w:t>3　流程层：业务场景运行流程</w:t>
      </w:r>
      <w:r>
        <w:fldChar w:fldCharType="end"/>
      </w:r>
      <w:r>
        <w:tab/>
      </w:r>
      <w:r>
        <w:fldChar w:fldCharType="begin"/>
      </w:r>
      <w:r>
        <w:instrText xml:space="preserve"> PAGEREF s3 \h </w:instrText>
      </w:r>
      <w:r>
        <w:fldChar w:fldCharType="separate"/>
      </w:r>
      <w:r>
        <w:t>13</w:t>
      </w:r>
      <w:r>
        <w:fldChar w:fldCharType="end"/>
      </w:r>
    </w:p>
    <w:p w14:paraId="720003EB">
      <w:pPr>
        <w:pStyle w:val="16"/>
        <w:tabs>
          <w:tab w:val="right" w:leader="dot" w:pos="8950"/>
        </w:tabs>
        <w:snapToGrid w:val="0"/>
        <w:ind w:left="200"/>
      </w:pPr>
      <w:r>
        <w:fldChar w:fldCharType="begin"/>
      </w:r>
      <w:r>
        <w:instrText xml:space="preserve"> HYPERLINK \l "s3_1" \h </w:instrText>
      </w:r>
      <w:r>
        <w:fldChar w:fldCharType="separate"/>
      </w:r>
      <w:r>
        <w:t>3.1　统一问数类</w:t>
      </w:r>
      <w:r>
        <w:fldChar w:fldCharType="end"/>
      </w:r>
      <w:r>
        <w:tab/>
      </w:r>
      <w:r>
        <w:fldChar w:fldCharType="begin"/>
      </w:r>
      <w:r>
        <w:instrText xml:space="preserve"> PAGEREF s3_1 \h </w:instrText>
      </w:r>
      <w:r>
        <w:fldChar w:fldCharType="separate"/>
      </w:r>
      <w:r>
        <w:t>14</w:t>
      </w:r>
      <w:r>
        <w:fldChar w:fldCharType="end"/>
      </w:r>
    </w:p>
    <w:p w14:paraId="720003EC">
      <w:pPr>
        <w:pStyle w:val="16"/>
        <w:tabs>
          <w:tab w:val="right" w:leader="dot" w:pos="8950"/>
        </w:tabs>
        <w:snapToGrid w:val="0"/>
        <w:ind w:left="400"/>
      </w:pPr>
      <w:r>
        <w:fldChar w:fldCharType="begin"/>
      </w:r>
      <w:r>
        <w:instrText xml:space="preserve"> HYPERLINK \l "s3_1_1" \h </w:instrText>
      </w:r>
      <w:r>
        <w:fldChar w:fldCharType="separate"/>
      </w:r>
      <w:r>
        <w:t>3.1.1　智能问数</w:t>
      </w:r>
      <w:r>
        <w:fldChar w:fldCharType="end"/>
      </w:r>
      <w:r>
        <w:tab/>
      </w:r>
      <w:r>
        <w:fldChar w:fldCharType="begin"/>
      </w:r>
      <w:r>
        <w:instrText xml:space="preserve"> PAGEREF s3_1_1 \h </w:instrText>
      </w:r>
      <w:r>
        <w:fldChar w:fldCharType="separate"/>
      </w:r>
      <w:r>
        <w:t>14</w:t>
      </w:r>
      <w:r>
        <w:fldChar w:fldCharType="end"/>
      </w:r>
    </w:p>
    <w:p w14:paraId="720003ED">
      <w:pPr>
        <w:pStyle w:val="16"/>
        <w:tabs>
          <w:tab w:val="right" w:leader="dot" w:pos="8950"/>
        </w:tabs>
        <w:snapToGrid w:val="0"/>
        <w:ind w:left="200"/>
      </w:pPr>
      <w:r>
        <w:fldChar w:fldCharType="begin"/>
      </w:r>
      <w:r>
        <w:instrText xml:space="preserve"> HYPERLINK \l "s3_2" \h </w:instrText>
      </w:r>
      <w:r>
        <w:fldChar w:fldCharType="separate"/>
      </w:r>
      <w:r>
        <w:t>3.2　归因分析与衡算类</w:t>
      </w:r>
      <w:r>
        <w:fldChar w:fldCharType="end"/>
      </w:r>
      <w:r>
        <w:tab/>
      </w:r>
      <w:r>
        <w:fldChar w:fldCharType="begin"/>
      </w:r>
      <w:r>
        <w:instrText xml:space="preserve"> PAGEREF s3_2 \h </w:instrText>
      </w:r>
      <w:r>
        <w:fldChar w:fldCharType="separate"/>
      </w:r>
      <w:r>
        <w:t>18</w:t>
      </w:r>
      <w:r>
        <w:fldChar w:fldCharType="end"/>
      </w:r>
    </w:p>
    <w:p w14:paraId="720003EE">
      <w:pPr>
        <w:pStyle w:val="16"/>
        <w:tabs>
          <w:tab w:val="right" w:leader="dot" w:pos="8950"/>
        </w:tabs>
        <w:snapToGrid w:val="0"/>
        <w:ind w:left="400"/>
      </w:pPr>
      <w:r>
        <w:fldChar w:fldCharType="begin"/>
      </w:r>
      <w:r>
        <w:instrText xml:space="preserve"> HYPERLINK \l "s3_2_1" \h </w:instrText>
      </w:r>
      <w:r>
        <w:fldChar w:fldCharType="separate"/>
      </w:r>
      <w:r>
        <w:t>3.2.1　实时物料平衡根因分析</w:t>
      </w:r>
      <w:r>
        <w:fldChar w:fldCharType="end"/>
      </w:r>
      <w:r>
        <w:tab/>
      </w:r>
      <w:r>
        <w:fldChar w:fldCharType="begin"/>
      </w:r>
      <w:r>
        <w:instrText xml:space="preserve"> PAGEREF s3_2_1 \h </w:instrText>
      </w:r>
      <w:r>
        <w:fldChar w:fldCharType="separate"/>
      </w:r>
      <w:r>
        <w:t>18</w:t>
      </w:r>
      <w:r>
        <w:fldChar w:fldCharType="end"/>
      </w:r>
    </w:p>
    <w:p w14:paraId="720003EF">
      <w:pPr>
        <w:pStyle w:val="16"/>
        <w:tabs>
          <w:tab w:val="right" w:leader="dot" w:pos="8950"/>
        </w:tabs>
        <w:snapToGrid w:val="0"/>
        <w:ind w:left="400"/>
      </w:pPr>
      <w:r>
        <w:fldChar w:fldCharType="begin"/>
      </w:r>
      <w:r>
        <w:instrText xml:space="preserve"> HYPERLINK \l "s3_2_2" \h </w:instrText>
      </w:r>
      <w:r>
        <w:fldChar w:fldCharType="separate"/>
      </w:r>
      <w:r>
        <w:t>3.2.2　实时能量平衡根因分析</w:t>
      </w:r>
      <w:r>
        <w:fldChar w:fldCharType="end"/>
      </w:r>
      <w:r>
        <w:tab/>
      </w:r>
      <w:r>
        <w:fldChar w:fldCharType="begin"/>
      </w:r>
      <w:r>
        <w:instrText xml:space="preserve"> PAGEREF s3_2_2 \h </w:instrText>
      </w:r>
      <w:r>
        <w:fldChar w:fldCharType="separate"/>
      </w:r>
      <w:r>
        <w:t>22</w:t>
      </w:r>
      <w:r>
        <w:fldChar w:fldCharType="end"/>
      </w:r>
    </w:p>
    <w:p w14:paraId="720003F0">
      <w:pPr>
        <w:pStyle w:val="16"/>
        <w:tabs>
          <w:tab w:val="right" w:leader="dot" w:pos="8950"/>
        </w:tabs>
        <w:snapToGrid w:val="0"/>
        <w:ind w:left="400"/>
      </w:pPr>
      <w:r>
        <w:fldChar w:fldCharType="begin"/>
      </w:r>
      <w:r>
        <w:instrText xml:space="preserve"> HYPERLINK \l "s3_2_3" \h </w:instrText>
      </w:r>
      <w:r>
        <w:fldChar w:fldCharType="separate"/>
      </w:r>
      <w:r>
        <w:t>3.2.3　实时能耗异常识别</w:t>
      </w:r>
      <w:r>
        <w:fldChar w:fldCharType="end"/>
      </w:r>
      <w:r>
        <w:tab/>
      </w:r>
      <w:r>
        <w:fldChar w:fldCharType="begin"/>
      </w:r>
      <w:r>
        <w:instrText xml:space="preserve"> PAGEREF s3_2_3 \h </w:instrText>
      </w:r>
      <w:r>
        <w:fldChar w:fldCharType="separate"/>
      </w:r>
      <w:r>
        <w:t>26</w:t>
      </w:r>
      <w:r>
        <w:fldChar w:fldCharType="end"/>
      </w:r>
    </w:p>
    <w:p w14:paraId="720003F1">
      <w:pPr>
        <w:pStyle w:val="16"/>
        <w:tabs>
          <w:tab w:val="right" w:leader="dot" w:pos="8950"/>
        </w:tabs>
        <w:snapToGrid w:val="0"/>
        <w:ind w:left="400"/>
      </w:pPr>
      <w:r>
        <w:fldChar w:fldCharType="begin"/>
      </w:r>
      <w:r>
        <w:instrText xml:space="preserve"> HYPERLINK \l "s3_2_4" \h </w:instrText>
      </w:r>
      <w:r>
        <w:fldChar w:fldCharType="separate"/>
      </w:r>
      <w:r>
        <w:t>3.2.4　工序物料衡算</w:t>
      </w:r>
      <w:r>
        <w:fldChar w:fldCharType="end"/>
      </w:r>
      <w:r>
        <w:tab/>
      </w:r>
      <w:r>
        <w:fldChar w:fldCharType="begin"/>
      </w:r>
      <w:r>
        <w:instrText xml:space="preserve"> PAGEREF s3_2_4 \h </w:instrText>
      </w:r>
      <w:r>
        <w:fldChar w:fldCharType="separate"/>
      </w:r>
      <w:r>
        <w:t>28</w:t>
      </w:r>
      <w:r>
        <w:fldChar w:fldCharType="end"/>
      </w:r>
    </w:p>
    <w:p w14:paraId="720003F2">
      <w:pPr>
        <w:pStyle w:val="16"/>
        <w:tabs>
          <w:tab w:val="right" w:leader="dot" w:pos="8950"/>
        </w:tabs>
        <w:snapToGrid w:val="0"/>
        <w:ind w:left="400"/>
      </w:pPr>
      <w:r>
        <w:fldChar w:fldCharType="begin"/>
      </w:r>
      <w:r>
        <w:instrText xml:space="preserve"> HYPERLINK \l "s3_2_5" \h </w:instrText>
      </w:r>
      <w:r>
        <w:fldChar w:fldCharType="separate"/>
      </w:r>
      <w:r>
        <w:t>3.2.5　工序能量衡算</w:t>
      </w:r>
      <w:r>
        <w:fldChar w:fldCharType="end"/>
      </w:r>
      <w:r>
        <w:tab/>
      </w:r>
      <w:r>
        <w:fldChar w:fldCharType="begin"/>
      </w:r>
      <w:r>
        <w:instrText xml:space="preserve"> PAGEREF s3_2_5 \h </w:instrText>
      </w:r>
      <w:r>
        <w:fldChar w:fldCharType="separate"/>
      </w:r>
      <w:r>
        <w:t>30</w:t>
      </w:r>
      <w:r>
        <w:fldChar w:fldCharType="end"/>
      </w:r>
    </w:p>
    <w:p w14:paraId="720003F3">
      <w:pPr>
        <w:pStyle w:val="16"/>
        <w:tabs>
          <w:tab w:val="right" w:leader="dot" w:pos="8950"/>
        </w:tabs>
        <w:snapToGrid w:val="0"/>
        <w:ind w:left="400"/>
      </w:pPr>
      <w:r>
        <w:fldChar w:fldCharType="begin"/>
      </w:r>
      <w:r>
        <w:instrText xml:space="preserve"> HYPERLINK \l "s3_2_6" \h </w:instrText>
      </w:r>
      <w:r>
        <w:fldChar w:fldCharType="separate"/>
      </w:r>
      <w:r>
        <w:t>3.2.6　成本追溯</w:t>
      </w:r>
      <w:r>
        <w:fldChar w:fldCharType="end"/>
      </w:r>
      <w:r>
        <w:tab/>
      </w:r>
      <w:r>
        <w:fldChar w:fldCharType="begin"/>
      </w:r>
      <w:r>
        <w:instrText xml:space="preserve"> PAGEREF s3_2_6 \h </w:instrText>
      </w:r>
      <w:r>
        <w:fldChar w:fldCharType="separate"/>
      </w:r>
      <w:r>
        <w:t>32</w:t>
      </w:r>
      <w:r>
        <w:fldChar w:fldCharType="end"/>
      </w:r>
    </w:p>
    <w:p w14:paraId="720003F4">
      <w:pPr>
        <w:pStyle w:val="16"/>
        <w:tabs>
          <w:tab w:val="right" w:leader="dot" w:pos="8950"/>
        </w:tabs>
        <w:snapToGrid w:val="0"/>
        <w:ind w:left="400"/>
      </w:pPr>
      <w:r>
        <w:fldChar w:fldCharType="begin"/>
      </w:r>
      <w:r>
        <w:instrText xml:space="preserve"> HYPERLINK \l "s3_2_7" \h </w:instrText>
      </w:r>
      <w:r>
        <w:fldChar w:fldCharType="separate"/>
      </w:r>
      <w:r>
        <w:t>3.2.7　智能质量追溯</w:t>
      </w:r>
      <w:r>
        <w:fldChar w:fldCharType="end"/>
      </w:r>
      <w:r>
        <w:tab/>
      </w:r>
      <w:r>
        <w:fldChar w:fldCharType="begin"/>
      </w:r>
      <w:r>
        <w:instrText xml:space="preserve"> PAGEREF s3_2_7 \h </w:instrText>
      </w:r>
      <w:r>
        <w:fldChar w:fldCharType="separate"/>
      </w:r>
      <w:r>
        <w:t>35</w:t>
      </w:r>
      <w:r>
        <w:fldChar w:fldCharType="end"/>
      </w:r>
    </w:p>
    <w:p w14:paraId="720003F5">
      <w:pPr>
        <w:pStyle w:val="16"/>
        <w:tabs>
          <w:tab w:val="right" w:leader="dot" w:pos="8950"/>
        </w:tabs>
        <w:snapToGrid w:val="0"/>
        <w:ind w:left="400"/>
      </w:pPr>
      <w:r>
        <w:fldChar w:fldCharType="begin"/>
      </w:r>
      <w:r>
        <w:instrText xml:space="preserve"> HYPERLINK \l "s3_2_8" \h </w:instrText>
      </w:r>
      <w:r>
        <w:fldChar w:fldCharType="separate"/>
      </w:r>
      <w:r>
        <w:t>3.2.8　动设备故障预警与动设备管理</w:t>
      </w:r>
      <w:r>
        <w:fldChar w:fldCharType="end"/>
      </w:r>
      <w:r>
        <w:tab/>
      </w:r>
      <w:r>
        <w:fldChar w:fldCharType="begin"/>
      </w:r>
      <w:r>
        <w:instrText xml:space="preserve"> PAGEREF s3_2_8 \h </w:instrText>
      </w:r>
      <w:r>
        <w:fldChar w:fldCharType="separate"/>
      </w:r>
      <w:r>
        <w:t>39</w:t>
      </w:r>
      <w:r>
        <w:fldChar w:fldCharType="end"/>
      </w:r>
    </w:p>
    <w:p w14:paraId="720003F9">
      <w:pPr>
        <w:pStyle w:val="16"/>
        <w:tabs>
          <w:tab w:val="right" w:leader="dot" w:pos="8950"/>
        </w:tabs>
        <w:snapToGrid w:val="0"/>
        <w:ind w:left="400"/>
      </w:pPr>
      <w:r>
        <w:fldChar w:fldCharType="begin"/>
      </w:r>
      <w:r>
        <w:instrText xml:space="preserve"> HYPERLINK \l "s3_2_9" \h </w:instrText>
      </w:r>
      <w:r>
        <w:fldChar w:fldCharType="separate"/>
      </w:r>
      <w:r>
        <w:t>3.2.9　质量根因分析</w:t>
      </w:r>
      <w:r>
        <w:fldChar w:fldCharType="end"/>
      </w:r>
      <w:r>
        <w:tab/>
      </w:r>
      <w:r>
        <w:fldChar w:fldCharType="begin"/>
      </w:r>
      <w:r>
        <w:instrText xml:space="preserve"> PAGEREF s3_2_9 \h </w:instrText>
      </w:r>
      <w:r>
        <w:fldChar w:fldCharType="separate"/>
      </w:r>
      <w:r>
        <w:t>43</w:t>
      </w:r>
      <w:r>
        <w:fldChar w:fldCharType="end"/>
      </w:r>
    </w:p>
    <w:p w14:paraId="720003F6">
      <w:pPr>
        <w:pStyle w:val="16"/>
        <w:tabs>
          <w:tab w:val="right" w:leader="dot" w:pos="8950"/>
        </w:tabs>
        <w:snapToGrid w:val="0"/>
        <w:ind w:left="200"/>
      </w:pPr>
      <w:r>
        <w:fldChar w:fldCharType="begin"/>
      </w:r>
      <w:r>
        <w:instrText xml:space="preserve"> HYPERLINK \l "s3_3" \h </w:instrText>
      </w:r>
      <w:r>
        <w:fldChar w:fldCharType="separate"/>
      </w:r>
      <w:r>
        <w:t>3.3　结果应用与优化类</w:t>
      </w:r>
      <w:r>
        <w:fldChar w:fldCharType="end"/>
      </w:r>
      <w:r>
        <w:tab/>
      </w:r>
      <w:r>
        <w:fldChar w:fldCharType="begin"/>
      </w:r>
      <w:r>
        <w:instrText xml:space="preserve"> PAGEREF s3_3 \h </w:instrText>
      </w:r>
      <w:r>
        <w:fldChar w:fldCharType="separate"/>
      </w:r>
      <w:r>
        <w:t>45</w:t>
      </w:r>
      <w:r>
        <w:fldChar w:fldCharType="end"/>
      </w:r>
    </w:p>
    <w:p w14:paraId="720003F7">
      <w:pPr>
        <w:pStyle w:val="16"/>
        <w:tabs>
          <w:tab w:val="right" w:leader="dot" w:pos="8950"/>
        </w:tabs>
        <w:snapToGrid w:val="0"/>
        <w:ind w:left="400"/>
      </w:pPr>
      <w:r>
        <w:fldChar w:fldCharType="begin"/>
      </w:r>
      <w:r>
        <w:instrText xml:space="preserve"> HYPERLINK \l "s3_3_1" \h </w:instrText>
      </w:r>
      <w:r>
        <w:fldChar w:fldCharType="separate"/>
      </w:r>
      <w:r>
        <w:t>3.3.1　供应链优化与协同系统结果输出</w:t>
      </w:r>
      <w:r>
        <w:fldChar w:fldCharType="end"/>
      </w:r>
      <w:r>
        <w:tab/>
      </w:r>
      <w:r>
        <w:fldChar w:fldCharType="begin"/>
      </w:r>
      <w:r>
        <w:instrText xml:space="preserve"> PAGEREF s3_3_1 \h </w:instrText>
      </w:r>
      <w:r>
        <w:fldChar w:fldCharType="separate"/>
      </w:r>
      <w:r>
        <w:t>45</w:t>
      </w:r>
      <w:r>
        <w:fldChar w:fldCharType="end"/>
      </w:r>
    </w:p>
    <w:p w14:paraId="720003F8">
      <w:pPr>
        <w:pStyle w:val="16"/>
        <w:tabs>
          <w:tab w:val="right" w:leader="dot" w:pos="8950"/>
        </w:tabs>
        <w:snapToGrid w:val="0"/>
        <w:ind w:left="400"/>
      </w:pPr>
      <w:r>
        <w:fldChar w:fldCharType="begin"/>
      </w:r>
      <w:r>
        <w:instrText xml:space="preserve"> HYPERLINK \l "s3_3_2" \h </w:instrText>
      </w:r>
      <w:r>
        <w:fldChar w:fldCharType="separate"/>
      </w:r>
      <w:r>
        <w:t>3.3.2　物流优化</w:t>
      </w:r>
      <w:r>
        <w:fldChar w:fldCharType="end"/>
      </w:r>
      <w:r>
        <w:tab/>
      </w:r>
      <w:r>
        <w:fldChar w:fldCharType="begin"/>
      </w:r>
      <w:r>
        <w:instrText xml:space="preserve"> PAGEREF s3_3_2 \h </w:instrText>
      </w:r>
      <w:r>
        <w:fldChar w:fldCharType="separate"/>
      </w:r>
      <w:r>
        <w:t>47</w:t>
      </w:r>
      <w:r>
        <w:fldChar w:fldCharType="end"/>
      </w:r>
    </w:p>
    <w:p w14:paraId="720003FA">
      <w:pPr>
        <w:pStyle w:val="16"/>
        <w:tabs>
          <w:tab w:val="right" w:leader="dot" w:pos="8950"/>
        </w:tabs>
        <w:snapToGrid w:val="0"/>
        <w:ind w:left="400"/>
      </w:pPr>
      <w:r>
        <w:fldChar w:fldCharType="begin"/>
      </w:r>
      <w:r>
        <w:instrText xml:space="preserve"> HYPERLINK \l "s3_3_3" \h </w:instrText>
      </w:r>
      <w:r>
        <w:fldChar w:fldCharType="separate"/>
      </w:r>
      <w:r>
        <w:t>3.3.3　工况异常识别</w:t>
      </w:r>
      <w:r>
        <w:fldChar w:fldCharType="end"/>
      </w:r>
      <w:r>
        <w:tab/>
      </w:r>
      <w:r>
        <w:fldChar w:fldCharType="begin"/>
      </w:r>
      <w:r>
        <w:instrText xml:space="preserve"> PAGEREF s3_3_3 \h </w:instrText>
      </w:r>
      <w:r>
        <w:fldChar w:fldCharType="separate"/>
      </w:r>
      <w:r>
        <w:t>50</w:t>
      </w:r>
      <w:r>
        <w:fldChar w:fldCharType="end"/>
      </w:r>
    </w:p>
    <w:p w14:paraId="720003FB">
      <w:pPr>
        <w:pStyle w:val="16"/>
        <w:tabs>
          <w:tab w:val="right" w:leader="dot" w:pos="8950"/>
        </w:tabs>
        <w:snapToGrid w:val="0"/>
        <w:ind w:left="400"/>
      </w:pPr>
      <w:r>
        <w:fldChar w:fldCharType="begin"/>
      </w:r>
      <w:r>
        <w:instrText xml:space="preserve"> HYPERLINK \l "s3_3_4" \h </w:instrText>
      </w:r>
      <w:r>
        <w:fldChar w:fldCharType="separate"/>
      </w:r>
      <w:r>
        <w:t>3.3.4　液化工序优化</w:t>
      </w:r>
      <w:r>
        <w:fldChar w:fldCharType="end"/>
      </w:r>
      <w:r>
        <w:tab/>
      </w:r>
      <w:r>
        <w:fldChar w:fldCharType="begin"/>
      </w:r>
      <w:r>
        <w:instrText xml:space="preserve"> PAGEREF s3_3_4 \h </w:instrText>
      </w:r>
      <w:r>
        <w:fldChar w:fldCharType="separate"/>
      </w:r>
      <w:r>
        <w:t>52</w:t>
      </w:r>
      <w:r>
        <w:fldChar w:fldCharType="end"/>
      </w:r>
    </w:p>
    <w:p w14:paraId="720003FC">
      <w:pPr>
        <w:pStyle w:val="16"/>
        <w:tabs>
          <w:tab w:val="right" w:leader="dot" w:pos="8950"/>
        </w:tabs>
        <w:snapToGrid w:val="0"/>
        <w:ind w:left="400"/>
      </w:pPr>
      <w:r>
        <w:fldChar w:fldCharType="begin"/>
      </w:r>
      <w:r>
        <w:instrText xml:space="preserve"> HYPERLINK \l "s3_3_5" \h </w:instrText>
      </w:r>
      <w:r>
        <w:fldChar w:fldCharType="separate"/>
      </w:r>
      <w:r>
        <w:t>3.3.5　全局工艺优化</w:t>
      </w:r>
      <w:r>
        <w:fldChar w:fldCharType="end"/>
      </w:r>
      <w:r>
        <w:tab/>
      </w:r>
      <w:r>
        <w:fldChar w:fldCharType="begin"/>
      </w:r>
      <w:r>
        <w:instrText xml:space="preserve"> PAGEREF s3_3_5 \h </w:instrText>
      </w:r>
      <w:r>
        <w:fldChar w:fldCharType="separate"/>
      </w:r>
      <w:r>
        <w:t>54</w:t>
      </w:r>
      <w:r>
        <w:fldChar w:fldCharType="end"/>
      </w:r>
    </w:p>
    <w:p w14:paraId="720003FD">
      <w:pPr>
        <w:pStyle w:val="16"/>
        <w:tabs>
          <w:tab w:val="right" w:leader="dot" w:pos="8950"/>
        </w:tabs>
        <w:snapToGrid w:val="0"/>
        <w:ind w:left="200"/>
      </w:pPr>
      <w:r>
        <w:fldChar w:fldCharType="begin"/>
      </w:r>
      <w:r>
        <w:instrText xml:space="preserve"> HYPERLINK \l "s3_4" \h </w:instrText>
      </w:r>
      <w:r>
        <w:fldChar w:fldCharType="separate"/>
      </w:r>
      <w:r>
        <w:t>3.4　知识问答及语音交互类</w:t>
      </w:r>
      <w:r>
        <w:fldChar w:fldCharType="end"/>
      </w:r>
      <w:r>
        <w:tab/>
      </w:r>
      <w:r>
        <w:fldChar w:fldCharType="begin"/>
      </w:r>
      <w:r>
        <w:instrText xml:space="preserve"> PAGEREF s3_4 \h </w:instrText>
      </w:r>
      <w:r>
        <w:fldChar w:fldCharType="separate"/>
      </w:r>
      <w:r>
        <w:t>56</w:t>
      </w:r>
      <w:r>
        <w:fldChar w:fldCharType="end"/>
      </w:r>
    </w:p>
    <w:p w14:paraId="720003FE">
      <w:pPr>
        <w:pStyle w:val="16"/>
        <w:tabs>
          <w:tab w:val="right" w:leader="dot" w:pos="8950"/>
        </w:tabs>
        <w:snapToGrid w:val="0"/>
        <w:ind w:left="400"/>
      </w:pPr>
      <w:r>
        <w:fldChar w:fldCharType="begin"/>
      </w:r>
      <w:r>
        <w:instrText xml:space="preserve"> HYPERLINK \l "s3_4_1" \h </w:instrText>
      </w:r>
      <w:r>
        <w:fldChar w:fldCharType="separate"/>
      </w:r>
      <w:r>
        <w:t>3.4.1　访客知识问答</w:t>
      </w:r>
      <w:r>
        <w:fldChar w:fldCharType="end"/>
      </w:r>
      <w:r>
        <w:tab/>
      </w:r>
      <w:r>
        <w:fldChar w:fldCharType="begin"/>
      </w:r>
      <w:r>
        <w:instrText xml:space="preserve"> PAGEREF s3_4_1 \h </w:instrText>
      </w:r>
      <w:r>
        <w:fldChar w:fldCharType="separate"/>
      </w:r>
      <w:r>
        <w:t>56</w:t>
      </w:r>
      <w:r>
        <w:fldChar w:fldCharType="end"/>
      </w:r>
    </w:p>
    <w:p w14:paraId="720003FF">
      <w:pPr>
        <w:pStyle w:val="16"/>
        <w:tabs>
          <w:tab w:val="right" w:leader="dot" w:pos="8950"/>
        </w:tabs>
        <w:snapToGrid w:val="0"/>
        <w:ind w:left="400"/>
      </w:pPr>
      <w:r>
        <w:fldChar w:fldCharType="begin"/>
      </w:r>
      <w:r>
        <w:instrText xml:space="preserve"> HYPERLINK \l "s3_4_2" \h </w:instrText>
      </w:r>
      <w:r>
        <w:fldChar w:fldCharType="separate"/>
      </w:r>
      <w:r>
        <w:t>3.4.2　数字人语音唤醒</w:t>
      </w:r>
      <w:r>
        <w:fldChar w:fldCharType="end"/>
      </w:r>
      <w:r>
        <w:tab/>
      </w:r>
      <w:r>
        <w:fldChar w:fldCharType="begin"/>
      </w:r>
      <w:r>
        <w:instrText xml:space="preserve"> PAGEREF s3_4_2 \h </w:instrText>
      </w:r>
      <w:r>
        <w:fldChar w:fldCharType="separate"/>
      </w:r>
      <w:r>
        <w:t>58</w:t>
      </w:r>
      <w:r>
        <w:fldChar w:fldCharType="end"/>
      </w:r>
    </w:p>
    <w:p w14:paraId="72000400">
      <w:pPr>
        <w:pStyle w:val="16"/>
        <w:tabs>
          <w:tab w:val="right" w:leader="dot" w:pos="8950"/>
        </w:tabs>
        <w:snapToGrid w:val="0"/>
        <w:ind w:left="400"/>
      </w:pPr>
      <w:r>
        <w:fldChar w:fldCharType="begin"/>
      </w:r>
      <w:r>
        <w:instrText xml:space="preserve"> HYPERLINK \l "s3_4_3" \h </w:instrText>
      </w:r>
      <w:r>
        <w:fldChar w:fldCharType="separate"/>
      </w:r>
      <w:r>
        <w:t>3.4.3　展厅智能问答数字人</w:t>
      </w:r>
      <w:r>
        <w:fldChar w:fldCharType="end"/>
      </w:r>
      <w:r>
        <w:tab/>
      </w:r>
      <w:r>
        <w:fldChar w:fldCharType="begin"/>
      </w:r>
      <w:r>
        <w:instrText xml:space="preserve"> PAGEREF s3_4_3 \h </w:instrText>
      </w:r>
      <w:r>
        <w:fldChar w:fldCharType="separate"/>
      </w:r>
      <w:r>
        <w:t>59</w:t>
      </w:r>
      <w:r>
        <w:fldChar w:fldCharType="end"/>
      </w:r>
    </w:p>
    <w:p w14:paraId="72000403">
      <w:pPr>
        <w:pStyle w:val="16"/>
        <w:tabs>
          <w:tab w:val="right" w:leader="dot" w:pos="8950"/>
        </w:tabs>
        <w:snapToGrid w:val="0"/>
        <w:ind w:left="200"/>
      </w:pPr>
      <w:r>
        <w:fldChar w:fldCharType="begin"/>
      </w:r>
      <w:r>
        <w:instrText xml:space="preserve"> HYPERLINK \l "s3_5" \h </w:instrText>
      </w:r>
      <w:r>
        <w:fldChar w:fldCharType="separate"/>
      </w:r>
      <w:r>
        <w:t>3.5　质量安全环保类</w:t>
      </w:r>
      <w:r>
        <w:fldChar w:fldCharType="end"/>
      </w:r>
      <w:r>
        <w:tab/>
      </w:r>
      <w:r>
        <w:fldChar w:fldCharType="begin"/>
      </w:r>
      <w:r>
        <w:instrText xml:space="preserve"> PAGEREF s3_5 \h </w:instrText>
      </w:r>
      <w:r>
        <w:fldChar w:fldCharType="separate"/>
      </w:r>
      <w:r>
        <w:t>62</w:t>
      </w:r>
      <w:r>
        <w:fldChar w:fldCharType="end"/>
      </w:r>
    </w:p>
    <w:p w14:paraId="72000404">
      <w:pPr>
        <w:pStyle w:val="16"/>
        <w:tabs>
          <w:tab w:val="right" w:leader="dot" w:pos="8950"/>
        </w:tabs>
        <w:snapToGrid w:val="0"/>
        <w:ind w:left="400"/>
      </w:pPr>
      <w:r>
        <w:fldChar w:fldCharType="begin"/>
      </w:r>
      <w:r>
        <w:instrText xml:space="preserve"> HYPERLINK \l "s3_5_1" \h </w:instrText>
      </w:r>
      <w:r>
        <w:fldChar w:fldCharType="separate"/>
      </w:r>
      <w:r>
        <w:t>3.5.1　质量安全环保</w:t>
      </w:r>
      <w:r>
        <w:fldChar w:fldCharType="end"/>
      </w:r>
      <w:r>
        <w:tab/>
      </w:r>
      <w:r>
        <w:fldChar w:fldCharType="begin"/>
      </w:r>
      <w:r>
        <w:instrText xml:space="preserve"> PAGEREF s3_5_1 \h </w:instrText>
      </w:r>
      <w:r>
        <w:fldChar w:fldCharType="separate"/>
      </w:r>
      <w:r>
        <w:t>62</w:t>
      </w:r>
      <w:r>
        <w:fldChar w:fldCharType="end"/>
      </w:r>
    </w:p>
    <w:p w14:paraId="72000405">
      <w:pPr>
        <w:pStyle w:val="16"/>
        <w:tabs>
          <w:tab w:val="right" w:leader="dot" w:pos="8950"/>
        </w:tabs>
        <w:snapToGrid w:val="0"/>
        <w:ind w:left="0"/>
      </w:pPr>
      <w:r>
        <w:fldChar w:fldCharType="begin"/>
      </w:r>
      <w:r>
        <w:instrText xml:space="preserve"> HYPERLINK \l "s4" \h </w:instrText>
      </w:r>
      <w:r>
        <w:fldChar w:fldCharType="separate"/>
      </w:r>
      <w:r>
        <w:t>4　数据层：数据来源与系统对接</w:t>
      </w:r>
      <w:r>
        <w:fldChar w:fldCharType="end"/>
      </w:r>
      <w:r>
        <w:tab/>
      </w:r>
      <w:r>
        <w:fldChar w:fldCharType="begin"/>
      </w:r>
      <w:r>
        <w:instrText xml:space="preserve"> PAGEREF s4 \h </w:instrText>
      </w:r>
      <w:r>
        <w:fldChar w:fldCharType="separate"/>
      </w:r>
      <w:r>
        <w:t>65</w:t>
      </w:r>
      <w:r>
        <w:fldChar w:fldCharType="end"/>
      </w:r>
    </w:p>
    <w:p w14:paraId="72000406">
      <w:pPr>
        <w:pStyle w:val="16"/>
        <w:tabs>
          <w:tab w:val="right" w:leader="dot" w:pos="8950"/>
        </w:tabs>
        <w:snapToGrid w:val="0"/>
        <w:ind w:left="200"/>
      </w:pPr>
      <w:r>
        <w:fldChar w:fldCharType="begin"/>
      </w:r>
      <w:r>
        <w:instrText xml:space="preserve"> HYPERLINK \l "s4_1" \h </w:instrText>
      </w:r>
      <w:r>
        <w:fldChar w:fldCharType="separate"/>
      </w:r>
      <w:r>
        <w:t>4.1　取数原则与数据类型</w:t>
      </w:r>
      <w:r>
        <w:fldChar w:fldCharType="end"/>
      </w:r>
      <w:r>
        <w:tab/>
      </w:r>
      <w:r>
        <w:fldChar w:fldCharType="begin"/>
      </w:r>
      <w:r>
        <w:instrText xml:space="preserve"> PAGEREF s4_1 \h </w:instrText>
      </w:r>
      <w:r>
        <w:fldChar w:fldCharType="separate"/>
      </w:r>
      <w:r>
        <w:t>65</w:t>
      </w:r>
      <w:r>
        <w:fldChar w:fldCharType="end"/>
      </w:r>
    </w:p>
    <w:p w14:paraId="72000407">
      <w:pPr>
        <w:pStyle w:val="16"/>
        <w:tabs>
          <w:tab w:val="right" w:leader="dot" w:pos="8950"/>
        </w:tabs>
        <w:snapToGrid w:val="0"/>
        <w:ind w:left="200"/>
      </w:pPr>
      <w:r>
        <w:fldChar w:fldCharType="begin"/>
      </w:r>
      <w:r>
        <w:instrText xml:space="preserve"> HYPERLINK \l "s4_2" \h </w:instrText>
      </w:r>
      <w:r>
        <w:fldChar w:fldCharType="separate"/>
      </w:r>
      <w:r>
        <w:t>4.2　数据订阅与事件登记</w:t>
      </w:r>
      <w:r>
        <w:fldChar w:fldCharType="end"/>
      </w:r>
      <w:r>
        <w:tab/>
      </w:r>
      <w:r>
        <w:fldChar w:fldCharType="begin"/>
      </w:r>
      <w:r>
        <w:instrText xml:space="preserve"> PAGEREF s4_2 \h </w:instrText>
      </w:r>
      <w:r>
        <w:fldChar w:fldCharType="separate"/>
      </w:r>
      <w:r>
        <w:t>65</w:t>
      </w:r>
      <w:r>
        <w:fldChar w:fldCharType="end"/>
      </w:r>
    </w:p>
    <w:p w14:paraId="72000408">
      <w:pPr>
        <w:pStyle w:val="16"/>
        <w:tabs>
          <w:tab w:val="right" w:leader="dot" w:pos="8950"/>
        </w:tabs>
        <w:snapToGrid w:val="0"/>
        <w:ind w:left="400"/>
      </w:pPr>
      <w:r>
        <w:fldChar w:fldCharType="begin"/>
      </w:r>
      <w:r>
        <w:instrText xml:space="preserve"> HYPERLINK \l "s4_2_1" \h </w:instrText>
      </w:r>
      <w:r>
        <w:fldChar w:fldCharType="separate"/>
      </w:r>
      <w:r>
        <w:t>4.2.1　数据订阅管理</w:t>
      </w:r>
      <w:r>
        <w:fldChar w:fldCharType="end"/>
      </w:r>
      <w:r>
        <w:tab/>
      </w:r>
      <w:r>
        <w:fldChar w:fldCharType="begin"/>
      </w:r>
      <w:r>
        <w:instrText xml:space="preserve"> PAGEREF s4_2_1 \h </w:instrText>
      </w:r>
      <w:r>
        <w:fldChar w:fldCharType="separate"/>
      </w:r>
      <w:r>
        <w:t>65</w:t>
      </w:r>
      <w:r>
        <w:fldChar w:fldCharType="end"/>
      </w:r>
    </w:p>
    <w:p w14:paraId="72000409">
      <w:pPr>
        <w:pStyle w:val="16"/>
        <w:tabs>
          <w:tab w:val="right" w:leader="dot" w:pos="8950"/>
        </w:tabs>
        <w:snapToGrid w:val="0"/>
        <w:ind w:left="400"/>
      </w:pPr>
      <w:r>
        <w:fldChar w:fldCharType="begin"/>
      </w:r>
      <w:r>
        <w:instrText xml:space="preserve"> HYPERLINK \l "s4_2_2" \h </w:instrText>
      </w:r>
      <w:r>
        <w:fldChar w:fldCharType="separate"/>
      </w:r>
      <w:r>
        <w:t>4.2.2　业务事件登记</w:t>
      </w:r>
      <w:r>
        <w:fldChar w:fldCharType="end"/>
      </w:r>
      <w:r>
        <w:tab/>
      </w:r>
      <w:r>
        <w:fldChar w:fldCharType="begin"/>
      </w:r>
      <w:r>
        <w:instrText xml:space="preserve"> PAGEREF s4_2_2 \h </w:instrText>
      </w:r>
      <w:r>
        <w:fldChar w:fldCharType="separate"/>
      </w:r>
      <w:r>
        <w:t>66</w:t>
      </w:r>
      <w:r>
        <w:fldChar w:fldCharType="end"/>
      </w:r>
    </w:p>
    <w:p w14:paraId="7200040A">
      <w:pPr>
        <w:pStyle w:val="16"/>
        <w:tabs>
          <w:tab w:val="right" w:leader="dot" w:pos="8950"/>
        </w:tabs>
        <w:snapToGrid w:val="0"/>
        <w:ind w:left="200"/>
      </w:pPr>
      <w:r>
        <w:fldChar w:fldCharType="begin"/>
      </w:r>
      <w:r>
        <w:instrText xml:space="preserve"> HYPERLINK \l "s4_3" \h </w:instrText>
      </w:r>
      <w:r>
        <w:fldChar w:fldCharType="separate"/>
      </w:r>
      <w:r>
        <w:t>4.3　平台数据流转全链路</w:t>
      </w:r>
      <w:r>
        <w:fldChar w:fldCharType="end"/>
      </w:r>
      <w:r>
        <w:tab/>
      </w:r>
      <w:r>
        <w:fldChar w:fldCharType="begin"/>
      </w:r>
      <w:r>
        <w:instrText xml:space="preserve"> PAGEREF s4_3 \h </w:instrText>
      </w:r>
      <w:r>
        <w:fldChar w:fldCharType="separate"/>
      </w:r>
      <w:r>
        <w:t>67</w:t>
      </w:r>
      <w:r>
        <w:fldChar w:fldCharType="end"/>
      </w:r>
    </w:p>
    <w:p w14:paraId="7200040B">
      <w:pPr>
        <w:pStyle w:val="16"/>
        <w:tabs>
          <w:tab w:val="right" w:leader="dot" w:pos="8950"/>
        </w:tabs>
        <w:snapToGrid w:val="0"/>
        <w:ind w:left="200"/>
      </w:pPr>
      <w:r>
        <w:fldChar w:fldCharType="begin"/>
      </w:r>
      <w:r>
        <w:instrText xml:space="preserve"> HYPERLINK \l "s4_4" \h </w:instrText>
      </w:r>
      <w:r>
        <w:fldChar w:fldCharType="separate"/>
      </w:r>
      <w:r>
        <w:t>4.4　与全厂系统的对接</w:t>
      </w:r>
      <w:r>
        <w:fldChar w:fldCharType="end"/>
      </w:r>
      <w:r>
        <w:tab/>
      </w:r>
      <w:r>
        <w:fldChar w:fldCharType="begin"/>
      </w:r>
      <w:r>
        <w:instrText xml:space="preserve"> PAGEREF s4_4 \h </w:instrText>
      </w:r>
      <w:r>
        <w:fldChar w:fldCharType="separate"/>
      </w:r>
      <w:r>
        <w:t>68</w:t>
      </w:r>
      <w:r>
        <w:fldChar w:fldCharType="end"/>
      </w:r>
    </w:p>
    <w:p w14:paraId="7200040C">
      <w:pPr>
        <w:pStyle w:val="16"/>
        <w:tabs>
          <w:tab w:val="right" w:leader="dot" w:pos="8950"/>
        </w:tabs>
        <w:snapToGrid w:val="0"/>
        <w:ind w:left="400"/>
      </w:pPr>
      <w:r>
        <w:fldChar w:fldCharType="begin"/>
      </w:r>
      <w:r>
        <w:instrText xml:space="preserve"> HYPERLINK \l "s4_4_1" \h </w:instrText>
      </w:r>
      <w:r>
        <w:fldChar w:fldCharType="separate"/>
      </w:r>
      <w:r>
        <w:t>4.4.1　对接业务要求</w:t>
      </w:r>
      <w:r>
        <w:fldChar w:fldCharType="end"/>
      </w:r>
      <w:r>
        <w:tab/>
      </w:r>
      <w:r>
        <w:fldChar w:fldCharType="begin"/>
      </w:r>
      <w:r>
        <w:instrText xml:space="preserve"> PAGEREF s4_4_1 \h </w:instrText>
      </w:r>
      <w:r>
        <w:fldChar w:fldCharType="separate"/>
      </w:r>
      <w:r>
        <w:t>68</w:t>
      </w:r>
      <w:r>
        <w:fldChar w:fldCharType="end"/>
      </w:r>
    </w:p>
    <w:p w14:paraId="7200040D">
      <w:pPr>
        <w:pStyle w:val="16"/>
        <w:tabs>
          <w:tab w:val="right" w:leader="dot" w:pos="8950"/>
        </w:tabs>
        <w:snapToGrid w:val="0"/>
        <w:ind w:left="400"/>
      </w:pPr>
      <w:r>
        <w:fldChar w:fldCharType="begin"/>
      </w:r>
      <w:r>
        <w:instrText xml:space="preserve"> HYPERLINK \l "s4_4_2" \h </w:instrText>
      </w:r>
      <w:r>
        <w:fldChar w:fldCharType="separate"/>
      </w:r>
      <w:r>
        <w:t>4.4.2　对接集成清单</w:t>
      </w:r>
      <w:r>
        <w:fldChar w:fldCharType="end"/>
      </w:r>
      <w:r>
        <w:tab/>
      </w:r>
      <w:r>
        <w:fldChar w:fldCharType="begin"/>
      </w:r>
      <w:r>
        <w:instrText xml:space="preserve"> PAGEREF s4_4_2 \h </w:instrText>
      </w:r>
      <w:r>
        <w:fldChar w:fldCharType="separate"/>
      </w:r>
      <w:r>
        <w:t>68</w:t>
      </w:r>
      <w:r>
        <w:fldChar w:fldCharType="end"/>
      </w:r>
    </w:p>
    <w:p w14:paraId="7200040E">
      <w:pPr>
        <w:pStyle w:val="16"/>
        <w:tabs>
          <w:tab w:val="right" w:leader="dot" w:pos="8950"/>
        </w:tabs>
        <w:snapToGrid w:val="0"/>
        <w:ind w:left="400"/>
      </w:pPr>
      <w:r>
        <w:fldChar w:fldCharType="begin"/>
      </w:r>
      <w:r>
        <w:instrText xml:space="preserve"> HYPERLINK \l "s4_4_3" \h </w:instrText>
      </w:r>
      <w:r>
        <w:fldChar w:fldCharType="separate"/>
      </w:r>
      <w:r>
        <w:t>4.4.3　数据订阅与结果推送映射</w:t>
      </w:r>
      <w:r>
        <w:fldChar w:fldCharType="end"/>
      </w:r>
      <w:r>
        <w:tab/>
      </w:r>
      <w:r>
        <w:fldChar w:fldCharType="begin"/>
      </w:r>
      <w:r>
        <w:instrText xml:space="preserve"> PAGEREF s4_4_3 \h </w:instrText>
      </w:r>
      <w:r>
        <w:fldChar w:fldCharType="separate"/>
      </w:r>
      <w:r>
        <w:t>69</w:t>
      </w:r>
      <w:r>
        <w:fldChar w:fldCharType="end"/>
      </w:r>
    </w:p>
    <w:p w14:paraId="7200040F">
      <w:pPr>
        <w:pStyle w:val="16"/>
        <w:tabs>
          <w:tab w:val="right" w:leader="dot" w:pos="8950"/>
        </w:tabs>
        <w:snapToGrid w:val="0"/>
        <w:ind w:left="200"/>
      </w:pPr>
      <w:r>
        <w:fldChar w:fldCharType="begin"/>
      </w:r>
      <w:r>
        <w:instrText xml:space="preserve"> HYPERLINK \l "s4_5" \h </w:instrText>
      </w:r>
      <w:r>
        <w:fldChar w:fldCharType="separate"/>
      </w:r>
      <w:r>
        <w:t>4.5　数据治理成果与场景需求映射</w:t>
      </w:r>
      <w:r>
        <w:fldChar w:fldCharType="end"/>
      </w:r>
      <w:r>
        <w:tab/>
      </w:r>
      <w:r>
        <w:fldChar w:fldCharType="begin"/>
      </w:r>
      <w:r>
        <w:instrText xml:space="preserve"> PAGEREF s4_5 \h </w:instrText>
      </w:r>
      <w:r>
        <w:fldChar w:fldCharType="separate"/>
      </w:r>
      <w:r>
        <w:t>69</w:t>
      </w:r>
      <w:r>
        <w:fldChar w:fldCharType="end"/>
      </w:r>
    </w:p>
    <w:p w14:paraId="72000410">
      <w:pPr>
        <w:pStyle w:val="16"/>
        <w:tabs>
          <w:tab w:val="right" w:leader="dot" w:pos="8950"/>
        </w:tabs>
        <w:snapToGrid w:val="0"/>
        <w:ind w:left="0"/>
      </w:pPr>
      <w:r>
        <w:fldChar w:fldCharType="begin"/>
      </w:r>
      <w:r>
        <w:instrText xml:space="preserve"> HYPERLINK \l "s5" \h </w:instrText>
      </w:r>
      <w:r>
        <w:fldChar w:fldCharType="separate"/>
      </w:r>
      <w:r>
        <w:t>5　功能层：核心功能设计</w:t>
      </w:r>
      <w:r>
        <w:fldChar w:fldCharType="end"/>
      </w:r>
      <w:r>
        <w:tab/>
      </w:r>
      <w:r>
        <w:fldChar w:fldCharType="begin"/>
      </w:r>
      <w:r>
        <w:instrText xml:space="preserve"> PAGEREF s5 \h </w:instrText>
      </w:r>
      <w:r>
        <w:fldChar w:fldCharType="separate"/>
      </w:r>
      <w:r>
        <w:t>70</w:t>
      </w:r>
      <w:r>
        <w:fldChar w:fldCharType="end"/>
      </w:r>
    </w:p>
    <w:p w14:paraId="72000411">
      <w:pPr>
        <w:pStyle w:val="16"/>
        <w:tabs>
          <w:tab w:val="right" w:leader="dot" w:pos="8950"/>
        </w:tabs>
        <w:snapToGrid w:val="0"/>
        <w:ind w:left="200"/>
      </w:pPr>
      <w:r>
        <w:fldChar w:fldCharType="begin"/>
      </w:r>
      <w:r>
        <w:instrText xml:space="preserve"> HYPERLINK \l "s5_1" \h </w:instrText>
      </w:r>
      <w:r>
        <w:fldChar w:fldCharType="separate"/>
      </w:r>
      <w:r>
        <w:t>5.1　功能架构总览</w:t>
      </w:r>
      <w:r>
        <w:fldChar w:fldCharType="end"/>
      </w:r>
      <w:r>
        <w:tab/>
      </w:r>
      <w:r>
        <w:fldChar w:fldCharType="begin"/>
      </w:r>
      <w:r>
        <w:instrText xml:space="preserve"> PAGEREF s5_1 \h </w:instrText>
      </w:r>
      <w:r>
        <w:fldChar w:fldCharType="separate"/>
      </w:r>
      <w:r>
        <w:t>70</w:t>
      </w:r>
      <w:r>
        <w:fldChar w:fldCharType="end"/>
      </w:r>
    </w:p>
    <w:p w14:paraId="72000412">
      <w:pPr>
        <w:pStyle w:val="16"/>
        <w:tabs>
          <w:tab w:val="right" w:leader="dot" w:pos="8950"/>
        </w:tabs>
        <w:snapToGrid w:val="0"/>
        <w:ind w:left="400"/>
      </w:pPr>
      <w:r>
        <w:fldChar w:fldCharType="begin"/>
      </w:r>
      <w:r>
        <w:instrText xml:space="preserve"> HYPERLINK \l "s5_1_1" \h </w:instrText>
      </w:r>
      <w:r>
        <w:fldChar w:fldCharType="separate"/>
      </w:r>
      <w:r>
        <w:t>5.1.1　项目AI功能架构</w:t>
      </w:r>
      <w:r>
        <w:fldChar w:fldCharType="end"/>
      </w:r>
      <w:r>
        <w:tab/>
      </w:r>
      <w:r>
        <w:fldChar w:fldCharType="begin"/>
      </w:r>
      <w:r>
        <w:instrText xml:space="preserve"> PAGEREF s5_1_1 \h </w:instrText>
      </w:r>
      <w:r>
        <w:fldChar w:fldCharType="separate"/>
      </w:r>
      <w:r>
        <w:t>70</w:t>
      </w:r>
      <w:r>
        <w:fldChar w:fldCharType="end"/>
      </w:r>
    </w:p>
    <w:p w14:paraId="72000413">
      <w:pPr>
        <w:pStyle w:val="16"/>
        <w:tabs>
          <w:tab w:val="right" w:leader="dot" w:pos="8950"/>
        </w:tabs>
        <w:snapToGrid w:val="0"/>
        <w:ind w:left="400"/>
      </w:pPr>
      <w:r>
        <w:fldChar w:fldCharType="begin"/>
      </w:r>
      <w:r>
        <w:instrText xml:space="preserve"> HYPERLINK \l "s5_1_2" \h </w:instrText>
      </w:r>
      <w:r>
        <w:fldChar w:fldCharType="separate"/>
      </w:r>
      <w:r>
        <w:t>5.1.2　功能事项清单</w:t>
      </w:r>
      <w:r>
        <w:fldChar w:fldCharType="end"/>
      </w:r>
      <w:r>
        <w:tab/>
      </w:r>
      <w:r>
        <w:fldChar w:fldCharType="begin"/>
      </w:r>
      <w:r>
        <w:instrText xml:space="preserve"> PAGEREF s5_1_2 \h </w:instrText>
      </w:r>
      <w:r>
        <w:fldChar w:fldCharType="separate"/>
      </w:r>
      <w:r>
        <w:t>71</w:t>
      </w:r>
      <w:r>
        <w:fldChar w:fldCharType="end"/>
      </w:r>
    </w:p>
    <w:p w14:paraId="72000414">
      <w:pPr>
        <w:pStyle w:val="16"/>
        <w:tabs>
          <w:tab w:val="right" w:leader="dot" w:pos="8950"/>
        </w:tabs>
        <w:snapToGrid w:val="0"/>
        <w:ind w:left="400"/>
      </w:pPr>
      <w:r>
        <w:fldChar w:fldCharType="begin"/>
      </w:r>
      <w:r>
        <w:instrText xml:space="preserve"> HYPERLINK \l "s5_1_3" \h </w:instrText>
      </w:r>
      <w:r>
        <w:fldChar w:fldCharType="separate"/>
      </w:r>
      <w:r>
        <w:t>5.1.3　用户角色与功能权限</w:t>
      </w:r>
      <w:r>
        <w:fldChar w:fldCharType="end"/>
      </w:r>
      <w:r>
        <w:tab/>
      </w:r>
      <w:r>
        <w:fldChar w:fldCharType="begin"/>
      </w:r>
      <w:r>
        <w:instrText xml:space="preserve"> PAGEREF s5_1_3 \h </w:instrText>
      </w:r>
      <w:r>
        <w:fldChar w:fldCharType="separate"/>
      </w:r>
      <w:r>
        <w:t>83</w:t>
      </w:r>
      <w:r>
        <w:fldChar w:fldCharType="end"/>
      </w:r>
    </w:p>
    <w:p w14:paraId="72000415">
      <w:pPr>
        <w:pStyle w:val="16"/>
        <w:tabs>
          <w:tab w:val="right" w:leader="dot" w:pos="8950"/>
        </w:tabs>
        <w:snapToGrid w:val="0"/>
        <w:ind w:left="400"/>
      </w:pPr>
      <w:r>
        <w:fldChar w:fldCharType="begin"/>
      </w:r>
      <w:r>
        <w:instrText xml:space="preserve"> HYPERLINK \l "s5_1_4" \h </w:instrText>
      </w:r>
      <w:r>
        <w:fldChar w:fldCharType="separate"/>
      </w:r>
      <w:r>
        <w:t>5.1.4　功能协同与业务衔接</w:t>
      </w:r>
      <w:r>
        <w:fldChar w:fldCharType="end"/>
      </w:r>
      <w:r>
        <w:tab/>
      </w:r>
      <w:r>
        <w:fldChar w:fldCharType="begin"/>
      </w:r>
      <w:r>
        <w:instrText xml:space="preserve"> PAGEREF s5_1_4 \h </w:instrText>
      </w:r>
      <w:r>
        <w:fldChar w:fldCharType="separate"/>
      </w:r>
      <w:r>
        <w:t>83</w:t>
      </w:r>
      <w:r>
        <w:fldChar w:fldCharType="end"/>
      </w:r>
    </w:p>
    <w:p w14:paraId="72000416">
      <w:pPr>
        <w:pStyle w:val="16"/>
        <w:tabs>
          <w:tab w:val="right" w:leader="dot" w:pos="8950"/>
        </w:tabs>
        <w:snapToGrid w:val="0"/>
        <w:ind w:left="200"/>
      </w:pPr>
      <w:r>
        <w:fldChar w:fldCharType="begin"/>
      </w:r>
      <w:r>
        <w:instrText xml:space="preserve"> HYPERLINK \l "s5_2" \h </w:instrText>
      </w:r>
      <w:r>
        <w:fldChar w:fldCharType="separate"/>
      </w:r>
      <w:r>
        <w:t>5.2　平台门户</w:t>
      </w:r>
      <w:r>
        <w:fldChar w:fldCharType="end"/>
      </w:r>
      <w:r>
        <w:tab/>
      </w:r>
      <w:r>
        <w:fldChar w:fldCharType="begin"/>
      </w:r>
      <w:r>
        <w:instrText xml:space="preserve"> PAGEREF s5_2 \h </w:instrText>
      </w:r>
      <w:r>
        <w:fldChar w:fldCharType="separate"/>
      </w:r>
      <w:r>
        <w:t>83</w:t>
      </w:r>
      <w:r>
        <w:fldChar w:fldCharType="end"/>
      </w:r>
    </w:p>
    <w:p w14:paraId="72000417">
      <w:pPr>
        <w:pStyle w:val="16"/>
        <w:tabs>
          <w:tab w:val="right" w:leader="dot" w:pos="8950"/>
        </w:tabs>
        <w:snapToGrid w:val="0"/>
        <w:ind w:left="400"/>
      </w:pPr>
      <w:r>
        <w:fldChar w:fldCharType="begin"/>
      </w:r>
      <w:r>
        <w:instrText xml:space="preserve"> HYPERLINK \l "s5_2_1" \h </w:instrText>
      </w:r>
      <w:r>
        <w:fldChar w:fldCharType="separate"/>
      </w:r>
      <w:r>
        <w:t>5.2.1　用户交互</w:t>
      </w:r>
      <w:r>
        <w:fldChar w:fldCharType="end"/>
      </w:r>
      <w:r>
        <w:tab/>
      </w:r>
      <w:r>
        <w:fldChar w:fldCharType="begin"/>
      </w:r>
      <w:r>
        <w:instrText xml:space="preserve"> PAGEREF s5_2_1 \h </w:instrText>
      </w:r>
      <w:r>
        <w:fldChar w:fldCharType="separate"/>
      </w:r>
      <w:r>
        <w:t>83</w:t>
      </w:r>
      <w:r>
        <w:fldChar w:fldCharType="end"/>
      </w:r>
    </w:p>
    <w:p w14:paraId="72000418">
      <w:pPr>
        <w:pStyle w:val="16"/>
        <w:tabs>
          <w:tab w:val="right" w:leader="dot" w:pos="8950"/>
        </w:tabs>
        <w:snapToGrid w:val="0"/>
        <w:ind w:left="400"/>
      </w:pPr>
      <w:r>
        <w:fldChar w:fldCharType="begin"/>
      </w:r>
      <w:r>
        <w:instrText xml:space="preserve"> HYPERLINK \l "s5_2_2" \h </w:instrText>
      </w:r>
      <w:r>
        <w:fldChar w:fldCharType="separate"/>
      </w:r>
      <w:r>
        <w:t>5.2.2　统一入口与结果展示</w:t>
      </w:r>
      <w:r>
        <w:fldChar w:fldCharType="end"/>
      </w:r>
      <w:r>
        <w:tab/>
      </w:r>
      <w:r>
        <w:fldChar w:fldCharType="begin"/>
      </w:r>
      <w:r>
        <w:instrText xml:space="preserve"> PAGEREF s5_2_2 \h </w:instrText>
      </w:r>
      <w:r>
        <w:fldChar w:fldCharType="separate"/>
      </w:r>
      <w:r>
        <w:t>84</w:t>
      </w:r>
      <w:r>
        <w:fldChar w:fldCharType="end"/>
      </w:r>
    </w:p>
    <w:p w14:paraId="72000419">
      <w:pPr>
        <w:pStyle w:val="16"/>
        <w:tabs>
          <w:tab w:val="right" w:leader="dot" w:pos="8950"/>
        </w:tabs>
        <w:snapToGrid w:val="0"/>
        <w:ind w:left="400"/>
      </w:pPr>
      <w:r>
        <w:fldChar w:fldCharType="begin"/>
      </w:r>
      <w:r>
        <w:instrText xml:space="preserve"> HYPERLINK \l "s5_2_3" \h </w:instrText>
      </w:r>
      <w:r>
        <w:fldChar w:fldCharType="separate"/>
      </w:r>
      <w:r>
        <w:t>5.2.3　对话工作台</w:t>
      </w:r>
      <w:r>
        <w:fldChar w:fldCharType="end"/>
      </w:r>
      <w:r>
        <w:tab/>
      </w:r>
      <w:r>
        <w:fldChar w:fldCharType="begin"/>
      </w:r>
      <w:r>
        <w:instrText xml:space="preserve"> PAGEREF s5_2_3 \h </w:instrText>
      </w:r>
      <w:r>
        <w:fldChar w:fldCharType="separate"/>
      </w:r>
      <w:r>
        <w:t>84</w:t>
      </w:r>
      <w:r>
        <w:fldChar w:fldCharType="end"/>
      </w:r>
    </w:p>
    <w:p w14:paraId="7200041A">
      <w:pPr>
        <w:pStyle w:val="16"/>
        <w:tabs>
          <w:tab w:val="right" w:leader="dot" w:pos="8950"/>
        </w:tabs>
        <w:snapToGrid w:val="0"/>
        <w:ind w:left="400"/>
      </w:pPr>
      <w:r>
        <w:fldChar w:fldCharType="begin"/>
      </w:r>
      <w:r>
        <w:instrText xml:space="preserve"> HYPERLINK \l "s5_2_4" \h </w:instrText>
      </w:r>
      <w:r>
        <w:fldChar w:fldCharType="separate"/>
      </w:r>
      <w:r>
        <w:t>5.2.4　会话管理</w:t>
      </w:r>
      <w:r>
        <w:fldChar w:fldCharType="end"/>
      </w:r>
      <w:r>
        <w:tab/>
      </w:r>
      <w:r>
        <w:fldChar w:fldCharType="begin"/>
      </w:r>
      <w:r>
        <w:instrText xml:space="preserve"> PAGEREF s5_2_4 \h </w:instrText>
      </w:r>
      <w:r>
        <w:fldChar w:fldCharType="separate"/>
      </w:r>
      <w:r>
        <w:t>86</w:t>
      </w:r>
      <w:r>
        <w:fldChar w:fldCharType="end"/>
      </w:r>
    </w:p>
    <w:p w14:paraId="7200041B">
      <w:pPr>
        <w:pStyle w:val="16"/>
        <w:tabs>
          <w:tab w:val="right" w:leader="dot" w:pos="8950"/>
        </w:tabs>
        <w:snapToGrid w:val="0"/>
        <w:ind w:left="400"/>
      </w:pPr>
      <w:r>
        <w:fldChar w:fldCharType="begin"/>
      </w:r>
      <w:r>
        <w:instrText xml:space="preserve"> HYPERLINK \l "s5_2_5" \h </w:instrText>
      </w:r>
      <w:r>
        <w:fldChar w:fldCharType="separate"/>
      </w:r>
      <w:r>
        <w:t>5.2.5　事件订阅与推送管理</w:t>
      </w:r>
      <w:r>
        <w:fldChar w:fldCharType="end"/>
      </w:r>
      <w:r>
        <w:tab/>
      </w:r>
      <w:r>
        <w:fldChar w:fldCharType="begin"/>
      </w:r>
      <w:r>
        <w:instrText xml:space="preserve"> PAGEREF s5_2_5 \h </w:instrText>
      </w:r>
      <w:r>
        <w:fldChar w:fldCharType="separate"/>
      </w:r>
      <w:r>
        <w:t>86</w:t>
      </w:r>
      <w:r>
        <w:fldChar w:fldCharType="end"/>
      </w:r>
    </w:p>
    <w:p w14:paraId="7200041C">
      <w:pPr>
        <w:pStyle w:val="16"/>
        <w:tabs>
          <w:tab w:val="right" w:leader="dot" w:pos="8950"/>
        </w:tabs>
        <w:snapToGrid w:val="0"/>
        <w:ind w:left="400"/>
      </w:pPr>
      <w:r>
        <w:fldChar w:fldCharType="begin"/>
      </w:r>
      <w:r>
        <w:instrText xml:space="preserve"> HYPERLINK \l "s5_2_6" \h </w:instrText>
      </w:r>
      <w:r>
        <w:fldChar w:fldCharType="separate"/>
      </w:r>
      <w:r>
        <w:t>5.2.6　报告收件箱与分析结论台账</w:t>
      </w:r>
      <w:r>
        <w:fldChar w:fldCharType="end"/>
      </w:r>
      <w:r>
        <w:tab/>
      </w:r>
      <w:r>
        <w:fldChar w:fldCharType="begin"/>
      </w:r>
      <w:r>
        <w:instrText xml:space="preserve"> PAGEREF s5_2_6 \h </w:instrText>
      </w:r>
      <w:r>
        <w:fldChar w:fldCharType="separate"/>
      </w:r>
      <w:r>
        <w:t>87</w:t>
      </w:r>
      <w:r>
        <w:fldChar w:fldCharType="end"/>
      </w:r>
    </w:p>
    <w:p w14:paraId="7200041D">
      <w:pPr>
        <w:pStyle w:val="16"/>
        <w:tabs>
          <w:tab w:val="right" w:leader="dot" w:pos="8950"/>
        </w:tabs>
        <w:snapToGrid w:val="0"/>
        <w:ind w:left="400"/>
      </w:pPr>
      <w:r>
        <w:fldChar w:fldCharType="begin"/>
      </w:r>
      <w:r>
        <w:instrText xml:space="preserve"> HYPERLINK \l "s5_2_7" \h </w:instrText>
      </w:r>
      <w:r>
        <w:fldChar w:fldCharType="separate"/>
      </w:r>
      <w:r>
        <w:t>5.2.7　反馈与通知</w:t>
      </w:r>
      <w:r>
        <w:fldChar w:fldCharType="end"/>
      </w:r>
      <w:r>
        <w:tab/>
      </w:r>
      <w:r>
        <w:fldChar w:fldCharType="begin"/>
      </w:r>
      <w:r>
        <w:instrText xml:space="preserve"> PAGEREF s5_2_7 \h </w:instrText>
      </w:r>
      <w:r>
        <w:fldChar w:fldCharType="separate"/>
      </w:r>
      <w:r>
        <w:t>89</w:t>
      </w:r>
      <w:r>
        <w:fldChar w:fldCharType="end"/>
      </w:r>
    </w:p>
    <w:p w14:paraId="7200041E">
      <w:pPr>
        <w:pStyle w:val="16"/>
        <w:tabs>
          <w:tab w:val="right" w:leader="dot" w:pos="8950"/>
        </w:tabs>
        <w:snapToGrid w:val="0"/>
        <w:ind w:left="200"/>
      </w:pPr>
      <w:r>
        <w:fldChar w:fldCharType="begin"/>
      </w:r>
      <w:r>
        <w:instrText xml:space="preserve"> HYPERLINK \l "s5_3" \h </w:instrText>
      </w:r>
      <w:r>
        <w:fldChar w:fldCharType="separate"/>
      </w:r>
      <w:r>
        <w:t>5.3　场景与专项AI能力</w:t>
      </w:r>
      <w:r>
        <w:fldChar w:fldCharType="end"/>
      </w:r>
      <w:r>
        <w:tab/>
      </w:r>
      <w:r>
        <w:fldChar w:fldCharType="begin"/>
      </w:r>
      <w:r>
        <w:instrText xml:space="preserve"> PAGEREF s5_3 \h </w:instrText>
      </w:r>
      <w:r>
        <w:fldChar w:fldCharType="separate"/>
      </w:r>
      <w:r>
        <w:t>89</w:t>
      </w:r>
      <w:r>
        <w:fldChar w:fldCharType="end"/>
      </w:r>
    </w:p>
    <w:p w14:paraId="7200041F">
      <w:pPr>
        <w:pStyle w:val="16"/>
        <w:tabs>
          <w:tab w:val="right" w:leader="dot" w:pos="8950"/>
        </w:tabs>
        <w:snapToGrid w:val="0"/>
        <w:ind w:left="400"/>
      </w:pPr>
      <w:r>
        <w:fldChar w:fldCharType="begin"/>
      </w:r>
      <w:r>
        <w:instrText xml:space="preserve"> HYPERLINK \l "s5_3_1" \h </w:instrText>
      </w:r>
      <w:r>
        <w:fldChar w:fldCharType="separate"/>
      </w:r>
      <w:r>
        <w:t>5.3.1　统一问数类</w:t>
      </w:r>
      <w:r>
        <w:fldChar w:fldCharType="end"/>
      </w:r>
      <w:r>
        <w:tab/>
      </w:r>
      <w:r>
        <w:fldChar w:fldCharType="begin"/>
      </w:r>
      <w:r>
        <w:instrText xml:space="preserve"> PAGEREF s5_3_1 \h </w:instrText>
      </w:r>
      <w:r>
        <w:fldChar w:fldCharType="separate"/>
      </w:r>
      <w:r>
        <w:t>89</w:t>
      </w:r>
      <w:r>
        <w:fldChar w:fldCharType="end"/>
      </w:r>
    </w:p>
    <w:p w14:paraId="72000420">
      <w:pPr>
        <w:pStyle w:val="16"/>
        <w:tabs>
          <w:tab w:val="right" w:leader="dot" w:pos="8950"/>
        </w:tabs>
        <w:snapToGrid w:val="0"/>
        <w:ind w:left="600"/>
      </w:pPr>
      <w:r>
        <w:fldChar w:fldCharType="begin"/>
      </w:r>
      <w:r>
        <w:instrText xml:space="preserve"> HYPERLINK \l "s5_3_1_1" \h </w:instrText>
      </w:r>
      <w:r>
        <w:fldChar w:fldCharType="separate"/>
      </w:r>
      <w:r>
        <w:t>5.3.1.1　智能问数</w:t>
      </w:r>
      <w:r>
        <w:fldChar w:fldCharType="end"/>
      </w:r>
      <w:r>
        <w:tab/>
      </w:r>
      <w:r>
        <w:fldChar w:fldCharType="begin"/>
      </w:r>
      <w:r>
        <w:instrText xml:space="preserve"> PAGEREF s5_3_1_1 \h </w:instrText>
      </w:r>
      <w:r>
        <w:fldChar w:fldCharType="separate"/>
      </w:r>
      <w:r>
        <w:t>89</w:t>
      </w:r>
      <w:r>
        <w:fldChar w:fldCharType="end"/>
      </w:r>
    </w:p>
    <w:p w14:paraId="72000421">
      <w:pPr>
        <w:pStyle w:val="16"/>
        <w:tabs>
          <w:tab w:val="right" w:leader="dot" w:pos="8950"/>
        </w:tabs>
        <w:snapToGrid w:val="0"/>
        <w:ind w:left="400"/>
      </w:pPr>
      <w:r>
        <w:fldChar w:fldCharType="begin"/>
      </w:r>
      <w:r>
        <w:instrText xml:space="preserve"> HYPERLINK \l "s5_3_2" \h </w:instrText>
      </w:r>
      <w:r>
        <w:fldChar w:fldCharType="separate"/>
      </w:r>
      <w:r>
        <w:t>5.3.2　归因分析与衡算类</w:t>
      </w:r>
      <w:r>
        <w:fldChar w:fldCharType="end"/>
      </w:r>
      <w:r>
        <w:tab/>
      </w:r>
      <w:r>
        <w:fldChar w:fldCharType="begin"/>
      </w:r>
      <w:r>
        <w:instrText xml:space="preserve"> PAGEREF s5_3_2 \h </w:instrText>
      </w:r>
      <w:r>
        <w:fldChar w:fldCharType="separate"/>
      </w:r>
      <w:r>
        <w:t>90</w:t>
      </w:r>
      <w:r>
        <w:fldChar w:fldCharType="end"/>
      </w:r>
    </w:p>
    <w:p w14:paraId="72000422">
      <w:pPr>
        <w:pStyle w:val="16"/>
        <w:tabs>
          <w:tab w:val="right" w:leader="dot" w:pos="8950"/>
        </w:tabs>
        <w:snapToGrid w:val="0"/>
        <w:ind w:left="600"/>
      </w:pPr>
      <w:r>
        <w:fldChar w:fldCharType="begin"/>
      </w:r>
      <w:r>
        <w:instrText xml:space="preserve"> HYPERLINK \l "s5_3_2_1" \h </w:instrText>
      </w:r>
      <w:r>
        <w:fldChar w:fldCharType="separate"/>
      </w:r>
      <w:r>
        <w:t>5.3.2.1　实时物料平衡根因分析</w:t>
      </w:r>
      <w:r>
        <w:fldChar w:fldCharType="end"/>
      </w:r>
      <w:r>
        <w:tab/>
      </w:r>
      <w:r>
        <w:fldChar w:fldCharType="begin"/>
      </w:r>
      <w:r>
        <w:instrText xml:space="preserve"> PAGEREF s5_3_2_1 \h </w:instrText>
      </w:r>
      <w:r>
        <w:fldChar w:fldCharType="separate"/>
      </w:r>
      <w:r>
        <w:t>90</w:t>
      </w:r>
      <w:r>
        <w:fldChar w:fldCharType="end"/>
      </w:r>
    </w:p>
    <w:p w14:paraId="72000423">
      <w:pPr>
        <w:pStyle w:val="16"/>
        <w:tabs>
          <w:tab w:val="right" w:leader="dot" w:pos="8950"/>
        </w:tabs>
        <w:snapToGrid w:val="0"/>
        <w:ind w:left="600"/>
      </w:pPr>
      <w:r>
        <w:fldChar w:fldCharType="begin"/>
      </w:r>
      <w:r>
        <w:instrText xml:space="preserve"> HYPERLINK \l "s5_3_2_2" \h </w:instrText>
      </w:r>
      <w:r>
        <w:fldChar w:fldCharType="separate"/>
      </w:r>
      <w:r>
        <w:t>5.3.2.2　实时能量平衡根因分析</w:t>
      </w:r>
      <w:r>
        <w:fldChar w:fldCharType="end"/>
      </w:r>
      <w:r>
        <w:tab/>
      </w:r>
      <w:r>
        <w:fldChar w:fldCharType="begin"/>
      </w:r>
      <w:r>
        <w:instrText xml:space="preserve"> PAGEREF s5_3_2_2 \h </w:instrText>
      </w:r>
      <w:r>
        <w:fldChar w:fldCharType="separate"/>
      </w:r>
      <w:r>
        <w:t>91</w:t>
      </w:r>
      <w:r>
        <w:fldChar w:fldCharType="end"/>
      </w:r>
    </w:p>
    <w:p w14:paraId="72000424">
      <w:pPr>
        <w:pStyle w:val="16"/>
        <w:tabs>
          <w:tab w:val="right" w:leader="dot" w:pos="8950"/>
        </w:tabs>
        <w:snapToGrid w:val="0"/>
        <w:ind w:left="600"/>
      </w:pPr>
      <w:r>
        <w:fldChar w:fldCharType="begin"/>
      </w:r>
      <w:r>
        <w:instrText xml:space="preserve"> HYPERLINK \l "s5_3_2_3" \h </w:instrText>
      </w:r>
      <w:r>
        <w:fldChar w:fldCharType="separate"/>
      </w:r>
      <w:r>
        <w:t>5.3.2.3　实时能耗异常识别</w:t>
      </w:r>
      <w:r>
        <w:fldChar w:fldCharType="end"/>
      </w:r>
      <w:r>
        <w:tab/>
      </w:r>
      <w:r>
        <w:fldChar w:fldCharType="begin"/>
      </w:r>
      <w:r>
        <w:instrText xml:space="preserve"> PAGEREF s5_3_2_3 \h </w:instrText>
      </w:r>
      <w:r>
        <w:fldChar w:fldCharType="separate"/>
      </w:r>
      <w:r>
        <w:t>91</w:t>
      </w:r>
      <w:r>
        <w:fldChar w:fldCharType="end"/>
      </w:r>
    </w:p>
    <w:p w14:paraId="72000425">
      <w:pPr>
        <w:pStyle w:val="16"/>
        <w:tabs>
          <w:tab w:val="right" w:leader="dot" w:pos="8950"/>
        </w:tabs>
        <w:snapToGrid w:val="0"/>
        <w:ind w:left="600"/>
      </w:pPr>
      <w:r>
        <w:fldChar w:fldCharType="begin"/>
      </w:r>
      <w:r>
        <w:instrText xml:space="preserve"> HYPERLINK \l "s5_3_2_4" \h </w:instrText>
      </w:r>
      <w:r>
        <w:fldChar w:fldCharType="separate"/>
      </w:r>
      <w:r>
        <w:t>5.3.2.4　工序物料衡算</w:t>
      </w:r>
      <w:r>
        <w:fldChar w:fldCharType="end"/>
      </w:r>
      <w:r>
        <w:tab/>
      </w:r>
      <w:r>
        <w:fldChar w:fldCharType="begin"/>
      </w:r>
      <w:r>
        <w:instrText xml:space="preserve"> PAGEREF s5_3_2_4 \h </w:instrText>
      </w:r>
      <w:r>
        <w:fldChar w:fldCharType="separate"/>
      </w:r>
      <w:r>
        <w:t>92</w:t>
      </w:r>
      <w:r>
        <w:fldChar w:fldCharType="end"/>
      </w:r>
    </w:p>
    <w:p w14:paraId="72000426">
      <w:pPr>
        <w:pStyle w:val="16"/>
        <w:tabs>
          <w:tab w:val="right" w:leader="dot" w:pos="8950"/>
        </w:tabs>
        <w:snapToGrid w:val="0"/>
        <w:ind w:left="600"/>
      </w:pPr>
      <w:r>
        <w:fldChar w:fldCharType="begin"/>
      </w:r>
      <w:r>
        <w:instrText xml:space="preserve"> HYPERLINK \l "s5_3_2_5" \h </w:instrText>
      </w:r>
      <w:r>
        <w:fldChar w:fldCharType="separate"/>
      </w:r>
      <w:r>
        <w:t>5.3.2.5　工序能量衡算</w:t>
      </w:r>
      <w:r>
        <w:fldChar w:fldCharType="end"/>
      </w:r>
      <w:r>
        <w:tab/>
      </w:r>
      <w:r>
        <w:fldChar w:fldCharType="begin"/>
      </w:r>
      <w:r>
        <w:instrText xml:space="preserve"> PAGEREF s5_3_2_5 \h </w:instrText>
      </w:r>
      <w:r>
        <w:fldChar w:fldCharType="separate"/>
      </w:r>
      <w:r>
        <w:t>93</w:t>
      </w:r>
      <w:r>
        <w:fldChar w:fldCharType="end"/>
      </w:r>
    </w:p>
    <w:p w14:paraId="72000427">
      <w:pPr>
        <w:pStyle w:val="16"/>
        <w:tabs>
          <w:tab w:val="right" w:leader="dot" w:pos="8950"/>
        </w:tabs>
        <w:snapToGrid w:val="0"/>
        <w:ind w:left="600"/>
      </w:pPr>
      <w:r>
        <w:fldChar w:fldCharType="begin"/>
      </w:r>
      <w:r>
        <w:instrText xml:space="preserve"> HYPERLINK \l "s5_3_2_6" \h </w:instrText>
      </w:r>
      <w:r>
        <w:fldChar w:fldCharType="separate"/>
      </w:r>
      <w:r>
        <w:t>5.3.2.6　成本追溯</w:t>
      </w:r>
      <w:r>
        <w:fldChar w:fldCharType="end"/>
      </w:r>
      <w:r>
        <w:tab/>
      </w:r>
      <w:r>
        <w:fldChar w:fldCharType="begin"/>
      </w:r>
      <w:r>
        <w:instrText xml:space="preserve"> PAGEREF s5_3_2_6 \h </w:instrText>
      </w:r>
      <w:r>
        <w:fldChar w:fldCharType="separate"/>
      </w:r>
      <w:r>
        <w:t>93</w:t>
      </w:r>
      <w:r>
        <w:fldChar w:fldCharType="end"/>
      </w:r>
    </w:p>
    <w:p w14:paraId="72000428">
      <w:pPr>
        <w:pStyle w:val="16"/>
        <w:tabs>
          <w:tab w:val="right" w:leader="dot" w:pos="8950"/>
        </w:tabs>
        <w:snapToGrid w:val="0"/>
        <w:ind w:left="600"/>
      </w:pPr>
      <w:r>
        <w:fldChar w:fldCharType="begin"/>
      </w:r>
      <w:r>
        <w:instrText xml:space="preserve"> HYPERLINK \l "s5_3_2_7" \h </w:instrText>
      </w:r>
      <w:r>
        <w:fldChar w:fldCharType="separate"/>
      </w:r>
      <w:r>
        <w:t>5.3.2.7　智能质量追溯</w:t>
      </w:r>
      <w:r>
        <w:fldChar w:fldCharType="end"/>
      </w:r>
      <w:r>
        <w:tab/>
      </w:r>
      <w:r>
        <w:fldChar w:fldCharType="begin"/>
      </w:r>
      <w:r>
        <w:instrText xml:space="preserve"> PAGEREF s5_3_2_7 \h </w:instrText>
      </w:r>
      <w:r>
        <w:fldChar w:fldCharType="separate"/>
      </w:r>
      <w:r>
        <w:t>94</w:t>
      </w:r>
      <w:r>
        <w:fldChar w:fldCharType="end"/>
      </w:r>
    </w:p>
    <w:p w14:paraId="72000429">
      <w:pPr>
        <w:pStyle w:val="16"/>
        <w:tabs>
          <w:tab w:val="right" w:leader="dot" w:pos="8950"/>
        </w:tabs>
        <w:snapToGrid w:val="0"/>
        <w:ind w:left="600"/>
      </w:pPr>
      <w:r>
        <w:fldChar w:fldCharType="begin"/>
      </w:r>
      <w:r>
        <w:instrText xml:space="preserve"> HYPERLINK \l "s5_3_2_8" \h </w:instrText>
      </w:r>
      <w:r>
        <w:fldChar w:fldCharType="separate"/>
      </w:r>
      <w:r>
        <w:t>5.3.2.8　动设备故障预警与动设备管理</w:t>
      </w:r>
      <w:r>
        <w:fldChar w:fldCharType="end"/>
      </w:r>
      <w:r>
        <w:tab/>
      </w:r>
      <w:r>
        <w:fldChar w:fldCharType="begin"/>
      </w:r>
      <w:r>
        <w:instrText xml:space="preserve"> PAGEREF s5_3_2_8 \h </w:instrText>
      </w:r>
      <w:r>
        <w:fldChar w:fldCharType="separate"/>
      </w:r>
      <w:r>
        <w:t>95</w:t>
      </w:r>
      <w:r>
        <w:fldChar w:fldCharType="end"/>
      </w:r>
    </w:p>
    <w:p w14:paraId="7200042D">
      <w:pPr>
        <w:pStyle w:val="16"/>
        <w:tabs>
          <w:tab w:val="right" w:leader="dot" w:pos="8950"/>
        </w:tabs>
        <w:snapToGrid w:val="0"/>
        <w:ind w:left="600"/>
      </w:pPr>
      <w:r>
        <w:fldChar w:fldCharType="begin"/>
      </w:r>
      <w:r>
        <w:instrText xml:space="preserve"> HYPERLINK \l "s5_3_2_9" \h </w:instrText>
      </w:r>
      <w:r>
        <w:fldChar w:fldCharType="separate"/>
      </w:r>
      <w:r>
        <w:t>5.3.2.9　质量根因分析</w:t>
      </w:r>
      <w:r>
        <w:fldChar w:fldCharType="end"/>
      </w:r>
      <w:r>
        <w:tab/>
      </w:r>
      <w:r>
        <w:fldChar w:fldCharType="begin"/>
      </w:r>
      <w:r>
        <w:instrText xml:space="preserve"> PAGEREF s5_3_2_9 \h </w:instrText>
      </w:r>
      <w:r>
        <w:fldChar w:fldCharType="separate"/>
      </w:r>
      <w:r>
        <w:t>95</w:t>
      </w:r>
      <w:r>
        <w:fldChar w:fldCharType="end"/>
      </w:r>
    </w:p>
    <w:p w14:paraId="7200042A">
      <w:pPr>
        <w:pStyle w:val="16"/>
        <w:tabs>
          <w:tab w:val="right" w:leader="dot" w:pos="8950"/>
        </w:tabs>
        <w:snapToGrid w:val="0"/>
        <w:ind w:left="400"/>
      </w:pPr>
      <w:r>
        <w:fldChar w:fldCharType="begin"/>
      </w:r>
      <w:r>
        <w:instrText xml:space="preserve"> HYPERLINK \l "s5_3_3" \h </w:instrText>
      </w:r>
      <w:r>
        <w:fldChar w:fldCharType="separate"/>
      </w:r>
      <w:r>
        <w:t>5.3.3　优化建议类</w:t>
      </w:r>
      <w:r>
        <w:fldChar w:fldCharType="end"/>
      </w:r>
      <w:r>
        <w:tab/>
      </w:r>
      <w:r>
        <w:fldChar w:fldCharType="begin"/>
      </w:r>
      <w:r>
        <w:instrText xml:space="preserve"> PAGEREF s5_3_3 \h </w:instrText>
      </w:r>
      <w:r>
        <w:fldChar w:fldCharType="separate"/>
      </w:r>
      <w:r>
        <w:t>97</w:t>
      </w:r>
      <w:r>
        <w:fldChar w:fldCharType="end"/>
      </w:r>
    </w:p>
    <w:p w14:paraId="7200042B">
      <w:pPr>
        <w:pStyle w:val="16"/>
        <w:tabs>
          <w:tab w:val="right" w:leader="dot" w:pos="8950"/>
        </w:tabs>
        <w:snapToGrid w:val="0"/>
        <w:ind w:left="600"/>
      </w:pPr>
      <w:r>
        <w:fldChar w:fldCharType="begin"/>
      </w:r>
      <w:r>
        <w:instrText xml:space="preserve"> HYPERLINK \l "s5_3_3_1" \h </w:instrText>
      </w:r>
      <w:r>
        <w:fldChar w:fldCharType="separate"/>
      </w:r>
      <w:r>
        <w:t>5.3.3.1　供应链优化与协同系统结果输出</w:t>
      </w:r>
      <w:r>
        <w:fldChar w:fldCharType="end"/>
      </w:r>
      <w:r>
        <w:tab/>
      </w:r>
      <w:r>
        <w:fldChar w:fldCharType="begin"/>
      </w:r>
      <w:r>
        <w:instrText xml:space="preserve"> PAGEREF s5_3_3_1 \h </w:instrText>
      </w:r>
      <w:r>
        <w:fldChar w:fldCharType="separate"/>
      </w:r>
      <w:r>
        <w:t>97</w:t>
      </w:r>
      <w:r>
        <w:fldChar w:fldCharType="end"/>
      </w:r>
    </w:p>
    <w:p w14:paraId="7200042C">
      <w:pPr>
        <w:pStyle w:val="16"/>
        <w:tabs>
          <w:tab w:val="right" w:leader="dot" w:pos="8950"/>
        </w:tabs>
        <w:snapToGrid w:val="0"/>
        <w:ind w:left="600"/>
      </w:pPr>
      <w:r>
        <w:fldChar w:fldCharType="begin"/>
      </w:r>
      <w:r>
        <w:instrText xml:space="preserve"> HYPERLINK \l "s5_3_3_2" \h </w:instrText>
      </w:r>
      <w:r>
        <w:fldChar w:fldCharType="separate"/>
      </w:r>
      <w:r>
        <w:t>5.3.3.2　物流优化</w:t>
      </w:r>
      <w:r>
        <w:fldChar w:fldCharType="end"/>
      </w:r>
      <w:r>
        <w:tab/>
      </w:r>
      <w:r>
        <w:fldChar w:fldCharType="begin"/>
      </w:r>
      <w:r>
        <w:instrText xml:space="preserve"> PAGEREF s5_3_3_2 \h </w:instrText>
      </w:r>
      <w:r>
        <w:fldChar w:fldCharType="separate"/>
      </w:r>
      <w:r>
        <w:t>98</w:t>
      </w:r>
      <w:r>
        <w:fldChar w:fldCharType="end"/>
      </w:r>
    </w:p>
    <w:p w14:paraId="7200042E">
      <w:pPr>
        <w:pStyle w:val="16"/>
        <w:tabs>
          <w:tab w:val="right" w:leader="dot" w:pos="8950"/>
        </w:tabs>
        <w:snapToGrid w:val="0"/>
        <w:ind w:left="600"/>
      </w:pPr>
      <w:r>
        <w:fldChar w:fldCharType="begin"/>
      </w:r>
      <w:r>
        <w:instrText xml:space="preserve"> HYPERLINK \l "s5_3_3_3" \h </w:instrText>
      </w:r>
      <w:r>
        <w:fldChar w:fldCharType="separate"/>
      </w:r>
      <w:r>
        <w:t>5.3.3.3　工况异常识别</w:t>
      </w:r>
      <w:r>
        <w:fldChar w:fldCharType="end"/>
      </w:r>
      <w:r>
        <w:tab/>
      </w:r>
      <w:r>
        <w:fldChar w:fldCharType="begin"/>
      </w:r>
      <w:r>
        <w:instrText xml:space="preserve"> PAGEREF s5_3_3_3 \h </w:instrText>
      </w:r>
      <w:r>
        <w:fldChar w:fldCharType="separate"/>
      </w:r>
      <w:r>
        <w:t>98</w:t>
      </w:r>
      <w:r>
        <w:fldChar w:fldCharType="end"/>
      </w:r>
    </w:p>
    <w:p w14:paraId="7200042F">
      <w:pPr>
        <w:pStyle w:val="16"/>
        <w:tabs>
          <w:tab w:val="right" w:leader="dot" w:pos="8950"/>
        </w:tabs>
        <w:snapToGrid w:val="0"/>
        <w:ind w:left="600"/>
      </w:pPr>
      <w:r>
        <w:fldChar w:fldCharType="begin"/>
      </w:r>
      <w:r>
        <w:instrText xml:space="preserve"> HYPERLINK \l "s5_3_3_4" \h </w:instrText>
      </w:r>
      <w:r>
        <w:fldChar w:fldCharType="separate"/>
      </w:r>
      <w:r>
        <w:t>5.3.3.4　液化工序优化</w:t>
      </w:r>
      <w:r>
        <w:fldChar w:fldCharType="end"/>
      </w:r>
      <w:r>
        <w:tab/>
      </w:r>
      <w:r>
        <w:fldChar w:fldCharType="begin"/>
      </w:r>
      <w:r>
        <w:instrText xml:space="preserve"> PAGEREF s5_3_3_4 \h </w:instrText>
      </w:r>
      <w:r>
        <w:fldChar w:fldCharType="separate"/>
      </w:r>
      <w:r>
        <w:t>99</w:t>
      </w:r>
      <w:r>
        <w:fldChar w:fldCharType="end"/>
      </w:r>
    </w:p>
    <w:p w14:paraId="72000430">
      <w:pPr>
        <w:pStyle w:val="16"/>
        <w:tabs>
          <w:tab w:val="right" w:leader="dot" w:pos="8950"/>
        </w:tabs>
        <w:snapToGrid w:val="0"/>
        <w:ind w:left="600"/>
      </w:pPr>
      <w:r>
        <w:fldChar w:fldCharType="begin"/>
      </w:r>
      <w:r>
        <w:instrText xml:space="preserve"> HYPERLINK \l "s5_3_3_5" \h </w:instrText>
      </w:r>
      <w:r>
        <w:fldChar w:fldCharType="separate"/>
      </w:r>
      <w:r>
        <w:t>5.3.3.5　全局工艺优化</w:t>
      </w:r>
      <w:r>
        <w:fldChar w:fldCharType="end"/>
      </w:r>
      <w:r>
        <w:tab/>
      </w:r>
      <w:r>
        <w:fldChar w:fldCharType="begin"/>
      </w:r>
      <w:r>
        <w:instrText xml:space="preserve"> PAGEREF s5_3_3_5 \h </w:instrText>
      </w:r>
      <w:r>
        <w:fldChar w:fldCharType="separate"/>
      </w:r>
      <w:r>
        <w:t>100</w:t>
      </w:r>
      <w:r>
        <w:fldChar w:fldCharType="end"/>
      </w:r>
    </w:p>
    <w:p w14:paraId="72000431">
      <w:pPr>
        <w:pStyle w:val="16"/>
        <w:tabs>
          <w:tab w:val="right" w:leader="dot" w:pos="8950"/>
        </w:tabs>
        <w:snapToGrid w:val="0"/>
        <w:ind w:left="400"/>
      </w:pPr>
      <w:r>
        <w:fldChar w:fldCharType="begin"/>
      </w:r>
      <w:r>
        <w:instrText xml:space="preserve"> HYPERLINK \l "s5_3_4" \h </w:instrText>
      </w:r>
      <w:r>
        <w:fldChar w:fldCharType="separate"/>
      </w:r>
      <w:r>
        <w:t>5.3.4　知识问答及语音交互类</w:t>
      </w:r>
      <w:r>
        <w:fldChar w:fldCharType="end"/>
      </w:r>
      <w:r>
        <w:tab/>
      </w:r>
      <w:r>
        <w:fldChar w:fldCharType="begin"/>
      </w:r>
      <w:r>
        <w:instrText xml:space="preserve"> PAGEREF s5_3_4 \h </w:instrText>
      </w:r>
      <w:r>
        <w:fldChar w:fldCharType="separate"/>
      </w:r>
      <w:r>
        <w:t>101</w:t>
      </w:r>
      <w:r>
        <w:fldChar w:fldCharType="end"/>
      </w:r>
    </w:p>
    <w:p w14:paraId="72000432">
      <w:pPr>
        <w:pStyle w:val="16"/>
        <w:tabs>
          <w:tab w:val="right" w:leader="dot" w:pos="8950"/>
        </w:tabs>
        <w:snapToGrid w:val="0"/>
        <w:ind w:left="600"/>
      </w:pPr>
      <w:r>
        <w:fldChar w:fldCharType="begin"/>
      </w:r>
      <w:r>
        <w:instrText xml:space="preserve"> HYPERLINK \l "s5_3_4_1" \h </w:instrText>
      </w:r>
      <w:r>
        <w:fldChar w:fldCharType="separate"/>
      </w:r>
      <w:r>
        <w:t>5.3.4.1　访客知识问答</w:t>
      </w:r>
      <w:r>
        <w:fldChar w:fldCharType="end"/>
      </w:r>
      <w:r>
        <w:tab/>
      </w:r>
      <w:r>
        <w:fldChar w:fldCharType="begin"/>
      </w:r>
      <w:r>
        <w:instrText xml:space="preserve"> PAGEREF s5_3_4_1 \h </w:instrText>
      </w:r>
      <w:r>
        <w:fldChar w:fldCharType="separate"/>
      </w:r>
      <w:r>
        <w:t>101</w:t>
      </w:r>
      <w:r>
        <w:fldChar w:fldCharType="end"/>
      </w:r>
    </w:p>
    <w:p w14:paraId="72000433">
      <w:pPr>
        <w:pStyle w:val="16"/>
        <w:tabs>
          <w:tab w:val="right" w:leader="dot" w:pos="8950"/>
        </w:tabs>
        <w:snapToGrid w:val="0"/>
        <w:ind w:left="600"/>
      </w:pPr>
      <w:r>
        <w:fldChar w:fldCharType="begin"/>
      </w:r>
      <w:r>
        <w:instrText xml:space="preserve"> HYPERLINK \l "s5_3_4_2" \h </w:instrText>
      </w:r>
      <w:r>
        <w:fldChar w:fldCharType="separate"/>
      </w:r>
      <w:r>
        <w:t>5.3.4.2　数字人语音唤醒</w:t>
      </w:r>
      <w:r>
        <w:fldChar w:fldCharType="end"/>
      </w:r>
      <w:r>
        <w:tab/>
      </w:r>
      <w:r>
        <w:fldChar w:fldCharType="begin"/>
      </w:r>
      <w:r>
        <w:instrText xml:space="preserve"> PAGEREF s5_3_4_2 \h </w:instrText>
      </w:r>
      <w:r>
        <w:fldChar w:fldCharType="separate"/>
      </w:r>
      <w:r>
        <w:t>101</w:t>
      </w:r>
      <w:r>
        <w:fldChar w:fldCharType="end"/>
      </w:r>
    </w:p>
    <w:p w14:paraId="72000434">
      <w:pPr>
        <w:pStyle w:val="16"/>
        <w:tabs>
          <w:tab w:val="right" w:leader="dot" w:pos="8950"/>
        </w:tabs>
        <w:snapToGrid w:val="0"/>
        <w:ind w:left="600"/>
      </w:pPr>
      <w:r>
        <w:fldChar w:fldCharType="begin"/>
      </w:r>
      <w:r>
        <w:instrText xml:space="preserve"> HYPERLINK \l "s5_3_4_3" \h </w:instrText>
      </w:r>
      <w:r>
        <w:fldChar w:fldCharType="separate"/>
      </w:r>
      <w:r>
        <w:t>5.3.4.3　展厅智能问答数字人</w:t>
      </w:r>
      <w:r>
        <w:fldChar w:fldCharType="end"/>
      </w:r>
      <w:r>
        <w:tab/>
      </w:r>
      <w:r>
        <w:fldChar w:fldCharType="begin"/>
      </w:r>
      <w:r>
        <w:instrText xml:space="preserve"> PAGEREF s5_3_4_3 \h </w:instrText>
      </w:r>
      <w:r>
        <w:fldChar w:fldCharType="separate"/>
      </w:r>
      <w:r>
        <w:t>102</w:t>
      </w:r>
      <w:r>
        <w:fldChar w:fldCharType="end"/>
      </w:r>
    </w:p>
    <w:p w14:paraId="72000437">
      <w:pPr>
        <w:pStyle w:val="16"/>
        <w:tabs>
          <w:tab w:val="right" w:leader="dot" w:pos="8950"/>
        </w:tabs>
        <w:snapToGrid w:val="0"/>
        <w:ind w:left="400"/>
      </w:pPr>
      <w:r>
        <w:fldChar w:fldCharType="begin"/>
      </w:r>
      <w:r>
        <w:instrText xml:space="preserve"> HYPERLINK \l "s5_3_5" \h </w:instrText>
      </w:r>
      <w:r>
        <w:fldChar w:fldCharType="separate"/>
      </w:r>
      <w:r>
        <w:t>5.3.5　质量安全环保类</w:t>
      </w:r>
      <w:r>
        <w:fldChar w:fldCharType="end"/>
      </w:r>
      <w:r>
        <w:tab/>
      </w:r>
      <w:r>
        <w:fldChar w:fldCharType="begin"/>
      </w:r>
      <w:r>
        <w:instrText xml:space="preserve"> PAGEREF s5_3_5 \h </w:instrText>
      </w:r>
      <w:r>
        <w:fldChar w:fldCharType="separate"/>
      </w:r>
      <w:r>
        <w:t>103</w:t>
      </w:r>
      <w:r>
        <w:fldChar w:fldCharType="end"/>
      </w:r>
    </w:p>
    <w:p w14:paraId="72000438">
      <w:pPr>
        <w:pStyle w:val="16"/>
        <w:tabs>
          <w:tab w:val="right" w:leader="dot" w:pos="8950"/>
        </w:tabs>
        <w:snapToGrid w:val="0"/>
        <w:ind w:left="600"/>
      </w:pPr>
      <w:r>
        <w:fldChar w:fldCharType="begin"/>
      </w:r>
      <w:r>
        <w:instrText xml:space="preserve"> HYPERLINK \l "s5_3_5_1" \h </w:instrText>
      </w:r>
      <w:r>
        <w:fldChar w:fldCharType="separate"/>
      </w:r>
      <w:r>
        <w:t>5.3.5.1　质量安全环保</w:t>
      </w:r>
      <w:r>
        <w:fldChar w:fldCharType="end"/>
      </w:r>
      <w:r>
        <w:tab/>
      </w:r>
      <w:r>
        <w:fldChar w:fldCharType="begin"/>
      </w:r>
      <w:r>
        <w:instrText xml:space="preserve"> PAGEREF s5_3_5_1 \h </w:instrText>
      </w:r>
      <w:r>
        <w:fldChar w:fldCharType="separate"/>
      </w:r>
      <w:r>
        <w:t>103</w:t>
      </w:r>
      <w:r>
        <w:fldChar w:fldCharType="end"/>
      </w:r>
    </w:p>
    <w:p w14:paraId="72000439">
      <w:pPr>
        <w:pStyle w:val="16"/>
        <w:tabs>
          <w:tab w:val="right" w:leader="dot" w:pos="8950"/>
        </w:tabs>
        <w:snapToGrid w:val="0"/>
        <w:ind w:left="400"/>
      </w:pPr>
      <w:r>
        <w:fldChar w:fldCharType="begin"/>
      </w:r>
      <w:r>
        <w:instrText xml:space="preserve"> HYPERLINK \l "s5_3_6" \h </w:instrText>
      </w:r>
      <w:r>
        <w:fldChar w:fldCharType="separate"/>
      </w:r>
      <w:r>
        <w:t>5.3.6　场景服务对象与业务输出</w:t>
      </w:r>
      <w:r>
        <w:fldChar w:fldCharType="end"/>
      </w:r>
      <w:r>
        <w:tab/>
      </w:r>
      <w:r>
        <w:fldChar w:fldCharType="begin"/>
      </w:r>
      <w:r>
        <w:instrText xml:space="preserve"> PAGEREF s5_3_6 \h </w:instrText>
      </w:r>
      <w:r>
        <w:fldChar w:fldCharType="separate"/>
      </w:r>
      <w:r>
        <w:t>104</w:t>
      </w:r>
      <w:r>
        <w:fldChar w:fldCharType="end"/>
      </w:r>
    </w:p>
    <w:p w14:paraId="7200043A">
      <w:pPr>
        <w:pStyle w:val="16"/>
        <w:tabs>
          <w:tab w:val="right" w:leader="dot" w:pos="8950"/>
        </w:tabs>
        <w:snapToGrid w:val="0"/>
        <w:ind w:left="200"/>
      </w:pPr>
      <w:r>
        <w:fldChar w:fldCharType="begin"/>
      </w:r>
      <w:r>
        <w:instrText xml:space="preserve"> HYPERLINK \l "s5_4" \h </w:instrText>
      </w:r>
      <w:r>
        <w:fldChar w:fldCharType="separate"/>
      </w:r>
      <w:r>
        <w:t>5.4　智能体基座</w:t>
      </w:r>
      <w:r>
        <w:fldChar w:fldCharType="end"/>
      </w:r>
      <w:r>
        <w:tab/>
      </w:r>
      <w:r>
        <w:fldChar w:fldCharType="begin"/>
      </w:r>
      <w:r>
        <w:instrText xml:space="preserve"> PAGEREF s5_4 \h </w:instrText>
      </w:r>
      <w:r>
        <w:fldChar w:fldCharType="separate"/>
      </w:r>
      <w:r>
        <w:t>104</w:t>
      </w:r>
      <w:r>
        <w:fldChar w:fldCharType="end"/>
      </w:r>
    </w:p>
    <w:p w14:paraId="7200043B">
      <w:pPr>
        <w:pStyle w:val="16"/>
        <w:tabs>
          <w:tab w:val="right" w:leader="dot" w:pos="8950"/>
        </w:tabs>
        <w:snapToGrid w:val="0"/>
        <w:ind w:left="400"/>
      </w:pPr>
      <w:r>
        <w:fldChar w:fldCharType="begin"/>
      </w:r>
      <w:r>
        <w:instrText xml:space="preserve"> HYPERLINK \l "s5_4_1" \h </w:instrText>
      </w:r>
      <w:r>
        <w:fldChar w:fldCharType="separate"/>
      </w:r>
      <w:r>
        <w:t>5.4.1　主智能体</w:t>
      </w:r>
      <w:r>
        <w:fldChar w:fldCharType="end"/>
      </w:r>
      <w:r>
        <w:tab/>
      </w:r>
      <w:r>
        <w:fldChar w:fldCharType="begin"/>
      </w:r>
      <w:r>
        <w:instrText xml:space="preserve"> PAGEREF s5_4_1 \h </w:instrText>
      </w:r>
      <w:r>
        <w:fldChar w:fldCharType="separate"/>
      </w:r>
      <w:r>
        <w:t>104</w:t>
      </w:r>
      <w:r>
        <w:fldChar w:fldCharType="end"/>
      </w:r>
    </w:p>
    <w:p w14:paraId="7200043C">
      <w:pPr>
        <w:pStyle w:val="16"/>
        <w:tabs>
          <w:tab w:val="right" w:leader="dot" w:pos="8950"/>
        </w:tabs>
        <w:snapToGrid w:val="0"/>
        <w:ind w:left="400"/>
      </w:pPr>
      <w:r>
        <w:fldChar w:fldCharType="begin"/>
      </w:r>
      <w:r>
        <w:instrText xml:space="preserve"> HYPERLINK \l "s5_4_2" \h </w:instrText>
      </w:r>
      <w:r>
        <w:fldChar w:fldCharType="separate"/>
      </w:r>
      <w:r>
        <w:t>5.4.2　公共支撑能力</w:t>
      </w:r>
      <w:r>
        <w:fldChar w:fldCharType="end"/>
      </w:r>
      <w:r>
        <w:tab/>
      </w:r>
      <w:r>
        <w:fldChar w:fldCharType="begin"/>
      </w:r>
      <w:r>
        <w:instrText xml:space="preserve"> PAGEREF s5_4_2 \h </w:instrText>
      </w:r>
      <w:r>
        <w:fldChar w:fldCharType="separate"/>
      </w:r>
      <w:r>
        <w:t>105</w:t>
      </w:r>
      <w:r>
        <w:fldChar w:fldCharType="end"/>
      </w:r>
    </w:p>
    <w:p w14:paraId="7200043D">
      <w:pPr>
        <w:pStyle w:val="16"/>
        <w:tabs>
          <w:tab w:val="right" w:leader="dot" w:pos="8950"/>
        </w:tabs>
        <w:snapToGrid w:val="0"/>
        <w:ind w:left="600"/>
      </w:pPr>
      <w:r>
        <w:fldChar w:fldCharType="begin"/>
      </w:r>
      <w:r>
        <w:instrText xml:space="preserve"> HYPERLINK \l "s5_4_2_1" \h </w:instrText>
      </w:r>
      <w:r>
        <w:fldChar w:fldCharType="separate"/>
      </w:r>
      <w:r>
        <w:t>5.4.2.1　工具运行框架</w:t>
      </w:r>
      <w:r>
        <w:fldChar w:fldCharType="end"/>
      </w:r>
      <w:r>
        <w:tab/>
      </w:r>
      <w:r>
        <w:fldChar w:fldCharType="begin"/>
      </w:r>
      <w:r>
        <w:instrText xml:space="preserve"> PAGEREF s5_4_2_1 \h </w:instrText>
      </w:r>
      <w:r>
        <w:fldChar w:fldCharType="separate"/>
      </w:r>
      <w:r>
        <w:t>105</w:t>
      </w:r>
      <w:r>
        <w:fldChar w:fldCharType="end"/>
      </w:r>
    </w:p>
    <w:p w14:paraId="7200043E">
      <w:pPr>
        <w:pStyle w:val="16"/>
        <w:tabs>
          <w:tab w:val="right" w:leader="dot" w:pos="8950"/>
        </w:tabs>
        <w:snapToGrid w:val="0"/>
        <w:ind w:left="600"/>
      </w:pPr>
      <w:r>
        <w:fldChar w:fldCharType="begin"/>
      </w:r>
      <w:r>
        <w:instrText xml:space="preserve"> HYPERLINK \l "s5_4_2_2" \h </w:instrText>
      </w:r>
      <w:r>
        <w:fldChar w:fldCharType="separate"/>
      </w:r>
      <w:r>
        <w:t>5.4.2.2　实体消歧服务</w:t>
      </w:r>
      <w:r>
        <w:fldChar w:fldCharType="end"/>
      </w:r>
      <w:r>
        <w:tab/>
      </w:r>
      <w:r>
        <w:fldChar w:fldCharType="begin"/>
      </w:r>
      <w:r>
        <w:instrText xml:space="preserve"> PAGEREF s5_4_2_2 \h </w:instrText>
      </w:r>
      <w:r>
        <w:fldChar w:fldCharType="separate"/>
      </w:r>
      <w:r>
        <w:t>106</w:t>
      </w:r>
      <w:r>
        <w:fldChar w:fldCharType="end"/>
      </w:r>
    </w:p>
    <w:p w14:paraId="7200043F">
      <w:pPr>
        <w:pStyle w:val="16"/>
        <w:tabs>
          <w:tab w:val="right" w:leader="dot" w:pos="8950"/>
        </w:tabs>
        <w:snapToGrid w:val="0"/>
        <w:ind w:left="600"/>
      </w:pPr>
      <w:r>
        <w:fldChar w:fldCharType="begin"/>
      </w:r>
      <w:r>
        <w:instrText xml:space="preserve"> HYPERLINK \l "s5_4_2_3" \h </w:instrText>
      </w:r>
      <w:r>
        <w:fldChar w:fldCharType="separate"/>
      </w:r>
      <w:r>
        <w:t>5.4.2.3　统计特征计算</w:t>
      </w:r>
      <w:r>
        <w:fldChar w:fldCharType="end"/>
      </w:r>
      <w:r>
        <w:tab/>
      </w:r>
      <w:r>
        <w:fldChar w:fldCharType="begin"/>
      </w:r>
      <w:r>
        <w:instrText xml:space="preserve"> PAGEREF s5_4_2_3 \h </w:instrText>
      </w:r>
      <w:r>
        <w:fldChar w:fldCharType="separate"/>
      </w:r>
      <w:r>
        <w:t>106</w:t>
      </w:r>
      <w:r>
        <w:fldChar w:fldCharType="end"/>
      </w:r>
    </w:p>
    <w:p w14:paraId="72000440">
      <w:pPr>
        <w:pStyle w:val="16"/>
        <w:tabs>
          <w:tab w:val="right" w:leader="dot" w:pos="8950"/>
        </w:tabs>
        <w:snapToGrid w:val="0"/>
        <w:ind w:left="600"/>
      </w:pPr>
      <w:r>
        <w:fldChar w:fldCharType="begin"/>
      </w:r>
      <w:r>
        <w:instrText xml:space="preserve"> HYPERLINK \l "s5_4_2_4" \h </w:instrText>
      </w:r>
      <w:r>
        <w:fldChar w:fldCharType="separate"/>
      </w:r>
      <w:r>
        <w:t>5.4.2.4　大模型接入网关</w:t>
      </w:r>
      <w:r>
        <w:fldChar w:fldCharType="end"/>
      </w:r>
      <w:r>
        <w:tab/>
      </w:r>
      <w:r>
        <w:fldChar w:fldCharType="begin"/>
      </w:r>
      <w:r>
        <w:instrText xml:space="preserve"> PAGEREF s5_4_2_4 \h </w:instrText>
      </w:r>
      <w:r>
        <w:fldChar w:fldCharType="separate"/>
      </w:r>
      <w:r>
        <w:t>106</w:t>
      </w:r>
      <w:r>
        <w:fldChar w:fldCharType="end"/>
      </w:r>
    </w:p>
    <w:p w14:paraId="72000441">
      <w:pPr>
        <w:pStyle w:val="16"/>
        <w:tabs>
          <w:tab w:val="right" w:leader="dot" w:pos="8950"/>
        </w:tabs>
        <w:snapToGrid w:val="0"/>
        <w:ind w:left="600"/>
      </w:pPr>
      <w:r>
        <w:fldChar w:fldCharType="begin"/>
      </w:r>
      <w:r>
        <w:instrText xml:space="preserve"> HYPERLINK \l "s5_4_2_5" \h </w:instrText>
      </w:r>
      <w:r>
        <w:fldChar w:fldCharType="separate"/>
      </w:r>
      <w:r>
        <w:t>5.4.2.5　开放接口与事件接入总线</w:t>
      </w:r>
      <w:r>
        <w:fldChar w:fldCharType="end"/>
      </w:r>
      <w:r>
        <w:tab/>
      </w:r>
      <w:r>
        <w:fldChar w:fldCharType="begin"/>
      </w:r>
      <w:r>
        <w:instrText xml:space="preserve"> PAGEREF s5_4_2_5 \h </w:instrText>
      </w:r>
      <w:r>
        <w:fldChar w:fldCharType="separate"/>
      </w:r>
      <w:r>
        <w:t>107</w:t>
      </w:r>
      <w:r>
        <w:fldChar w:fldCharType="end"/>
      </w:r>
    </w:p>
    <w:p w14:paraId="72000442">
      <w:pPr>
        <w:pStyle w:val="16"/>
        <w:tabs>
          <w:tab w:val="right" w:leader="dot" w:pos="8950"/>
        </w:tabs>
        <w:snapToGrid w:val="0"/>
        <w:ind w:left="600"/>
      </w:pPr>
      <w:r>
        <w:fldChar w:fldCharType="begin"/>
      </w:r>
      <w:r>
        <w:instrText xml:space="preserve"> HYPERLINK \l "s5_4_2_6" \h </w:instrText>
      </w:r>
      <w:r>
        <w:fldChar w:fldCharType="separate"/>
      </w:r>
      <w:r>
        <w:t>5.4.2.6　评估运营中心</w:t>
      </w:r>
      <w:r>
        <w:fldChar w:fldCharType="end"/>
      </w:r>
      <w:r>
        <w:tab/>
      </w:r>
      <w:r>
        <w:fldChar w:fldCharType="begin"/>
      </w:r>
      <w:r>
        <w:instrText xml:space="preserve"> PAGEREF s5_4_2_6 \h </w:instrText>
      </w:r>
      <w:r>
        <w:fldChar w:fldCharType="separate"/>
      </w:r>
      <w:r>
        <w:t>107</w:t>
      </w:r>
      <w:r>
        <w:fldChar w:fldCharType="end"/>
      </w:r>
    </w:p>
    <w:p w14:paraId="72000443">
      <w:pPr>
        <w:pStyle w:val="16"/>
        <w:tabs>
          <w:tab w:val="right" w:leader="dot" w:pos="8950"/>
        </w:tabs>
        <w:snapToGrid w:val="0"/>
        <w:ind w:left="600"/>
      </w:pPr>
      <w:r>
        <w:fldChar w:fldCharType="begin"/>
      </w:r>
      <w:r>
        <w:instrText xml:space="preserve"> HYPERLINK \l "s5_4_2_7" \h </w:instrText>
      </w:r>
      <w:r>
        <w:fldChar w:fldCharType="separate"/>
      </w:r>
      <w:r>
        <w:t>5.4.2.7　系统管理</w:t>
      </w:r>
      <w:r>
        <w:fldChar w:fldCharType="end"/>
      </w:r>
      <w:r>
        <w:tab/>
      </w:r>
      <w:r>
        <w:fldChar w:fldCharType="begin"/>
      </w:r>
      <w:r>
        <w:instrText xml:space="preserve"> PAGEREF s5_4_2_7 \h </w:instrText>
      </w:r>
      <w:r>
        <w:fldChar w:fldCharType="separate"/>
      </w:r>
      <w:r>
        <w:t>109</w:t>
      </w:r>
      <w:r>
        <w:fldChar w:fldCharType="end"/>
      </w:r>
    </w:p>
    <w:p w14:paraId="72000444">
      <w:pPr>
        <w:pStyle w:val="16"/>
        <w:tabs>
          <w:tab w:val="right" w:leader="dot" w:pos="8950"/>
        </w:tabs>
        <w:snapToGrid w:val="0"/>
        <w:ind w:left="600"/>
      </w:pPr>
      <w:r>
        <w:fldChar w:fldCharType="begin"/>
      </w:r>
      <w:r>
        <w:instrText xml:space="preserve"> HYPERLINK \l "s5_4_2_8" \h </w:instrText>
      </w:r>
      <w:r>
        <w:fldChar w:fldCharType="separate"/>
      </w:r>
      <w:r>
        <w:t>5.4.2.8　内容安全防护</w:t>
      </w:r>
      <w:r>
        <w:fldChar w:fldCharType="end"/>
      </w:r>
      <w:r>
        <w:tab/>
      </w:r>
      <w:r>
        <w:fldChar w:fldCharType="begin"/>
      </w:r>
      <w:r>
        <w:instrText xml:space="preserve"> PAGEREF s5_4_2_8 \h </w:instrText>
      </w:r>
      <w:r>
        <w:fldChar w:fldCharType="separate"/>
      </w:r>
      <w:r>
        <w:t>110</w:t>
      </w:r>
      <w:r>
        <w:fldChar w:fldCharType="end"/>
      </w:r>
    </w:p>
    <w:p w14:paraId="72000445">
      <w:pPr>
        <w:pStyle w:val="16"/>
        <w:tabs>
          <w:tab w:val="right" w:leader="dot" w:pos="8950"/>
        </w:tabs>
        <w:snapToGrid w:val="0"/>
        <w:ind w:left="200"/>
      </w:pPr>
      <w:r>
        <w:fldChar w:fldCharType="begin"/>
      </w:r>
      <w:r>
        <w:instrText xml:space="preserve"> HYPERLINK \l "s5_5" \h </w:instrText>
      </w:r>
      <w:r>
        <w:fldChar w:fldCharType="separate"/>
      </w:r>
      <w:r>
        <w:t>5.5　知识基座</w:t>
      </w:r>
      <w:r>
        <w:fldChar w:fldCharType="end"/>
      </w:r>
      <w:r>
        <w:tab/>
      </w:r>
      <w:r>
        <w:fldChar w:fldCharType="begin"/>
      </w:r>
      <w:r>
        <w:instrText xml:space="preserve"> PAGEREF s5_5 \h </w:instrText>
      </w:r>
      <w:r>
        <w:fldChar w:fldCharType="separate"/>
      </w:r>
      <w:r>
        <w:t>110</w:t>
      </w:r>
      <w:r>
        <w:fldChar w:fldCharType="end"/>
      </w:r>
    </w:p>
    <w:p w14:paraId="72000446">
      <w:pPr>
        <w:pStyle w:val="16"/>
        <w:tabs>
          <w:tab w:val="right" w:leader="dot" w:pos="8950"/>
        </w:tabs>
        <w:snapToGrid w:val="0"/>
        <w:ind w:left="400"/>
      </w:pPr>
      <w:r>
        <w:fldChar w:fldCharType="begin"/>
      </w:r>
      <w:r>
        <w:instrText xml:space="preserve"> HYPERLINK \l "s5_5_1" \h </w:instrText>
      </w:r>
      <w:r>
        <w:fldChar w:fldCharType="separate"/>
      </w:r>
      <w:r>
        <w:t>5.5.1　知识图谱</w:t>
      </w:r>
      <w:r>
        <w:fldChar w:fldCharType="end"/>
      </w:r>
      <w:r>
        <w:tab/>
      </w:r>
      <w:r>
        <w:fldChar w:fldCharType="begin"/>
      </w:r>
      <w:r>
        <w:instrText xml:space="preserve"> PAGEREF s5_5_1 \h </w:instrText>
      </w:r>
      <w:r>
        <w:fldChar w:fldCharType="separate"/>
      </w:r>
      <w:r>
        <w:t>110</w:t>
      </w:r>
      <w:r>
        <w:fldChar w:fldCharType="end"/>
      </w:r>
    </w:p>
    <w:p w14:paraId="72000447">
      <w:pPr>
        <w:pStyle w:val="16"/>
        <w:tabs>
          <w:tab w:val="right" w:leader="dot" w:pos="8950"/>
        </w:tabs>
        <w:snapToGrid w:val="0"/>
        <w:ind w:left="400"/>
      </w:pPr>
      <w:r>
        <w:fldChar w:fldCharType="begin"/>
      </w:r>
      <w:r>
        <w:instrText xml:space="preserve"> HYPERLINK \l "s5_5_2" \h </w:instrText>
      </w:r>
      <w:r>
        <w:fldChar w:fldCharType="separate"/>
      </w:r>
      <w:r>
        <w:t>5.5.2　工艺知识库</w:t>
      </w:r>
      <w:r>
        <w:fldChar w:fldCharType="end"/>
      </w:r>
      <w:r>
        <w:tab/>
      </w:r>
      <w:r>
        <w:fldChar w:fldCharType="begin"/>
      </w:r>
      <w:r>
        <w:instrText xml:space="preserve"> PAGEREF s5_5_2 \h </w:instrText>
      </w:r>
      <w:r>
        <w:fldChar w:fldCharType="separate"/>
      </w:r>
      <w:r>
        <w:t>113</w:t>
      </w:r>
      <w:r>
        <w:fldChar w:fldCharType="end"/>
      </w:r>
    </w:p>
    <w:p w14:paraId="72000448">
      <w:pPr>
        <w:pStyle w:val="16"/>
        <w:tabs>
          <w:tab w:val="right" w:leader="dot" w:pos="8950"/>
        </w:tabs>
        <w:snapToGrid w:val="0"/>
        <w:ind w:left="400"/>
      </w:pPr>
      <w:r>
        <w:fldChar w:fldCharType="begin"/>
      </w:r>
      <w:r>
        <w:instrText xml:space="preserve"> HYPERLINK \l "s5_5_3" \h </w:instrText>
      </w:r>
      <w:r>
        <w:fldChar w:fldCharType="separate"/>
      </w:r>
      <w:r>
        <w:t>5.5.3　建设的知识资产</w:t>
      </w:r>
      <w:r>
        <w:fldChar w:fldCharType="end"/>
      </w:r>
      <w:r>
        <w:tab/>
      </w:r>
      <w:r>
        <w:fldChar w:fldCharType="begin"/>
      </w:r>
      <w:r>
        <w:instrText xml:space="preserve"> PAGEREF s5_5_3 \h </w:instrText>
      </w:r>
      <w:r>
        <w:fldChar w:fldCharType="separate"/>
      </w:r>
      <w:r>
        <w:t>114</w:t>
      </w:r>
      <w:r>
        <w:fldChar w:fldCharType="end"/>
      </w:r>
    </w:p>
    <w:p w14:paraId="72000449">
      <w:pPr>
        <w:pStyle w:val="16"/>
        <w:tabs>
          <w:tab w:val="right" w:leader="dot" w:pos="8950"/>
        </w:tabs>
        <w:snapToGrid w:val="0"/>
        <w:ind w:left="400"/>
      </w:pPr>
      <w:r>
        <w:fldChar w:fldCharType="begin"/>
      </w:r>
      <w:r>
        <w:instrText xml:space="preserve"> HYPERLINK \l "s5_5_4" \h </w:instrText>
      </w:r>
      <w:r>
        <w:fldChar w:fldCharType="separate"/>
      </w:r>
      <w:r>
        <w:t>5.5.4　知识维护与应用更新</w:t>
      </w:r>
      <w:r>
        <w:fldChar w:fldCharType="end"/>
      </w:r>
      <w:r>
        <w:tab/>
      </w:r>
      <w:r>
        <w:fldChar w:fldCharType="begin"/>
      </w:r>
      <w:r>
        <w:instrText xml:space="preserve"> PAGEREF s5_5_4 \h </w:instrText>
      </w:r>
      <w:r>
        <w:fldChar w:fldCharType="separate"/>
      </w:r>
      <w:r>
        <w:t>114</w:t>
      </w:r>
      <w:r>
        <w:fldChar w:fldCharType="end"/>
      </w:r>
    </w:p>
    <w:p w14:paraId="7200044A">
      <w:pPr>
        <w:pStyle w:val="16"/>
        <w:tabs>
          <w:tab w:val="right" w:leader="dot" w:pos="8950"/>
        </w:tabs>
        <w:snapToGrid w:val="0"/>
        <w:ind w:left="400"/>
      </w:pPr>
      <w:r>
        <w:fldChar w:fldCharType="begin"/>
      </w:r>
      <w:r>
        <w:instrText xml:space="preserve"> HYPERLINK \l "s5_5_5" \h </w:instrText>
      </w:r>
      <w:r>
        <w:fldChar w:fldCharType="separate"/>
      </w:r>
      <w:r>
        <w:t>5.5.5　日常风险分析与模拟</w:t>
      </w:r>
      <w:r>
        <w:fldChar w:fldCharType="end"/>
      </w:r>
      <w:r>
        <w:tab/>
      </w:r>
      <w:r>
        <w:fldChar w:fldCharType="begin"/>
      </w:r>
      <w:r>
        <w:instrText xml:space="preserve"> PAGEREF s5_5_5 \h </w:instrText>
      </w:r>
      <w:r>
        <w:fldChar w:fldCharType="separate"/>
      </w:r>
      <w:r>
        <w:t>116</w:t>
      </w:r>
      <w:r>
        <w:fldChar w:fldCharType="end"/>
      </w:r>
    </w:p>
    <w:p w14:paraId="7200044B">
      <w:pPr>
        <w:pStyle w:val="16"/>
        <w:tabs>
          <w:tab w:val="right" w:leader="dot" w:pos="8950"/>
        </w:tabs>
        <w:snapToGrid w:val="0"/>
        <w:ind w:left="200"/>
      </w:pPr>
      <w:r>
        <w:fldChar w:fldCharType="begin"/>
      </w:r>
      <w:r>
        <w:instrText xml:space="preserve"> HYPERLINK \l "s5_6" \h </w:instrText>
      </w:r>
      <w:r>
        <w:fldChar w:fldCharType="separate"/>
      </w:r>
      <w:r>
        <w:t>5.6　数据底座</w:t>
      </w:r>
      <w:r>
        <w:fldChar w:fldCharType="end"/>
      </w:r>
      <w:r>
        <w:tab/>
      </w:r>
      <w:r>
        <w:fldChar w:fldCharType="begin"/>
      </w:r>
      <w:r>
        <w:instrText xml:space="preserve"> PAGEREF s5_6 \h </w:instrText>
      </w:r>
      <w:r>
        <w:fldChar w:fldCharType="separate"/>
      </w:r>
      <w:r>
        <w:t>117</w:t>
      </w:r>
      <w:r>
        <w:fldChar w:fldCharType="end"/>
      </w:r>
    </w:p>
    <w:p w14:paraId="7200044C">
      <w:pPr>
        <w:pStyle w:val="16"/>
        <w:tabs>
          <w:tab w:val="right" w:leader="dot" w:pos="8950"/>
        </w:tabs>
        <w:snapToGrid w:val="0"/>
        <w:ind w:left="400"/>
      </w:pPr>
      <w:r>
        <w:fldChar w:fldCharType="begin"/>
      </w:r>
      <w:r>
        <w:instrText xml:space="preserve"> HYPERLINK \l "s5_6_1" \h </w:instrText>
      </w:r>
      <w:r>
        <w:fldChar w:fldCharType="separate"/>
      </w:r>
      <w:r>
        <w:t>5.6.1　AI数据治理</w:t>
      </w:r>
      <w:r>
        <w:fldChar w:fldCharType="end"/>
      </w:r>
      <w:r>
        <w:tab/>
      </w:r>
      <w:r>
        <w:fldChar w:fldCharType="begin"/>
      </w:r>
      <w:r>
        <w:instrText xml:space="preserve"> PAGEREF s5_6_1 \h </w:instrText>
      </w:r>
      <w:r>
        <w:fldChar w:fldCharType="separate"/>
      </w:r>
      <w:r>
        <w:t>117</w:t>
      </w:r>
      <w:r>
        <w:fldChar w:fldCharType="end"/>
      </w:r>
    </w:p>
    <w:p w14:paraId="7200044D">
      <w:pPr>
        <w:pStyle w:val="16"/>
        <w:tabs>
          <w:tab w:val="right" w:leader="dot" w:pos="8950"/>
        </w:tabs>
        <w:snapToGrid w:val="0"/>
        <w:ind w:left="400"/>
      </w:pPr>
      <w:r>
        <w:fldChar w:fldCharType="begin"/>
      </w:r>
      <w:r>
        <w:instrText xml:space="preserve"> HYPERLINK \l "s5_6_2" \h </w:instrText>
      </w:r>
      <w:r>
        <w:fldChar w:fldCharType="separate"/>
      </w:r>
      <w:r>
        <w:t>5.6.2　场景数据准备与核算成果</w:t>
      </w:r>
      <w:r>
        <w:fldChar w:fldCharType="end"/>
      </w:r>
      <w:r>
        <w:tab/>
      </w:r>
      <w:r>
        <w:fldChar w:fldCharType="begin"/>
      </w:r>
      <w:r>
        <w:instrText xml:space="preserve"> PAGEREF s5_6_2 \h </w:instrText>
      </w:r>
      <w:r>
        <w:fldChar w:fldCharType="separate"/>
      </w:r>
      <w:r>
        <w:t>118</w:t>
      </w:r>
      <w:r>
        <w:fldChar w:fldCharType="end"/>
      </w:r>
    </w:p>
    <w:p w14:paraId="7200044E">
      <w:pPr>
        <w:pStyle w:val="16"/>
        <w:tabs>
          <w:tab w:val="right" w:leader="dot" w:pos="8950"/>
        </w:tabs>
        <w:snapToGrid w:val="0"/>
        <w:ind w:left="400"/>
      </w:pPr>
      <w:r>
        <w:fldChar w:fldCharType="begin"/>
      </w:r>
      <w:r>
        <w:instrText xml:space="preserve"> HYPERLINK \l "s5_6_3" \h </w:instrText>
      </w:r>
      <w:r>
        <w:fldChar w:fldCharType="separate"/>
      </w:r>
      <w:r>
        <w:t>5.6.3　数据成果确认与运行移交</w:t>
      </w:r>
      <w:r>
        <w:fldChar w:fldCharType="end"/>
      </w:r>
      <w:r>
        <w:tab/>
      </w:r>
      <w:r>
        <w:fldChar w:fldCharType="begin"/>
      </w:r>
      <w:r>
        <w:instrText xml:space="preserve"> PAGEREF s5_6_3 \h </w:instrText>
      </w:r>
      <w:r>
        <w:fldChar w:fldCharType="separate"/>
      </w:r>
      <w:r>
        <w:t>119</w:t>
      </w:r>
      <w:r>
        <w:fldChar w:fldCharType="end"/>
      </w:r>
    </w:p>
    <w:p w14:paraId="7200044F">
      <w:pPr>
        <w:pStyle w:val="16"/>
        <w:tabs>
          <w:tab w:val="right" w:leader="dot" w:pos="8950"/>
        </w:tabs>
        <w:snapToGrid w:val="0"/>
        <w:ind w:left="200"/>
      </w:pPr>
      <w:r>
        <w:fldChar w:fldCharType="begin"/>
      </w:r>
      <w:r>
        <w:instrText xml:space="preserve"> HYPERLINK \l "s5_7" \h </w:instrText>
      </w:r>
      <w:r>
        <w:fldChar w:fldCharType="separate"/>
      </w:r>
      <w:r>
        <w:t>5.7　主智能体与场景能力协同</w:t>
      </w:r>
      <w:r>
        <w:fldChar w:fldCharType="end"/>
      </w:r>
      <w:r>
        <w:tab/>
      </w:r>
      <w:r>
        <w:fldChar w:fldCharType="begin"/>
      </w:r>
      <w:r>
        <w:instrText xml:space="preserve"> PAGEREF s5_7 \h </w:instrText>
      </w:r>
      <w:r>
        <w:fldChar w:fldCharType="separate"/>
      </w:r>
      <w:r>
        <w:t>120</w:t>
      </w:r>
      <w:r>
        <w:fldChar w:fldCharType="end"/>
      </w:r>
    </w:p>
    <w:p w14:paraId="72000450">
      <w:pPr>
        <w:pStyle w:val="16"/>
        <w:tabs>
          <w:tab w:val="right" w:leader="dot" w:pos="8950"/>
        </w:tabs>
        <w:snapToGrid w:val="0"/>
        <w:ind w:left="200"/>
      </w:pPr>
      <w:r>
        <w:fldChar w:fldCharType="begin"/>
      </w:r>
      <w:r>
        <w:instrText xml:space="preserve"> HYPERLINK \l "s5_8" \h </w:instrText>
      </w:r>
      <w:r>
        <w:fldChar w:fldCharType="separate"/>
      </w:r>
      <w:r>
        <w:t>5.8　平台能力扩充</w:t>
      </w:r>
      <w:r>
        <w:fldChar w:fldCharType="end"/>
      </w:r>
      <w:r>
        <w:tab/>
      </w:r>
      <w:r>
        <w:fldChar w:fldCharType="begin"/>
      </w:r>
      <w:r>
        <w:instrText xml:space="preserve"> PAGEREF s5_8 \h </w:instrText>
      </w:r>
      <w:r>
        <w:fldChar w:fldCharType="separate"/>
      </w:r>
      <w:r>
        <w:t>120</w:t>
      </w:r>
      <w:r>
        <w:fldChar w:fldCharType="end"/>
      </w:r>
    </w:p>
    <w:p w14:paraId="72000451">
      <w:pPr>
        <w:pStyle w:val="16"/>
        <w:tabs>
          <w:tab w:val="right" w:leader="dot" w:pos="8950"/>
        </w:tabs>
        <w:snapToGrid w:val="0"/>
        <w:ind w:left="0"/>
      </w:pPr>
      <w:r>
        <w:fldChar w:fldCharType="begin"/>
      </w:r>
      <w:r>
        <w:instrText xml:space="preserve"> HYPERLINK \l "s6" \h </w:instrText>
      </w:r>
      <w:r>
        <w:fldChar w:fldCharType="separate"/>
      </w:r>
      <w:r>
        <w:t>6　逻辑层：核心业务规则与研判逻辑</w:t>
      </w:r>
      <w:r>
        <w:fldChar w:fldCharType="end"/>
      </w:r>
      <w:r>
        <w:tab/>
      </w:r>
      <w:r>
        <w:fldChar w:fldCharType="begin"/>
      </w:r>
      <w:r>
        <w:instrText xml:space="preserve"> PAGEREF s6 \h </w:instrText>
      </w:r>
      <w:r>
        <w:fldChar w:fldCharType="separate"/>
      </w:r>
      <w:r>
        <w:t>121</w:t>
      </w:r>
      <w:r>
        <w:fldChar w:fldCharType="end"/>
      </w:r>
    </w:p>
    <w:p w14:paraId="72000452">
      <w:pPr>
        <w:pStyle w:val="16"/>
        <w:tabs>
          <w:tab w:val="right" w:leader="dot" w:pos="8950"/>
        </w:tabs>
        <w:snapToGrid w:val="0"/>
        <w:ind w:left="200"/>
      </w:pPr>
      <w:r>
        <w:fldChar w:fldCharType="begin"/>
      </w:r>
      <w:r>
        <w:instrText xml:space="preserve"> HYPERLINK \l "s6_1" \h </w:instrText>
      </w:r>
      <w:r>
        <w:fldChar w:fldCharType="separate"/>
      </w:r>
      <w:r>
        <w:t>6.1　取数与口径规则</w:t>
      </w:r>
      <w:r>
        <w:fldChar w:fldCharType="end"/>
      </w:r>
      <w:r>
        <w:tab/>
      </w:r>
      <w:r>
        <w:fldChar w:fldCharType="begin"/>
      </w:r>
      <w:r>
        <w:instrText xml:space="preserve"> PAGEREF s6_1 \h </w:instrText>
      </w:r>
      <w:r>
        <w:fldChar w:fldCharType="separate"/>
      </w:r>
      <w:r>
        <w:t>121</w:t>
      </w:r>
      <w:r>
        <w:fldChar w:fldCharType="end"/>
      </w:r>
    </w:p>
    <w:p w14:paraId="72000453">
      <w:pPr>
        <w:pStyle w:val="16"/>
        <w:tabs>
          <w:tab w:val="right" w:leader="dot" w:pos="8950"/>
        </w:tabs>
        <w:snapToGrid w:val="0"/>
        <w:ind w:left="200"/>
      </w:pPr>
      <w:r>
        <w:fldChar w:fldCharType="begin"/>
      </w:r>
      <w:r>
        <w:instrText xml:space="preserve"> HYPERLINK \l "s6_2" \h </w:instrText>
      </w:r>
      <w:r>
        <w:fldChar w:fldCharType="separate"/>
      </w:r>
      <w:r>
        <w:t>6.2　执行状态与应答规则</w:t>
      </w:r>
      <w:r>
        <w:fldChar w:fldCharType="end"/>
      </w:r>
      <w:r>
        <w:tab/>
      </w:r>
      <w:r>
        <w:fldChar w:fldCharType="begin"/>
      </w:r>
      <w:r>
        <w:instrText xml:space="preserve"> PAGEREF s6_2 \h </w:instrText>
      </w:r>
      <w:r>
        <w:fldChar w:fldCharType="separate"/>
      </w:r>
      <w:r>
        <w:t>122</w:t>
      </w:r>
      <w:r>
        <w:fldChar w:fldCharType="end"/>
      </w:r>
    </w:p>
    <w:p w14:paraId="72000454">
      <w:pPr>
        <w:pStyle w:val="16"/>
        <w:tabs>
          <w:tab w:val="right" w:leader="dot" w:pos="8950"/>
        </w:tabs>
        <w:snapToGrid w:val="0"/>
        <w:ind w:left="200"/>
      </w:pPr>
      <w:r>
        <w:fldChar w:fldCharType="begin"/>
      </w:r>
      <w:r>
        <w:instrText xml:space="preserve"> HYPERLINK \l "s6_3" \h </w:instrText>
      </w:r>
      <w:r>
        <w:fldChar w:fldCharType="separate"/>
      </w:r>
      <w:r>
        <w:t>6.3　结论分级与证据规则</w:t>
      </w:r>
      <w:r>
        <w:fldChar w:fldCharType="end"/>
      </w:r>
      <w:r>
        <w:tab/>
      </w:r>
      <w:r>
        <w:fldChar w:fldCharType="begin"/>
      </w:r>
      <w:r>
        <w:instrText xml:space="preserve"> PAGEREF s6_3 \h </w:instrText>
      </w:r>
      <w:r>
        <w:fldChar w:fldCharType="separate"/>
      </w:r>
      <w:r>
        <w:t>122</w:t>
      </w:r>
      <w:r>
        <w:fldChar w:fldCharType="end"/>
      </w:r>
    </w:p>
    <w:p w14:paraId="72000455">
      <w:pPr>
        <w:pStyle w:val="16"/>
        <w:tabs>
          <w:tab w:val="right" w:leader="dot" w:pos="8950"/>
        </w:tabs>
        <w:snapToGrid w:val="0"/>
        <w:ind w:left="200"/>
      </w:pPr>
      <w:r>
        <w:fldChar w:fldCharType="begin"/>
      </w:r>
      <w:r>
        <w:instrText xml:space="preserve"> HYPERLINK \l "s6_4" \h </w:instrText>
      </w:r>
      <w:r>
        <w:fldChar w:fldCharType="separate"/>
      </w:r>
      <w:r>
        <w:t>6.4　事件触发推送与确认规则</w:t>
      </w:r>
      <w:r>
        <w:fldChar w:fldCharType="end"/>
      </w:r>
      <w:r>
        <w:tab/>
      </w:r>
      <w:r>
        <w:fldChar w:fldCharType="begin"/>
      </w:r>
      <w:r>
        <w:instrText xml:space="preserve"> PAGEREF s6_4 \h </w:instrText>
      </w:r>
      <w:r>
        <w:fldChar w:fldCharType="separate"/>
      </w:r>
      <w:r>
        <w:t>123</w:t>
      </w:r>
      <w:r>
        <w:fldChar w:fldCharType="end"/>
      </w:r>
    </w:p>
    <w:p w14:paraId="72000456">
      <w:pPr>
        <w:pStyle w:val="16"/>
        <w:tabs>
          <w:tab w:val="right" w:leader="dot" w:pos="8950"/>
        </w:tabs>
        <w:snapToGrid w:val="0"/>
        <w:ind w:left="200"/>
      </w:pPr>
      <w:r>
        <w:fldChar w:fldCharType="begin"/>
      </w:r>
      <w:r>
        <w:instrText xml:space="preserve"> HYPERLINK \l "s6_5" \h </w:instrText>
      </w:r>
      <w:r>
        <w:fldChar w:fldCharType="separate"/>
      </w:r>
      <w:r>
        <w:t>6.5　优化方案与处置应用规则</w:t>
      </w:r>
      <w:r>
        <w:fldChar w:fldCharType="end"/>
      </w:r>
      <w:r>
        <w:tab/>
      </w:r>
      <w:r>
        <w:fldChar w:fldCharType="begin"/>
      </w:r>
      <w:r>
        <w:instrText xml:space="preserve"> PAGEREF s6_5 \h </w:instrText>
      </w:r>
      <w:r>
        <w:fldChar w:fldCharType="separate"/>
      </w:r>
      <w:r>
        <w:t>123</w:t>
      </w:r>
      <w:r>
        <w:fldChar w:fldCharType="end"/>
      </w:r>
    </w:p>
    <w:p w14:paraId="72000457">
      <w:pPr>
        <w:pStyle w:val="16"/>
        <w:tabs>
          <w:tab w:val="right" w:leader="dot" w:pos="8950"/>
        </w:tabs>
        <w:snapToGrid w:val="0"/>
        <w:ind w:left="200"/>
      </w:pPr>
      <w:r>
        <w:fldChar w:fldCharType="begin"/>
      </w:r>
      <w:r>
        <w:instrText xml:space="preserve"> HYPERLINK \l "s6_6" \h </w:instrText>
      </w:r>
      <w:r>
        <w:fldChar w:fldCharType="separate"/>
      </w:r>
      <w:r>
        <w:t>6.6　权限与知识访问规则</w:t>
      </w:r>
      <w:r>
        <w:fldChar w:fldCharType="end"/>
      </w:r>
      <w:r>
        <w:tab/>
      </w:r>
      <w:r>
        <w:fldChar w:fldCharType="begin"/>
      </w:r>
      <w:r>
        <w:instrText xml:space="preserve"> PAGEREF s6_6 \h </w:instrText>
      </w:r>
      <w:r>
        <w:fldChar w:fldCharType="separate"/>
      </w:r>
      <w:r>
        <w:t>124</w:t>
      </w:r>
      <w:r>
        <w:fldChar w:fldCharType="end"/>
      </w:r>
    </w:p>
    <w:p w14:paraId="72000458">
      <w:pPr>
        <w:pStyle w:val="16"/>
        <w:tabs>
          <w:tab w:val="right" w:leader="dot" w:pos="8950"/>
        </w:tabs>
        <w:snapToGrid w:val="0"/>
        <w:ind w:left="200"/>
      </w:pPr>
      <w:r>
        <w:fldChar w:fldCharType="begin"/>
      </w:r>
      <w:r>
        <w:instrText xml:space="preserve"> HYPERLINK \l "s6_7" \h </w:instrText>
      </w:r>
      <w:r>
        <w:fldChar w:fldCharType="separate"/>
      </w:r>
      <w:r>
        <w:t>6.7　知识沉淀与变更规则</w:t>
      </w:r>
      <w:r>
        <w:fldChar w:fldCharType="end"/>
      </w:r>
      <w:r>
        <w:tab/>
      </w:r>
      <w:r>
        <w:fldChar w:fldCharType="begin"/>
      </w:r>
      <w:r>
        <w:instrText xml:space="preserve"> PAGEREF s6_7 \h </w:instrText>
      </w:r>
      <w:r>
        <w:fldChar w:fldCharType="separate"/>
      </w:r>
      <w:r>
        <w:t>124</w:t>
      </w:r>
      <w:r>
        <w:fldChar w:fldCharType="end"/>
      </w:r>
    </w:p>
    <w:p w14:paraId="72000459">
      <w:pPr>
        <w:pStyle w:val="16"/>
        <w:tabs>
          <w:tab w:val="right" w:leader="dot" w:pos="8950"/>
        </w:tabs>
        <w:snapToGrid w:val="0"/>
        <w:ind w:left="200"/>
      </w:pPr>
      <w:r>
        <w:fldChar w:fldCharType="begin"/>
      </w:r>
      <w:r>
        <w:instrText xml:space="preserve"> HYPERLINK \l "s6_8" \h </w:instrText>
      </w:r>
      <w:r>
        <w:fldChar w:fldCharType="separate"/>
      </w:r>
      <w:r>
        <w:t>6.8　专业诊断规则</w:t>
      </w:r>
      <w:r>
        <w:fldChar w:fldCharType="end"/>
      </w:r>
      <w:r>
        <w:tab/>
      </w:r>
      <w:r>
        <w:fldChar w:fldCharType="begin"/>
      </w:r>
      <w:r>
        <w:instrText xml:space="preserve"> PAGEREF s6_8 \h </w:instrText>
      </w:r>
      <w:r>
        <w:fldChar w:fldCharType="separate"/>
      </w:r>
      <w:r>
        <w:t>125</w:t>
      </w:r>
      <w:r>
        <w:fldChar w:fldCharType="end"/>
      </w:r>
    </w:p>
    <w:p w14:paraId="7200045B">
      <w:pPr>
        <w:pStyle w:val="16"/>
        <w:tabs>
          <w:tab w:val="right" w:leader="dot" w:pos="8950"/>
        </w:tabs>
        <w:snapToGrid w:val="0"/>
        <w:ind w:left="400"/>
      </w:pPr>
      <w:r>
        <w:fldChar w:fldCharType="begin"/>
      </w:r>
      <w:r>
        <w:instrText xml:space="preserve"> HYPERLINK \l "s6_8_1" \h </w:instrText>
      </w:r>
      <w:r>
        <w:fldChar w:fldCharType="separate"/>
      </w:r>
      <w:r>
        <w:t>6.8.1　质量根因分析规则</w:t>
      </w:r>
      <w:r>
        <w:fldChar w:fldCharType="end"/>
      </w:r>
      <w:r>
        <w:tab/>
      </w:r>
      <w:r>
        <w:fldChar w:fldCharType="begin"/>
      </w:r>
      <w:r>
        <w:instrText xml:space="preserve"> PAGEREF s6_8_1 \h </w:instrText>
      </w:r>
      <w:r>
        <w:fldChar w:fldCharType="separate"/>
      </w:r>
      <w:r>
        <w:t>125</w:t>
      </w:r>
      <w:r>
        <w:fldChar w:fldCharType="end"/>
      </w:r>
    </w:p>
    <w:p w14:paraId="7200045C">
      <w:pPr>
        <w:pStyle w:val="16"/>
        <w:tabs>
          <w:tab w:val="right" w:leader="dot" w:pos="8950"/>
        </w:tabs>
        <w:snapToGrid w:val="0"/>
        <w:ind w:left="400"/>
      </w:pPr>
      <w:r>
        <w:fldChar w:fldCharType="begin"/>
      </w:r>
      <w:r>
        <w:instrText xml:space="preserve"> HYPERLINK \l "s6_8_2" \h </w:instrText>
      </w:r>
      <w:r>
        <w:fldChar w:fldCharType="separate"/>
      </w:r>
      <w:r>
        <w:t>6.8.2　异常工况识别规则</w:t>
      </w:r>
      <w:r>
        <w:fldChar w:fldCharType="end"/>
      </w:r>
      <w:r>
        <w:tab/>
      </w:r>
      <w:r>
        <w:fldChar w:fldCharType="begin"/>
      </w:r>
      <w:r>
        <w:instrText xml:space="preserve"> PAGEREF s6_8_2 \h </w:instrText>
      </w:r>
      <w:r>
        <w:fldChar w:fldCharType="separate"/>
      </w:r>
      <w:r>
        <w:t>126</w:t>
      </w:r>
      <w:r>
        <w:fldChar w:fldCharType="end"/>
      </w:r>
    </w:p>
    <w:p w14:paraId="72000460">
      <w:pPr>
        <w:pStyle w:val="16"/>
        <w:tabs>
          <w:tab w:val="right" w:leader="dot" w:pos="8950"/>
        </w:tabs>
        <w:snapToGrid w:val="0"/>
        <w:ind w:left="0"/>
      </w:pPr>
      <w:r>
        <w:fldChar w:fldCharType="begin"/>
      </w:r>
      <w:r>
        <w:instrText xml:space="preserve"> HYPERLINK \l "s7" \h </w:instrText>
      </w:r>
      <w:r>
        <w:fldChar w:fldCharType="separate"/>
      </w:r>
      <w:r>
        <w:t>7　价值层：建设价值与度量</w:t>
      </w:r>
      <w:r>
        <w:fldChar w:fldCharType="end"/>
      </w:r>
      <w:r>
        <w:tab/>
      </w:r>
      <w:r>
        <w:fldChar w:fldCharType="begin"/>
      </w:r>
      <w:r>
        <w:instrText xml:space="preserve"> PAGEREF s7 \h </w:instrText>
      </w:r>
      <w:r>
        <w:fldChar w:fldCharType="separate"/>
      </w:r>
      <w:r>
        <w:t>128</w:t>
      </w:r>
      <w:r>
        <w:fldChar w:fldCharType="end"/>
      </w:r>
    </w:p>
    <w:p w14:paraId="72000461">
      <w:pPr>
        <w:pStyle w:val="16"/>
        <w:tabs>
          <w:tab w:val="right" w:leader="dot" w:pos="8950"/>
        </w:tabs>
        <w:snapToGrid w:val="0"/>
        <w:ind w:left="200"/>
      </w:pPr>
      <w:r>
        <w:fldChar w:fldCharType="begin"/>
      </w:r>
      <w:r>
        <w:instrText xml:space="preserve"> HYPERLINK \l "s7_1" \h </w:instrText>
      </w:r>
      <w:r>
        <w:fldChar w:fldCharType="separate"/>
      </w:r>
      <w:r>
        <w:t>7.1　业务价值</w:t>
      </w:r>
      <w:r>
        <w:fldChar w:fldCharType="end"/>
      </w:r>
      <w:r>
        <w:tab/>
      </w:r>
      <w:r>
        <w:fldChar w:fldCharType="begin"/>
      </w:r>
      <w:r>
        <w:instrText xml:space="preserve"> PAGEREF s7_1 \h </w:instrText>
      </w:r>
      <w:r>
        <w:fldChar w:fldCharType="separate"/>
      </w:r>
      <w:r>
        <w:t>128</w:t>
      </w:r>
      <w:r>
        <w:fldChar w:fldCharType="end"/>
      </w:r>
    </w:p>
    <w:p w14:paraId="72000462">
      <w:pPr>
        <w:pStyle w:val="16"/>
        <w:tabs>
          <w:tab w:val="right" w:leader="dot" w:pos="8950"/>
        </w:tabs>
        <w:snapToGrid w:val="0"/>
        <w:ind w:left="200"/>
      </w:pPr>
      <w:r>
        <w:fldChar w:fldCharType="begin"/>
      </w:r>
      <w:r>
        <w:instrText xml:space="preserve"> HYPERLINK \l "s7_2" \h </w:instrText>
      </w:r>
      <w:r>
        <w:fldChar w:fldCharType="separate"/>
      </w:r>
      <w:r>
        <w:t>7.2　管理价值</w:t>
      </w:r>
      <w:r>
        <w:fldChar w:fldCharType="end"/>
      </w:r>
      <w:r>
        <w:tab/>
      </w:r>
      <w:r>
        <w:fldChar w:fldCharType="begin"/>
      </w:r>
      <w:r>
        <w:instrText xml:space="preserve"> PAGEREF s7_2 \h </w:instrText>
      </w:r>
      <w:r>
        <w:fldChar w:fldCharType="separate"/>
      </w:r>
      <w:r>
        <w:t>128</w:t>
      </w:r>
      <w:r>
        <w:fldChar w:fldCharType="end"/>
      </w:r>
    </w:p>
    <w:p w14:paraId="72000463">
      <w:pPr>
        <w:pStyle w:val="16"/>
        <w:tabs>
          <w:tab w:val="right" w:leader="dot" w:pos="8950"/>
        </w:tabs>
        <w:snapToGrid w:val="0"/>
        <w:ind w:left="200"/>
      </w:pPr>
      <w:r>
        <w:fldChar w:fldCharType="begin"/>
      </w:r>
      <w:r>
        <w:instrText xml:space="preserve"> HYPERLINK \l "s7_3" \h </w:instrText>
      </w:r>
      <w:r>
        <w:fldChar w:fldCharType="separate"/>
      </w:r>
      <w:r>
        <w:t>7.3　平台度量指标</w:t>
      </w:r>
      <w:r>
        <w:fldChar w:fldCharType="end"/>
      </w:r>
      <w:r>
        <w:tab/>
      </w:r>
      <w:r>
        <w:fldChar w:fldCharType="begin"/>
      </w:r>
      <w:r>
        <w:instrText xml:space="preserve"> PAGEREF s7_3 \h </w:instrText>
      </w:r>
      <w:r>
        <w:fldChar w:fldCharType="separate"/>
      </w:r>
      <w:r>
        <w:t>128</w:t>
      </w:r>
      <w:r>
        <w:fldChar w:fldCharType="end"/>
      </w:r>
    </w:p>
    <w:p w14:paraId="7B9404D0">
      <w:pPr>
        <w:pStyle w:val="2"/>
        <w:pageBreakBefore/>
        <w:snapToGrid w:val="0"/>
      </w:pPr>
      <w:bookmarkStart w:id="0" w:name="s1"/>
      <w:r>
        <w:rPr>
          <w:rFonts w:ascii="黑体" w:hAnsi="黑体" w:eastAsia="黑体" w:cs="黑体"/>
          <w:b/>
          <w:color w:val="000000"/>
        </w:rPr>
        <w:t>1　总体层：总则</w:t>
      </w:r>
      <w:bookmarkEnd w:id="0"/>
    </w:p>
    <w:p w14:paraId="187AD0F7">
      <w:pPr>
        <w:pStyle w:val="3"/>
        <w:snapToGrid w:val="0"/>
      </w:pPr>
      <w:bookmarkStart w:id="1" w:name="s1_1"/>
      <w:r>
        <w:rPr>
          <w:rFonts w:ascii="黑体" w:hAnsi="黑体" w:eastAsia="黑体" w:cs="黑体"/>
          <w:b/>
          <w:color w:val="000000"/>
        </w:rPr>
        <w:t>1.1　项目背景与平台定位</w:t>
      </w:r>
      <w:bookmarkEnd w:id="1"/>
    </w:p>
    <w:p w14:paraId="34715B66">
      <w:pPr>
        <w:ind w:firstLineChars="200"/>
        <w:rPr>
          <w:rFonts w:ascii="宋体" w:hAnsi="宋体" w:eastAsia="宋体"/>
          <w:b w:val="0"/>
          <w:color w:val="auto"/>
        </w:rPr>
      </w:pPr>
      <w:r>
        <w:rPr>
          <w:rFonts w:ascii="宋体" w:hAnsi="宋体" w:eastAsia="宋体"/>
          <w:b w:val="0"/>
          <w:color w:val="auto"/>
        </w:rPr>
        <w:t>中粮生物科技（太仓）股份有限公司新建55万吨／年淀粉糖项目同步开展AI全流程智能化建设。中控技术股份有限公司统筹AI优化平台建设，将业务数据、专业模型、工艺知识与生产运行过程连接起来，为生产、工艺、设备、质量、能源、供应链及安全环保人员提供统一的查询、分析、诊断、优化与协同应用。</w:t>
      </w:r>
    </w:p>
    <w:p w14:paraId="1554865D">
      <w:pPr>
        <w:ind w:firstLineChars="200"/>
        <w:rPr>
          <w:rFonts w:ascii="宋体" w:hAnsi="宋体" w:eastAsia="宋体"/>
          <w:b w:val="0"/>
          <w:color w:val="auto"/>
        </w:rPr>
      </w:pPr>
      <w:r>
        <w:rPr>
          <w:rFonts w:ascii="宋体" w:hAnsi="宋体" w:eastAsia="宋体"/>
          <w:b w:val="0"/>
          <w:color w:val="auto"/>
        </w:rPr>
        <w:t>平台以统一门户承载用户交互，以智能体组织跨业务任务，以数据治理和知识基座提供支撑。日常工作通过自然语言取得数据与依据；异常事件通过报警、诊断、处置和反馈形成闭环；优化方案与项目控制能力衔接，支持方案确认、执行应用及运行结果复核。各项能力共同服务于现场操作、专业分析和管理决策。</w:t>
      </w:r>
    </w:p>
    <w:p w14:paraId="6DE80E78">
      <w:pPr>
        <w:pStyle w:val="15"/>
        <w:snapToGrid w:val="0"/>
        <w:jc w:val="center"/>
      </w:pPr>
      <w:r>
        <w:t>表1-1　平台建设定位</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713"/>
        <w:gridCol w:w="4939"/>
        <w:gridCol w:w="2420"/>
      </w:tblGrid>
      <w:tr w14:paraId="5102F4C2">
        <w:trPr>
          <w:cantSplit/>
          <w:tblHeader/>
        </w:trPr>
        <w:tc>
          <w:tcPr>
            <w:tcW w:w="1713" w:type="dxa"/>
            <w:vAlign w:val="center"/>
          </w:tcPr>
          <w:p w14:paraId="7656A91A">
            <w:pPr>
              <w:pStyle w:val="14"/>
              <w:snapToGrid w:val="0"/>
              <w:jc w:val="center"/>
            </w:pPr>
            <w:r>
              <w:rPr>
                <w:b/>
              </w:rPr>
              <w:t>建设方向</w:t>
            </w:r>
          </w:p>
        </w:tc>
        <w:tc>
          <w:tcPr>
            <w:tcW w:w="4939" w:type="dxa"/>
            <w:vAlign w:val="center"/>
          </w:tcPr>
          <w:p w14:paraId="1BFC707A">
            <w:pPr>
              <w:pStyle w:val="14"/>
              <w:snapToGrid w:val="0"/>
              <w:jc w:val="center"/>
            </w:pPr>
            <w:r>
              <w:rPr>
                <w:b/>
              </w:rPr>
              <w:t>平台提供的业务能力</w:t>
            </w:r>
          </w:p>
        </w:tc>
        <w:tc>
          <w:tcPr>
            <w:tcW w:w="2420" w:type="dxa"/>
            <w:vAlign w:val="center"/>
          </w:tcPr>
          <w:p w14:paraId="46EA9037">
            <w:pPr>
              <w:pStyle w:val="14"/>
              <w:snapToGrid w:val="0"/>
              <w:jc w:val="center"/>
            </w:pPr>
            <w:r>
              <w:rPr>
                <w:b/>
              </w:rPr>
              <w:t>使用结果</w:t>
            </w:r>
          </w:p>
        </w:tc>
      </w:tr>
      <w:tr w14:paraId="6BF61490">
        <w:trPr>
          <w:cantSplit/>
        </w:trPr>
        <w:tc>
          <w:tcPr>
            <w:tcW w:w="1713" w:type="dxa"/>
            <w:vAlign w:val="center"/>
          </w:tcPr>
          <w:p w14:paraId="375A034A">
            <w:pPr>
              <w:pStyle w:val="14"/>
              <w:snapToGrid w:val="0"/>
              <w:jc w:val="center"/>
            </w:pPr>
            <w:r>
              <w:t>统一获取信息</w:t>
            </w:r>
          </w:p>
        </w:tc>
        <w:tc>
          <w:tcPr>
            <w:tcW w:w="4939" w:type="dxa"/>
            <w:vAlign w:val="center"/>
          </w:tcPr>
          <w:p w14:paraId="5FB0D27D">
            <w:pPr>
              <w:pStyle w:val="14"/>
              <w:snapToGrid w:val="0"/>
              <w:jc w:val="left"/>
            </w:pPr>
            <w:r>
              <w:t>关联业务数据、指标口径、知识文档与分析记录</w:t>
            </w:r>
          </w:p>
        </w:tc>
        <w:tc>
          <w:tcPr>
            <w:tcW w:w="2420" w:type="dxa"/>
            <w:vAlign w:val="center"/>
          </w:tcPr>
          <w:p w14:paraId="7EDCBD68">
            <w:pPr>
              <w:pStyle w:val="14"/>
              <w:snapToGrid w:val="0"/>
              <w:jc w:val="left"/>
            </w:pPr>
            <w:r>
              <w:t>问答、图表及可追溯报告</w:t>
            </w:r>
          </w:p>
        </w:tc>
      </w:tr>
      <w:tr w14:paraId="713BA4CB">
        <w:trPr>
          <w:cantSplit/>
        </w:trPr>
        <w:tc>
          <w:tcPr>
            <w:tcW w:w="1713" w:type="dxa"/>
            <w:vAlign w:val="center"/>
          </w:tcPr>
          <w:p w14:paraId="14CAE395">
            <w:pPr>
              <w:pStyle w:val="14"/>
              <w:snapToGrid w:val="0"/>
              <w:jc w:val="left"/>
            </w:pPr>
            <w:r>
              <w:t>发现并解释异常</w:t>
            </w:r>
          </w:p>
        </w:tc>
        <w:tc>
          <w:tcPr>
            <w:tcW w:w="4939" w:type="dxa"/>
            <w:vAlign w:val="center"/>
          </w:tcPr>
          <w:p w14:paraId="16D8D1B2">
            <w:pPr>
              <w:pStyle w:val="14"/>
              <w:snapToGrid w:val="0"/>
              <w:jc w:val="left"/>
            </w:pPr>
            <w:r>
              <w:t>结合衡算、趋势、报警和知识模型定位异常及影响因素</w:t>
            </w:r>
          </w:p>
        </w:tc>
        <w:tc>
          <w:tcPr>
            <w:tcW w:w="2420" w:type="dxa"/>
            <w:vAlign w:val="center"/>
          </w:tcPr>
          <w:p w14:paraId="00B6E565">
            <w:pPr>
              <w:pStyle w:val="14"/>
              <w:snapToGrid w:val="0"/>
              <w:jc w:val="left"/>
            </w:pPr>
            <w:r>
              <w:t>偏差分析、根因链和处置建议</w:t>
            </w:r>
          </w:p>
        </w:tc>
      </w:tr>
      <w:tr w14:paraId="68680BFC">
        <w:trPr>
          <w:cantSplit/>
        </w:trPr>
        <w:tc>
          <w:tcPr>
            <w:tcW w:w="1713" w:type="dxa"/>
            <w:vAlign w:val="center"/>
          </w:tcPr>
          <w:p w14:paraId="352DD4F7">
            <w:pPr>
              <w:pStyle w:val="14"/>
              <w:snapToGrid w:val="0"/>
              <w:jc w:val="left"/>
            </w:pPr>
            <w:r>
              <w:t>支持优化与处置</w:t>
            </w:r>
          </w:p>
        </w:tc>
        <w:tc>
          <w:tcPr>
            <w:tcW w:w="4939" w:type="dxa"/>
            <w:vAlign w:val="center"/>
          </w:tcPr>
          <w:p w14:paraId="0605448A">
            <w:pPr>
              <w:pStyle w:val="14"/>
              <w:snapToGrid w:val="0"/>
              <w:jc w:val="left"/>
            </w:pPr>
            <w:r>
              <w:t>组织优化方案、人员确认、人工执行及效果复核</w:t>
            </w:r>
          </w:p>
        </w:tc>
        <w:tc>
          <w:tcPr>
            <w:tcW w:w="2420" w:type="dxa"/>
            <w:vAlign w:val="center"/>
          </w:tcPr>
          <w:p w14:paraId="25033B0C">
            <w:pPr>
              <w:pStyle w:val="14"/>
              <w:snapToGrid w:val="0"/>
              <w:jc w:val="left"/>
            </w:pPr>
            <w:r>
              <w:t>执行记录与前后运行对照</w:t>
            </w:r>
          </w:p>
        </w:tc>
      </w:tr>
      <w:tr w14:paraId="0F11D285">
        <w:trPr>
          <w:cantSplit/>
        </w:trPr>
        <w:tc>
          <w:tcPr>
            <w:tcW w:w="1713" w:type="dxa"/>
            <w:vAlign w:val="center"/>
          </w:tcPr>
          <w:p w14:paraId="0E690F62">
            <w:pPr>
              <w:pStyle w:val="14"/>
              <w:snapToGrid w:val="0"/>
              <w:jc w:val="center"/>
            </w:pPr>
            <w:r>
              <w:t>积累业务知识</w:t>
            </w:r>
          </w:p>
        </w:tc>
        <w:tc>
          <w:tcPr>
            <w:tcW w:w="4939" w:type="dxa"/>
            <w:vAlign w:val="center"/>
          </w:tcPr>
          <w:p w14:paraId="3F157575">
            <w:pPr>
              <w:pStyle w:val="14"/>
              <w:snapToGrid w:val="0"/>
              <w:jc w:val="left"/>
            </w:pPr>
            <w:r>
              <w:t>维护工艺规程、风险与质量因果关系、故障模式和确认案例</w:t>
            </w:r>
          </w:p>
        </w:tc>
        <w:tc>
          <w:tcPr>
            <w:tcW w:w="2420" w:type="dxa"/>
            <w:vAlign w:val="center"/>
          </w:tcPr>
          <w:p w14:paraId="6979E563">
            <w:pPr>
              <w:pStyle w:val="14"/>
              <w:snapToGrid w:val="0"/>
              <w:jc w:val="left"/>
            </w:pPr>
            <w:r>
              <w:t>可检索、可维护、可复用的知识资产</w:t>
            </w:r>
          </w:p>
        </w:tc>
      </w:tr>
    </w:tbl>
    <w:p w14:paraId="01FC592D">
      <w:pPr>
        <w:pStyle w:val="12"/>
        <w:snapToGrid w:val="0"/>
        <w:spacing w:after="25"/>
      </w:pPr>
    </w:p>
    <w:p w14:paraId="5A7CEC68">
      <w:pPr>
        <w:pStyle w:val="3"/>
        <w:snapToGrid w:val="0"/>
      </w:pPr>
      <w:bookmarkStart w:id="2" w:name="s1_2"/>
      <w:r>
        <w:rPr>
          <w:rFonts w:ascii="黑体" w:hAnsi="黑体" w:eastAsia="黑体" w:cs="黑体"/>
          <w:b/>
          <w:color w:val="000000"/>
        </w:rPr>
        <w:t>1.</w:t>
      </w:r>
      <w:r>
        <w:rPr>
          <w:rFonts w:hint="eastAsia" w:ascii="黑体" w:hAnsi="黑体" w:eastAsia="黑体" w:cs="黑体"/>
          <w:b/>
          <w:color w:val="000000"/>
          <w:lang w:val="en-US" w:eastAsia="zh-CN"/>
        </w:rPr>
        <w:t>2</w:t>
      </w:r>
      <w:r>
        <w:rPr>
          <w:rFonts w:ascii="黑体" w:hAnsi="黑体" w:eastAsia="黑体" w:cs="黑体"/>
          <w:b/>
          <w:color w:val="000000"/>
        </w:rPr>
        <w:t>　建设目标</w:t>
      </w:r>
      <w:bookmarkEnd w:id="2"/>
    </w:p>
    <w:p w14:paraId="65BB0404">
      <w:pPr>
        <w:pStyle w:val="15"/>
        <w:snapToGrid w:val="0"/>
        <w:jc w:val="center"/>
      </w:pPr>
      <w:r>
        <w:t>表1-3　建设目标与功能对应</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612"/>
        <w:gridCol w:w="5644"/>
        <w:gridCol w:w="1816"/>
      </w:tblGrid>
      <w:tr w14:paraId="576FF257">
        <w:trPr>
          <w:cantSplit/>
          <w:tblHeader/>
        </w:trPr>
        <w:tc>
          <w:tcPr>
            <w:tcW w:w="1612" w:type="dxa"/>
            <w:vAlign w:val="center"/>
          </w:tcPr>
          <w:p w14:paraId="439415AE">
            <w:pPr>
              <w:pStyle w:val="14"/>
              <w:snapToGrid w:val="0"/>
              <w:jc w:val="center"/>
            </w:pPr>
            <w:r>
              <w:rPr>
                <w:b/>
              </w:rPr>
              <w:t>目标</w:t>
            </w:r>
          </w:p>
        </w:tc>
        <w:tc>
          <w:tcPr>
            <w:tcW w:w="5644" w:type="dxa"/>
            <w:vAlign w:val="center"/>
          </w:tcPr>
          <w:p w14:paraId="19F4FE5F">
            <w:pPr>
              <w:pStyle w:val="14"/>
              <w:snapToGrid w:val="0"/>
              <w:jc w:val="center"/>
            </w:pPr>
            <w:r>
              <w:rPr>
                <w:b/>
              </w:rPr>
              <w:t>具体业务结果</w:t>
            </w:r>
          </w:p>
        </w:tc>
        <w:tc>
          <w:tcPr>
            <w:tcW w:w="1816" w:type="dxa"/>
            <w:vAlign w:val="center"/>
          </w:tcPr>
          <w:p w14:paraId="7D97F751">
            <w:pPr>
              <w:pStyle w:val="14"/>
              <w:snapToGrid w:val="0"/>
              <w:jc w:val="center"/>
            </w:pPr>
            <w:r>
              <w:rPr>
                <w:b/>
              </w:rPr>
              <w:t>关联章节</w:t>
            </w:r>
          </w:p>
        </w:tc>
      </w:tr>
      <w:tr w14:paraId="78868425">
        <w:trPr>
          <w:cantSplit/>
        </w:trPr>
        <w:tc>
          <w:tcPr>
            <w:tcW w:w="1612" w:type="dxa"/>
            <w:vAlign w:val="center"/>
          </w:tcPr>
          <w:p w14:paraId="0CC0A147">
            <w:pPr>
              <w:pStyle w:val="14"/>
              <w:snapToGrid w:val="0"/>
              <w:jc w:val="center"/>
            </w:pPr>
            <w:r>
              <w:t>信息可获取</w:t>
            </w:r>
          </w:p>
        </w:tc>
        <w:tc>
          <w:tcPr>
            <w:tcW w:w="5644" w:type="dxa"/>
            <w:vAlign w:val="center"/>
          </w:tcPr>
          <w:p w14:paraId="50C12B35">
            <w:pPr>
              <w:pStyle w:val="14"/>
              <w:snapToGrid w:val="0"/>
              <w:jc w:val="left"/>
            </w:pPr>
            <w:r>
              <w:t>自然语言查询业务数据、文档和分析结果，支持图表、追问及导出</w:t>
            </w:r>
          </w:p>
        </w:tc>
        <w:tc>
          <w:tcPr>
            <w:tcW w:w="1816" w:type="dxa"/>
            <w:vAlign w:val="center"/>
          </w:tcPr>
          <w:p w14:paraId="58F911A4">
            <w:pPr>
              <w:pStyle w:val="14"/>
              <w:snapToGrid w:val="0"/>
              <w:jc w:val="left"/>
            </w:pPr>
            <w:r>
              <w:t>5.2、5.3.1</w:t>
            </w:r>
          </w:p>
        </w:tc>
      </w:tr>
      <w:tr w14:paraId="26BE7AEE">
        <w:trPr>
          <w:cantSplit/>
        </w:trPr>
        <w:tc>
          <w:tcPr>
            <w:tcW w:w="1612" w:type="dxa"/>
            <w:vAlign w:val="center"/>
          </w:tcPr>
          <w:p w14:paraId="1F21C9C3">
            <w:pPr>
              <w:pStyle w:val="14"/>
              <w:snapToGrid w:val="0"/>
              <w:jc w:val="center"/>
            </w:pPr>
            <w:r>
              <w:t>异常可研判</w:t>
            </w:r>
          </w:p>
        </w:tc>
        <w:tc>
          <w:tcPr>
            <w:tcW w:w="5644" w:type="dxa"/>
            <w:vAlign w:val="center"/>
          </w:tcPr>
          <w:p w14:paraId="71CB1639">
            <w:pPr>
              <w:pStyle w:val="14"/>
              <w:snapToGrid w:val="0"/>
              <w:jc w:val="left"/>
            </w:pPr>
            <w:r>
              <w:t>发现偏差、关联证据、解释原因，展示质量链与风险传播路径</w:t>
            </w:r>
          </w:p>
        </w:tc>
        <w:tc>
          <w:tcPr>
            <w:tcW w:w="1816" w:type="dxa"/>
            <w:vAlign w:val="center"/>
          </w:tcPr>
          <w:p w14:paraId="27A8C1C6">
            <w:pPr>
              <w:pStyle w:val="14"/>
              <w:snapToGrid w:val="0"/>
              <w:jc w:val="left"/>
            </w:pPr>
            <w:r>
              <w:t>5.3.2、5.3.3</w:t>
            </w:r>
          </w:p>
        </w:tc>
      </w:tr>
      <w:tr w14:paraId="1B884A4A">
        <w:trPr>
          <w:cantSplit/>
        </w:trPr>
        <w:tc>
          <w:tcPr>
            <w:tcW w:w="1612" w:type="dxa"/>
            <w:vAlign w:val="center"/>
          </w:tcPr>
          <w:p w14:paraId="730F16D3">
            <w:pPr>
              <w:pStyle w:val="14"/>
              <w:snapToGrid w:val="0"/>
              <w:jc w:val="center"/>
            </w:pPr>
            <w:r>
              <w:t>业务可协同</w:t>
            </w:r>
          </w:p>
        </w:tc>
        <w:tc>
          <w:tcPr>
            <w:tcW w:w="5644" w:type="dxa"/>
            <w:vAlign w:val="center"/>
          </w:tcPr>
          <w:p w14:paraId="14A46DA2">
            <w:pPr>
              <w:pStyle w:val="14"/>
              <w:snapToGrid w:val="0"/>
              <w:jc w:val="left"/>
            </w:pPr>
            <w:r>
              <w:t>推送事件，跟踪确认与处置，组织优化应用和结果复核</w:t>
            </w:r>
          </w:p>
        </w:tc>
        <w:tc>
          <w:tcPr>
            <w:tcW w:w="1816" w:type="dxa"/>
            <w:vAlign w:val="center"/>
          </w:tcPr>
          <w:p w14:paraId="6F6E58A8">
            <w:pPr>
              <w:pStyle w:val="14"/>
              <w:snapToGrid w:val="0"/>
              <w:jc w:val="left"/>
            </w:pPr>
            <w:r>
              <w:t>5.2.5、5.7</w:t>
            </w:r>
          </w:p>
        </w:tc>
      </w:tr>
      <w:tr w14:paraId="4B87A6EB">
        <w:trPr>
          <w:cantSplit/>
        </w:trPr>
        <w:tc>
          <w:tcPr>
            <w:tcW w:w="1612" w:type="dxa"/>
            <w:vAlign w:val="center"/>
          </w:tcPr>
          <w:p w14:paraId="7B9D4610">
            <w:pPr>
              <w:pStyle w:val="14"/>
              <w:snapToGrid w:val="0"/>
              <w:jc w:val="center"/>
            </w:pPr>
            <w:r>
              <w:t>知识可持续维护</w:t>
            </w:r>
          </w:p>
        </w:tc>
        <w:tc>
          <w:tcPr>
            <w:tcW w:w="5644" w:type="dxa"/>
            <w:vAlign w:val="center"/>
          </w:tcPr>
          <w:p w14:paraId="7C2653AA">
            <w:pPr>
              <w:pStyle w:val="14"/>
              <w:snapToGrid w:val="0"/>
              <w:jc w:val="left"/>
            </w:pPr>
            <w:r>
              <w:t>统一资产、审核变更、版本发布及运行评估</w:t>
            </w:r>
          </w:p>
        </w:tc>
        <w:tc>
          <w:tcPr>
            <w:tcW w:w="1816" w:type="dxa"/>
            <w:vAlign w:val="center"/>
          </w:tcPr>
          <w:p w14:paraId="4CD9E63C">
            <w:pPr>
              <w:pStyle w:val="14"/>
              <w:snapToGrid w:val="0"/>
              <w:jc w:val="left"/>
            </w:pPr>
            <w:r>
              <w:t>5.4至5.6、6.7</w:t>
            </w:r>
          </w:p>
        </w:tc>
      </w:tr>
      <w:tr w14:paraId="56B01684">
        <w:trPr>
          <w:cantSplit/>
        </w:trPr>
        <w:tc>
          <w:tcPr>
            <w:tcW w:w="1612" w:type="dxa"/>
            <w:vAlign w:val="center"/>
          </w:tcPr>
          <w:p w14:paraId="39DBE880">
            <w:pPr>
              <w:pStyle w:val="14"/>
              <w:snapToGrid w:val="0"/>
              <w:jc w:val="center"/>
            </w:pPr>
            <w:r>
              <w:t>成果可验证</w:t>
            </w:r>
          </w:p>
        </w:tc>
        <w:tc>
          <w:tcPr>
            <w:tcW w:w="5644" w:type="dxa"/>
            <w:vAlign w:val="center"/>
          </w:tcPr>
          <w:p w14:paraId="144E377A">
            <w:pPr>
              <w:pStyle w:val="14"/>
              <w:snapToGrid w:val="0"/>
              <w:jc w:val="left"/>
            </w:pPr>
            <w:r>
              <w:t>以典型业务案例核验功能、数据、流程与使用结果</w:t>
            </w:r>
          </w:p>
        </w:tc>
        <w:tc>
          <w:tcPr>
            <w:tcW w:w="1816" w:type="dxa"/>
            <w:vAlign w:val="center"/>
          </w:tcPr>
          <w:p w14:paraId="5DC80A1A">
            <w:pPr>
              <w:pStyle w:val="14"/>
              <w:snapToGrid w:val="0"/>
              <w:jc w:val="center"/>
            </w:pPr>
            <w:r>
              <w:t>7.3</w:t>
            </w:r>
          </w:p>
        </w:tc>
      </w:tr>
    </w:tbl>
    <w:p w14:paraId="5791378B">
      <w:pPr>
        <w:pStyle w:val="12"/>
        <w:snapToGrid w:val="0"/>
        <w:spacing w:after="25"/>
      </w:pPr>
    </w:p>
    <w:p w14:paraId="69A1886C">
      <w:pPr>
        <w:pStyle w:val="2"/>
        <w:bidi w:val="0"/>
      </w:pPr>
      <w:bookmarkStart w:id="3" w:name="s2"/>
      <w:r>
        <w:t>2　架构层：平台整体业务架构</w:t>
      </w:r>
      <w:bookmarkEnd w:id="3"/>
    </w:p>
    <w:p w14:paraId="7D5BA430">
      <w:pPr>
        <w:pStyle w:val="3"/>
        <w:snapToGrid w:val="0"/>
      </w:pPr>
      <w:bookmarkStart w:id="4" w:name="s2_1"/>
      <w:r>
        <w:rPr>
          <w:rFonts w:ascii="黑体" w:hAnsi="黑体" w:eastAsia="黑体" w:cs="黑体"/>
          <w:b/>
          <w:color w:val="000000"/>
        </w:rPr>
        <w:t>2.1　平台在全厂系统格局中的位置</w:t>
      </w:r>
      <w:bookmarkEnd w:id="4"/>
    </w:p>
    <w:p w14:paraId="6558FE57">
      <w:pPr>
        <w:ind w:firstLineChars="200"/>
        <w:rPr>
          <w:rFonts w:ascii="宋体" w:hAnsi="宋体" w:eastAsia="宋体"/>
          <w:b w:val="0"/>
          <w:color w:val="auto"/>
        </w:rPr>
      </w:pPr>
      <w:r>
        <w:rPr>
          <w:rFonts w:ascii="宋体" w:hAnsi="宋体" w:eastAsia="宋体"/>
          <w:b w:val="0"/>
          <w:color w:val="auto"/>
        </w:rPr>
        <w:t>AI优化平台面向全厂业务系统和现场运行数据组织综合应用。高级报警由DCS侧建设，其提供的报警数据、状态和相关记录用于AI场景联动。业务系统提供生产、质量、设备、能源、物流及管理记录，现场控制与测量体系提供实时状态；平台内建设工艺优化模型，结合业务数据和知识形成优化结果。平台将业务信息、诊断分析与优化结果关联，通过门户、专业工作台及消息服务提供查询、分析、确认和结果复核。</w:t>
      </w:r>
    </w:p>
    <w:p w14:paraId="0CF0E504">
      <w:pPr>
        <w:pStyle w:val="12"/>
        <w:keepNext/>
        <w:snapToGrid w:val="0"/>
        <w:spacing w:before="0" w:after="40" w:line="240" w:lineRule="auto"/>
        <w:ind w:left="0" w:right="0" w:firstLine="0" w:firstLineChars="0"/>
        <w:jc w:val="center"/>
      </w:pPr>
      <w:r>
        <w:drawing>
          <wp:inline distT="0" distB="0" distL="0" distR="0">
            <wp:extent cx="5759450" cy="7007225"/>
            <wp:effectExtent l="0" t="0" r="0" b="0"/>
            <wp:docPr id="1" name="2.1　平台在全厂系统格局中的位置" descr="2.1　平台在全厂系统格局中的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1　平台在全厂系统格局中的位置" descr="2.1　平台在全厂系统格局中的位置"/>
                    <pic:cNvPicPr>
                      <a:picLocks noChangeAspect="1"/>
                    </pic:cNvPicPr>
                  </pic:nvPicPr>
                  <pic:blipFill>
                    <a:blip r:embed="rId9"/>
                    <a:stretch>
                      <a:fillRect/>
                    </a:stretch>
                  </pic:blipFill>
                  <pic:spPr>
                    <a:xfrm>
                      <a:off x="0" y="0"/>
                      <a:ext cx="5759450" cy="7007331"/>
                    </a:xfrm>
                    <a:prstGeom prst="rect">
                      <a:avLst/>
                    </a:prstGeom>
                  </pic:spPr>
                </pic:pic>
              </a:graphicData>
            </a:graphic>
          </wp:inline>
        </w:drawing>
      </w:r>
    </w:p>
    <w:p w14:paraId="2E5488C5">
      <w:pPr>
        <w:pStyle w:val="15"/>
        <w:keepNext w:val="0"/>
        <w:snapToGrid w:val="0"/>
        <w:jc w:val="center"/>
      </w:pPr>
      <w:r>
        <w:t>图2-1　全厂系统与AI平台业务关系</w:t>
      </w:r>
    </w:p>
    <w:p w14:paraId="65A02CA6">
      <w:pPr>
        <w:pStyle w:val="15"/>
        <w:snapToGrid w:val="0"/>
        <w:jc w:val="center"/>
      </w:pPr>
      <w:r>
        <w:t>表2-1　全厂相关系统与业务信息</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62"/>
        <w:gridCol w:w="4636"/>
        <w:gridCol w:w="2874"/>
      </w:tblGrid>
      <w:tr w14:paraId="730B1B87">
        <w:trPr>
          <w:cantSplit/>
          <w:tblHeader/>
        </w:trPr>
        <w:tc>
          <w:tcPr>
            <w:tcW w:w="1562" w:type="dxa"/>
            <w:vAlign w:val="center"/>
          </w:tcPr>
          <w:p w14:paraId="0B8FCF29">
            <w:pPr>
              <w:pStyle w:val="14"/>
              <w:snapToGrid w:val="0"/>
              <w:jc w:val="center"/>
            </w:pPr>
            <w:r>
              <w:rPr>
                <w:b/>
              </w:rPr>
              <w:t>业务领域</w:t>
            </w:r>
          </w:p>
        </w:tc>
        <w:tc>
          <w:tcPr>
            <w:tcW w:w="4636" w:type="dxa"/>
            <w:vAlign w:val="center"/>
          </w:tcPr>
          <w:p w14:paraId="325C2CB8">
            <w:pPr>
              <w:pStyle w:val="14"/>
              <w:snapToGrid w:val="0"/>
              <w:jc w:val="center"/>
            </w:pPr>
            <w:r>
              <w:rPr>
                <w:b/>
              </w:rPr>
              <w:t>相关系统</w:t>
            </w:r>
          </w:p>
        </w:tc>
        <w:tc>
          <w:tcPr>
            <w:tcW w:w="2874" w:type="dxa"/>
            <w:vAlign w:val="center"/>
          </w:tcPr>
          <w:p w14:paraId="55902429">
            <w:pPr>
              <w:pStyle w:val="14"/>
              <w:snapToGrid w:val="0"/>
              <w:jc w:val="center"/>
            </w:pPr>
            <w:r>
              <w:rPr>
                <w:b/>
              </w:rPr>
              <w:t>向AI应用提供的信息</w:t>
            </w:r>
          </w:p>
        </w:tc>
      </w:tr>
      <w:tr w14:paraId="590F6A9F">
        <w:trPr>
          <w:cantSplit/>
        </w:trPr>
        <w:tc>
          <w:tcPr>
            <w:tcW w:w="1562" w:type="dxa"/>
            <w:vAlign w:val="center"/>
          </w:tcPr>
          <w:p w14:paraId="0502021D">
            <w:pPr>
              <w:pStyle w:val="14"/>
              <w:snapToGrid w:val="0"/>
              <w:jc w:val="center"/>
            </w:pPr>
            <w:r>
              <w:t>生产与现场运行</w:t>
            </w:r>
          </w:p>
        </w:tc>
        <w:tc>
          <w:tcPr>
            <w:tcW w:w="4636" w:type="dxa"/>
            <w:vAlign w:val="center"/>
          </w:tcPr>
          <w:p w14:paraId="510DA1D7">
            <w:pPr>
              <w:pStyle w:val="14"/>
              <w:snapToGrid w:val="0"/>
              <w:jc w:val="left"/>
            </w:pPr>
            <w:r>
              <w:t>生产执行系统（MES）；实时数据平台与物联网平台；DCS及实时数据库</w:t>
            </w:r>
          </w:p>
        </w:tc>
        <w:tc>
          <w:tcPr>
            <w:tcW w:w="2874" w:type="dxa"/>
            <w:vAlign w:val="center"/>
          </w:tcPr>
          <w:p w14:paraId="10924498">
            <w:pPr>
              <w:pStyle w:val="14"/>
              <w:snapToGrid w:val="0"/>
              <w:jc w:val="left"/>
            </w:pPr>
            <w:r>
              <w:t>工单、批次、工序、物料流和运行时序</w:t>
            </w:r>
          </w:p>
        </w:tc>
      </w:tr>
      <w:tr w14:paraId="5DD80C51">
        <w:trPr>
          <w:cantSplit/>
        </w:trPr>
        <w:tc>
          <w:tcPr>
            <w:tcW w:w="1562" w:type="dxa"/>
            <w:vAlign w:val="center"/>
          </w:tcPr>
          <w:p w14:paraId="63329871">
            <w:pPr>
              <w:pStyle w:val="14"/>
              <w:snapToGrid w:val="0"/>
              <w:jc w:val="center"/>
            </w:pPr>
            <w:r>
              <w:t>质量与实验室</w:t>
            </w:r>
          </w:p>
        </w:tc>
        <w:tc>
          <w:tcPr>
            <w:tcW w:w="4636" w:type="dxa"/>
            <w:vAlign w:val="center"/>
          </w:tcPr>
          <w:p w14:paraId="7A6414B5">
            <w:pPr>
              <w:pStyle w:val="14"/>
              <w:snapToGrid w:val="0"/>
              <w:jc w:val="left"/>
            </w:pPr>
            <w:r>
              <w:t>实验室信息管理系统（LIMS）；质量管理系统（QMS）；智慧实验室系统；样品立体库系统（WMS）</w:t>
            </w:r>
          </w:p>
        </w:tc>
        <w:tc>
          <w:tcPr>
            <w:tcW w:w="2874" w:type="dxa"/>
            <w:vAlign w:val="center"/>
          </w:tcPr>
          <w:p w14:paraId="593470E1">
            <w:pPr>
              <w:pStyle w:val="14"/>
              <w:snapToGrid w:val="0"/>
              <w:jc w:val="left"/>
            </w:pPr>
            <w:r>
              <w:t>检验结果、质量事件、样品与追溯关系</w:t>
            </w:r>
          </w:p>
        </w:tc>
      </w:tr>
      <w:tr w14:paraId="53C94A5A">
        <w:trPr>
          <w:cantSplit/>
        </w:trPr>
        <w:tc>
          <w:tcPr>
            <w:tcW w:w="1562" w:type="dxa"/>
            <w:vAlign w:val="center"/>
          </w:tcPr>
          <w:p w14:paraId="07CFAD97">
            <w:pPr>
              <w:pStyle w:val="14"/>
              <w:snapToGrid w:val="0"/>
              <w:jc w:val="center"/>
            </w:pPr>
            <w:r>
              <w:t>设备与能源</w:t>
            </w:r>
          </w:p>
        </w:tc>
        <w:tc>
          <w:tcPr>
            <w:tcW w:w="4636" w:type="dxa"/>
            <w:vAlign w:val="center"/>
          </w:tcPr>
          <w:p w14:paraId="23AFBB8C">
            <w:pPr>
              <w:pStyle w:val="14"/>
              <w:snapToGrid w:val="0"/>
              <w:jc w:val="left"/>
            </w:pPr>
            <w:r>
              <w:t>设备管理系统（EAM）；预测性维护与健康管理系统（PHM）；能源管理系统（EMS）；能碳管理系统（CMS）</w:t>
            </w:r>
          </w:p>
        </w:tc>
        <w:tc>
          <w:tcPr>
            <w:tcW w:w="2874" w:type="dxa"/>
            <w:vAlign w:val="center"/>
          </w:tcPr>
          <w:p w14:paraId="3FAA16D4">
            <w:pPr>
              <w:pStyle w:val="14"/>
              <w:snapToGrid w:val="0"/>
              <w:jc w:val="left"/>
            </w:pPr>
            <w:r>
              <w:t>档案、维修、预警、能耗、计量及能碳记录</w:t>
            </w:r>
          </w:p>
        </w:tc>
      </w:tr>
      <w:tr w14:paraId="722BB733">
        <w:trPr>
          <w:cantSplit/>
        </w:trPr>
        <w:tc>
          <w:tcPr>
            <w:tcW w:w="1562" w:type="dxa"/>
            <w:vAlign w:val="center"/>
          </w:tcPr>
          <w:p w14:paraId="489E87DE">
            <w:pPr>
              <w:pStyle w:val="14"/>
              <w:snapToGrid w:val="0"/>
              <w:jc w:val="center"/>
            </w:pPr>
            <w:r>
              <w:t>供应链与物流</w:t>
            </w:r>
          </w:p>
        </w:tc>
        <w:tc>
          <w:tcPr>
            <w:tcW w:w="4636" w:type="dxa"/>
            <w:vAlign w:val="center"/>
          </w:tcPr>
          <w:p w14:paraId="65725FF1">
            <w:pPr>
              <w:pStyle w:val="14"/>
              <w:snapToGrid w:val="0"/>
              <w:jc w:val="left"/>
            </w:pPr>
            <w:r>
              <w:t>全局供应链优化与协同系统（SCOS）；仓储管理系统（WMS）；小包装立体库管理系统（WMS）；车辆物流管理系统（TMS）</w:t>
            </w:r>
          </w:p>
        </w:tc>
        <w:tc>
          <w:tcPr>
            <w:tcW w:w="2874" w:type="dxa"/>
            <w:vAlign w:val="center"/>
          </w:tcPr>
          <w:p w14:paraId="0D90FD1A">
            <w:pPr>
              <w:pStyle w:val="14"/>
              <w:snapToGrid w:val="0"/>
              <w:jc w:val="left"/>
            </w:pPr>
            <w:r>
              <w:t>库存、在途、发运、供应链分析和仓储状态</w:t>
            </w:r>
          </w:p>
        </w:tc>
      </w:tr>
      <w:tr w14:paraId="0FA6E08D">
        <w:trPr>
          <w:cantSplit/>
        </w:trPr>
        <w:tc>
          <w:tcPr>
            <w:tcW w:w="1562" w:type="dxa"/>
            <w:vAlign w:val="center"/>
          </w:tcPr>
          <w:p w14:paraId="1CF11618">
            <w:pPr>
              <w:pStyle w:val="14"/>
              <w:snapToGrid w:val="0"/>
              <w:jc w:val="center"/>
            </w:pPr>
            <w:r>
              <w:t>研发与安全管理</w:t>
            </w:r>
          </w:p>
        </w:tc>
        <w:tc>
          <w:tcPr>
            <w:tcW w:w="4636" w:type="dxa"/>
            <w:vAlign w:val="center"/>
          </w:tcPr>
          <w:p w14:paraId="3A6B757A">
            <w:pPr>
              <w:pStyle w:val="14"/>
              <w:snapToGrid w:val="0"/>
              <w:jc w:val="left"/>
            </w:pPr>
            <w:r>
              <w:t>研发管理系统（PLM）；安全管理系统（SMS）；视频监控系统</w:t>
            </w:r>
          </w:p>
        </w:tc>
        <w:tc>
          <w:tcPr>
            <w:tcW w:w="2874" w:type="dxa"/>
            <w:vAlign w:val="center"/>
          </w:tcPr>
          <w:p w14:paraId="0F0E4CE4">
            <w:pPr>
              <w:pStyle w:val="14"/>
              <w:snapToGrid w:val="0"/>
              <w:jc w:val="left"/>
            </w:pPr>
            <w:r>
              <w:t>研发与工艺资料、安全制度、隐患及识别事件</w:t>
            </w:r>
          </w:p>
        </w:tc>
      </w:tr>
      <w:tr w14:paraId="4D268FC3">
        <w:trPr>
          <w:cantSplit/>
        </w:trPr>
        <w:tc>
          <w:tcPr>
            <w:tcW w:w="1562" w:type="dxa"/>
            <w:vAlign w:val="center"/>
          </w:tcPr>
          <w:p w14:paraId="29D06D78">
            <w:pPr>
              <w:pStyle w:val="14"/>
              <w:snapToGrid w:val="0"/>
              <w:jc w:val="center"/>
            </w:pPr>
            <w:r>
              <w:t>展示与园区服务</w:t>
            </w:r>
          </w:p>
        </w:tc>
        <w:tc>
          <w:tcPr>
            <w:tcW w:w="4636" w:type="dxa"/>
            <w:vAlign w:val="center"/>
          </w:tcPr>
          <w:p w14:paraId="06C93B84">
            <w:pPr>
              <w:pStyle w:val="14"/>
              <w:snapToGrid w:val="0"/>
              <w:jc w:val="left"/>
            </w:pPr>
            <w:r>
              <w:t>数字孪生系统；大屏操作系统；数字化厂区管理平台</w:t>
            </w:r>
          </w:p>
        </w:tc>
        <w:tc>
          <w:tcPr>
            <w:tcW w:w="2874" w:type="dxa"/>
            <w:vAlign w:val="center"/>
          </w:tcPr>
          <w:p w14:paraId="520BDB67">
            <w:pPr>
              <w:pStyle w:val="14"/>
              <w:snapToGrid w:val="0"/>
              <w:jc w:val="left"/>
            </w:pPr>
            <w:r>
              <w:t>展示对象、展示终端及园区业务信息</w:t>
            </w:r>
          </w:p>
        </w:tc>
      </w:tr>
      <w:tr w14:paraId="468EC440">
        <w:trPr>
          <w:cantSplit/>
        </w:trPr>
        <w:tc>
          <w:tcPr>
            <w:tcW w:w="1562" w:type="dxa"/>
            <w:vAlign w:val="center"/>
          </w:tcPr>
          <w:p w14:paraId="5E90A454">
            <w:pPr>
              <w:pStyle w:val="14"/>
              <w:snapToGrid w:val="0"/>
              <w:jc w:val="center"/>
            </w:pPr>
            <w:r>
              <w:t>专业分析与控制</w:t>
            </w:r>
          </w:p>
        </w:tc>
        <w:tc>
          <w:tcPr>
            <w:tcW w:w="4636" w:type="dxa"/>
            <w:vAlign w:val="center"/>
          </w:tcPr>
          <w:p w14:paraId="163DAAB4">
            <w:pPr>
              <w:pStyle w:val="14"/>
              <w:snapToGrid w:val="0"/>
              <w:jc w:val="left"/>
            </w:pPr>
            <w:r>
              <w:t>实时工艺智能控制平台；DCS（含高级报警）、SIS、GDS、PLC</w:t>
            </w:r>
          </w:p>
        </w:tc>
        <w:tc>
          <w:tcPr>
            <w:tcW w:w="2874" w:type="dxa"/>
            <w:vAlign w:val="center"/>
          </w:tcPr>
          <w:p w14:paraId="070A2C01">
            <w:pPr>
              <w:pStyle w:val="14"/>
              <w:snapToGrid w:val="0"/>
              <w:jc w:val="left"/>
            </w:pPr>
            <w:r>
              <w:t>报警数据及状态记录、工况状态、根因诊断和运行记录</w:t>
            </w:r>
          </w:p>
        </w:tc>
      </w:tr>
    </w:tbl>
    <w:p w14:paraId="078F3CC7">
      <w:pPr>
        <w:pStyle w:val="12"/>
        <w:snapToGrid w:val="0"/>
        <w:spacing w:after="25"/>
      </w:pPr>
    </w:p>
    <w:p w14:paraId="4EE7A230">
      <w:pPr>
        <w:pStyle w:val="3"/>
        <w:snapToGrid w:val="0"/>
      </w:pPr>
      <w:bookmarkStart w:id="5" w:name="s2_2"/>
      <w:r>
        <w:rPr>
          <w:rFonts w:ascii="黑体" w:hAnsi="黑体" w:eastAsia="黑体" w:cs="黑体"/>
          <w:b/>
          <w:color w:val="000000"/>
        </w:rPr>
        <w:t>2.2　项目AI整体业务架构</w:t>
      </w:r>
      <w:bookmarkEnd w:id="5"/>
    </w:p>
    <w:p w14:paraId="08760F22">
      <w:pPr>
        <w:pStyle w:val="12"/>
        <w:keepNext/>
        <w:snapToGrid w:val="0"/>
        <w:spacing w:before="0" w:after="40" w:line="240" w:lineRule="auto"/>
        <w:ind w:left="0" w:right="0" w:firstLine="0" w:firstLineChars="0"/>
        <w:jc w:val="center"/>
      </w:pPr>
      <w:r>
        <w:drawing>
          <wp:inline distT="0" distB="0" distL="0" distR="0">
            <wp:extent cx="5759450" cy="5439410"/>
            <wp:effectExtent l="0" t="0" r="0" b="0"/>
            <wp:docPr id="2" name="2.2　项目AI整体业务架构" descr="2.2　项目AI整体业务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2　项目AI整体业务架构" descr="2.2　项目AI整体业务架构"/>
                    <pic:cNvPicPr>
                      <a:picLocks noChangeAspect="1"/>
                    </pic:cNvPicPr>
                  </pic:nvPicPr>
                  <pic:blipFill>
                    <a:blip r:embed="rId10"/>
                    <a:stretch>
                      <a:fillRect/>
                    </a:stretch>
                  </pic:blipFill>
                  <pic:spPr>
                    <a:xfrm>
                      <a:off x="0" y="0"/>
                      <a:ext cx="5759450" cy="5439481"/>
                    </a:xfrm>
                    <a:prstGeom prst="rect">
                      <a:avLst/>
                    </a:prstGeom>
                  </pic:spPr>
                </pic:pic>
              </a:graphicData>
            </a:graphic>
          </wp:inline>
        </w:drawing>
      </w:r>
    </w:p>
    <w:p w14:paraId="39F6E71F">
      <w:pPr>
        <w:pStyle w:val="15"/>
        <w:keepNext w:val="0"/>
        <w:snapToGrid w:val="0"/>
        <w:jc w:val="center"/>
      </w:pPr>
      <w:r>
        <w:t>图2-2　项目AI整体业务架构</w:t>
      </w:r>
    </w:p>
    <w:p w14:paraId="6CFC1BCF">
      <w:pPr>
        <w:pStyle w:val="3"/>
        <w:snapToGrid w:val="0"/>
      </w:pPr>
      <w:bookmarkStart w:id="6" w:name="s2_3"/>
      <w:r>
        <w:rPr>
          <w:rFonts w:ascii="黑体" w:hAnsi="黑体" w:eastAsia="黑体" w:cs="黑体"/>
          <w:b/>
          <w:color w:val="000000"/>
        </w:rPr>
        <w:t>2.3　层间关系与数据流转</w:t>
      </w:r>
      <w:bookmarkEnd w:id="6"/>
    </w:p>
    <w:p w14:paraId="1574DB89">
      <w:pPr>
        <w:pStyle w:val="15"/>
        <w:snapToGrid w:val="0"/>
        <w:jc w:val="center"/>
      </w:pPr>
      <w:r>
        <w:t>表2-2　模块输入输出关系</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663"/>
        <w:gridCol w:w="1764"/>
        <w:gridCol w:w="3124"/>
        <w:gridCol w:w="2521"/>
      </w:tblGrid>
      <w:tr w14:paraId="027C2F69">
        <w:trPr>
          <w:cantSplit/>
          <w:tblHeader/>
        </w:trPr>
        <w:tc>
          <w:tcPr>
            <w:tcW w:w="1663" w:type="dxa"/>
            <w:vAlign w:val="center"/>
          </w:tcPr>
          <w:p w14:paraId="022935C0">
            <w:pPr>
              <w:pStyle w:val="14"/>
              <w:snapToGrid w:val="0"/>
              <w:jc w:val="center"/>
            </w:pPr>
            <w:r>
              <w:rPr>
                <w:b/>
              </w:rPr>
              <w:t>发起模块</w:t>
            </w:r>
          </w:p>
        </w:tc>
        <w:tc>
          <w:tcPr>
            <w:tcW w:w="1764" w:type="dxa"/>
            <w:vAlign w:val="center"/>
          </w:tcPr>
          <w:p w14:paraId="6A585BD8">
            <w:pPr>
              <w:pStyle w:val="14"/>
              <w:snapToGrid w:val="0"/>
              <w:jc w:val="center"/>
            </w:pPr>
            <w:r>
              <w:rPr>
                <w:b/>
              </w:rPr>
              <w:t>接收模块</w:t>
            </w:r>
          </w:p>
        </w:tc>
        <w:tc>
          <w:tcPr>
            <w:tcW w:w="3124" w:type="dxa"/>
            <w:vAlign w:val="center"/>
          </w:tcPr>
          <w:p w14:paraId="7C459504">
            <w:pPr>
              <w:pStyle w:val="14"/>
              <w:snapToGrid w:val="0"/>
              <w:jc w:val="center"/>
            </w:pPr>
            <w:r>
              <w:rPr>
                <w:b/>
              </w:rPr>
              <w:t>流转内容</w:t>
            </w:r>
          </w:p>
        </w:tc>
        <w:tc>
          <w:tcPr>
            <w:tcW w:w="2521" w:type="dxa"/>
            <w:vAlign w:val="center"/>
          </w:tcPr>
          <w:p w14:paraId="39173907">
            <w:pPr>
              <w:pStyle w:val="14"/>
              <w:snapToGrid w:val="0"/>
              <w:jc w:val="center"/>
            </w:pPr>
            <w:r>
              <w:rPr>
                <w:b/>
              </w:rPr>
              <w:t>业务用途</w:t>
            </w:r>
          </w:p>
        </w:tc>
      </w:tr>
      <w:tr w14:paraId="753A625E">
        <w:trPr>
          <w:cantSplit/>
        </w:trPr>
        <w:tc>
          <w:tcPr>
            <w:tcW w:w="1663" w:type="dxa"/>
            <w:vAlign w:val="center"/>
          </w:tcPr>
          <w:p w14:paraId="0684F185">
            <w:pPr>
              <w:pStyle w:val="14"/>
              <w:snapToGrid w:val="0"/>
              <w:jc w:val="center"/>
            </w:pPr>
            <w:r>
              <w:t>平台门户</w:t>
            </w:r>
          </w:p>
        </w:tc>
        <w:tc>
          <w:tcPr>
            <w:tcW w:w="1764" w:type="dxa"/>
            <w:vAlign w:val="center"/>
          </w:tcPr>
          <w:p w14:paraId="65BCF754">
            <w:pPr>
              <w:pStyle w:val="14"/>
              <w:snapToGrid w:val="0"/>
              <w:jc w:val="center"/>
            </w:pPr>
            <w:r>
              <w:t>主智能体</w:t>
            </w:r>
          </w:p>
        </w:tc>
        <w:tc>
          <w:tcPr>
            <w:tcW w:w="3124" w:type="dxa"/>
            <w:vAlign w:val="center"/>
          </w:tcPr>
          <w:p w14:paraId="437C27D8">
            <w:pPr>
              <w:pStyle w:val="14"/>
              <w:snapToGrid w:val="0"/>
              <w:jc w:val="left"/>
              <w:rPr>
                <w:rFonts w:hint="default" w:eastAsia="宋体"/>
                <w:lang w:val="en-US" w:eastAsia="zh-CN"/>
              </w:rPr>
            </w:pPr>
            <w:r>
              <w:t>问题、对象、时间、用户身份</w:t>
            </w:r>
          </w:p>
        </w:tc>
        <w:tc>
          <w:tcPr>
            <w:tcW w:w="2521" w:type="dxa"/>
            <w:vAlign w:val="center"/>
          </w:tcPr>
          <w:p w14:paraId="170E747D">
            <w:pPr>
              <w:pStyle w:val="14"/>
              <w:snapToGrid w:val="0"/>
              <w:jc w:val="left"/>
            </w:pPr>
            <w:r>
              <w:t>识别任务并匹配场景</w:t>
            </w:r>
          </w:p>
        </w:tc>
      </w:tr>
      <w:tr w14:paraId="6334FDFF">
        <w:trPr>
          <w:cantSplit/>
        </w:trPr>
        <w:tc>
          <w:tcPr>
            <w:tcW w:w="1663" w:type="dxa"/>
            <w:vAlign w:val="center"/>
          </w:tcPr>
          <w:p w14:paraId="155AA86E">
            <w:pPr>
              <w:pStyle w:val="14"/>
              <w:snapToGrid w:val="0"/>
              <w:jc w:val="center"/>
            </w:pPr>
            <w:r>
              <w:t>主智能体</w:t>
            </w:r>
          </w:p>
        </w:tc>
        <w:tc>
          <w:tcPr>
            <w:tcW w:w="1764" w:type="dxa"/>
            <w:vAlign w:val="center"/>
          </w:tcPr>
          <w:p w14:paraId="472F01E2">
            <w:pPr>
              <w:pStyle w:val="14"/>
              <w:snapToGrid w:val="0"/>
              <w:jc w:val="left"/>
            </w:pPr>
            <w:r>
              <w:t>场景与专业能力</w:t>
            </w:r>
          </w:p>
        </w:tc>
        <w:tc>
          <w:tcPr>
            <w:tcW w:w="3124" w:type="dxa"/>
            <w:vAlign w:val="center"/>
          </w:tcPr>
          <w:p w14:paraId="0F83BE36">
            <w:pPr>
              <w:pStyle w:val="14"/>
              <w:snapToGrid w:val="0"/>
              <w:jc w:val="left"/>
            </w:pPr>
            <w:r>
              <w:t>任务条件、子任务顺序与依赖</w:t>
            </w:r>
          </w:p>
        </w:tc>
        <w:tc>
          <w:tcPr>
            <w:tcW w:w="2521" w:type="dxa"/>
            <w:vAlign w:val="center"/>
          </w:tcPr>
          <w:p w14:paraId="204F2D7C">
            <w:pPr>
              <w:pStyle w:val="14"/>
              <w:snapToGrid w:val="0"/>
              <w:jc w:val="left"/>
            </w:pPr>
            <w:r>
              <w:t>组织查询、分析和诊断</w:t>
            </w:r>
          </w:p>
        </w:tc>
      </w:tr>
      <w:tr w14:paraId="2EE5E30A">
        <w:trPr>
          <w:cantSplit/>
        </w:trPr>
        <w:tc>
          <w:tcPr>
            <w:tcW w:w="1663" w:type="dxa"/>
            <w:vAlign w:val="center"/>
          </w:tcPr>
          <w:p w14:paraId="14BAC0F4">
            <w:pPr>
              <w:pStyle w:val="14"/>
              <w:snapToGrid w:val="0"/>
              <w:jc w:val="center"/>
            </w:pPr>
            <w:r>
              <w:t>场景与专业能力</w:t>
            </w:r>
          </w:p>
        </w:tc>
        <w:tc>
          <w:tcPr>
            <w:tcW w:w="1764" w:type="dxa"/>
            <w:vAlign w:val="center"/>
          </w:tcPr>
          <w:p w14:paraId="65E9ECD6">
            <w:pPr>
              <w:pStyle w:val="14"/>
              <w:snapToGrid w:val="0"/>
              <w:jc w:val="left"/>
            </w:pPr>
            <w:r>
              <w:t>数据及知识服务</w:t>
            </w:r>
          </w:p>
        </w:tc>
        <w:tc>
          <w:tcPr>
            <w:tcW w:w="3124" w:type="dxa"/>
            <w:vAlign w:val="center"/>
          </w:tcPr>
          <w:p w14:paraId="38C7256D">
            <w:pPr>
              <w:pStyle w:val="14"/>
              <w:snapToGrid w:val="0"/>
              <w:jc w:val="left"/>
            </w:pPr>
            <w:r>
              <w:t>对象、指标、事件与证据需求</w:t>
            </w:r>
          </w:p>
        </w:tc>
        <w:tc>
          <w:tcPr>
            <w:tcW w:w="2521" w:type="dxa"/>
            <w:vAlign w:val="center"/>
          </w:tcPr>
          <w:p w14:paraId="06054BC8">
            <w:pPr>
              <w:pStyle w:val="14"/>
              <w:snapToGrid w:val="0"/>
              <w:jc w:val="left"/>
            </w:pPr>
            <w:r>
              <w:t>取得业务事实、判定基准和知识</w:t>
            </w:r>
          </w:p>
        </w:tc>
      </w:tr>
      <w:tr w14:paraId="2F2BDAA1">
        <w:trPr>
          <w:cantSplit/>
        </w:trPr>
        <w:tc>
          <w:tcPr>
            <w:tcW w:w="1663" w:type="dxa"/>
            <w:vAlign w:val="center"/>
          </w:tcPr>
          <w:p w14:paraId="001A0BB2">
            <w:pPr>
              <w:pStyle w:val="14"/>
              <w:snapToGrid w:val="0"/>
              <w:jc w:val="center"/>
            </w:pPr>
            <w:r>
              <w:t>平台内模型与诊断能力</w:t>
            </w:r>
          </w:p>
        </w:tc>
        <w:tc>
          <w:tcPr>
            <w:tcW w:w="1764" w:type="dxa"/>
            <w:vAlign w:val="center"/>
          </w:tcPr>
          <w:p w14:paraId="16531658">
            <w:pPr>
              <w:pStyle w:val="14"/>
              <w:snapToGrid w:val="0"/>
              <w:jc w:val="center"/>
            </w:pPr>
            <w:r>
              <w:t>场景及门户</w:t>
            </w:r>
          </w:p>
        </w:tc>
        <w:tc>
          <w:tcPr>
            <w:tcW w:w="3124" w:type="dxa"/>
            <w:vAlign w:val="center"/>
          </w:tcPr>
          <w:p w14:paraId="7E152412">
            <w:pPr>
              <w:pStyle w:val="14"/>
              <w:snapToGrid w:val="0"/>
              <w:jc w:val="left"/>
            </w:pPr>
            <w:r>
              <w:t>根因、置信信息、影响链及参数方案</w:t>
            </w:r>
          </w:p>
        </w:tc>
        <w:tc>
          <w:tcPr>
            <w:tcW w:w="2521" w:type="dxa"/>
            <w:vAlign w:val="center"/>
          </w:tcPr>
          <w:p w14:paraId="602EF2A7">
            <w:pPr>
              <w:pStyle w:val="14"/>
              <w:snapToGrid w:val="0"/>
              <w:jc w:val="left"/>
            </w:pPr>
            <w:r>
              <w:t>解释结果、支持确认和处置</w:t>
            </w:r>
          </w:p>
        </w:tc>
      </w:tr>
      <w:tr w14:paraId="1B5B293E">
        <w:trPr>
          <w:cantSplit/>
        </w:trPr>
        <w:tc>
          <w:tcPr>
            <w:tcW w:w="1663" w:type="dxa"/>
            <w:vAlign w:val="center"/>
          </w:tcPr>
          <w:p w14:paraId="36BC10CF">
            <w:pPr>
              <w:pStyle w:val="14"/>
              <w:snapToGrid w:val="0"/>
              <w:jc w:val="center"/>
            </w:pPr>
            <w:r>
              <w:t>处置与运行反馈</w:t>
            </w:r>
          </w:p>
        </w:tc>
        <w:tc>
          <w:tcPr>
            <w:tcW w:w="1764" w:type="dxa"/>
            <w:vAlign w:val="center"/>
          </w:tcPr>
          <w:p w14:paraId="58AFDE07">
            <w:pPr>
              <w:pStyle w:val="14"/>
              <w:snapToGrid w:val="0"/>
              <w:jc w:val="left"/>
            </w:pPr>
            <w:r>
              <w:t>知识与评估运营</w:t>
            </w:r>
          </w:p>
        </w:tc>
        <w:tc>
          <w:tcPr>
            <w:tcW w:w="3124" w:type="dxa"/>
            <w:vAlign w:val="center"/>
          </w:tcPr>
          <w:p w14:paraId="76078AE3">
            <w:pPr>
              <w:pStyle w:val="14"/>
              <w:snapToGrid w:val="0"/>
              <w:jc w:val="left"/>
            </w:pPr>
            <w:r>
              <w:t>采纳情况、执行记录、效果及问题</w:t>
            </w:r>
          </w:p>
        </w:tc>
        <w:tc>
          <w:tcPr>
            <w:tcW w:w="2521" w:type="dxa"/>
            <w:vAlign w:val="center"/>
          </w:tcPr>
          <w:p w14:paraId="0C20DCCF">
            <w:pPr>
              <w:pStyle w:val="14"/>
              <w:snapToGrid w:val="0"/>
              <w:jc w:val="left"/>
            </w:pPr>
            <w:r>
              <w:t>更新案例、改进知识和验证应用</w:t>
            </w:r>
          </w:p>
        </w:tc>
      </w:tr>
    </w:tbl>
    <w:p w14:paraId="1801BAF5">
      <w:pPr>
        <w:pStyle w:val="12"/>
        <w:snapToGrid w:val="0"/>
        <w:spacing w:after="25"/>
      </w:pPr>
    </w:p>
    <w:p w14:paraId="38545678">
      <w:pPr>
        <w:pStyle w:val="3"/>
        <w:snapToGrid w:val="0"/>
      </w:pPr>
      <w:bookmarkStart w:id="7" w:name="s2_4"/>
      <w:r>
        <w:rPr>
          <w:rFonts w:ascii="黑体" w:hAnsi="黑体" w:eastAsia="黑体" w:cs="黑体"/>
          <w:b/>
          <w:color w:val="000000"/>
        </w:rPr>
        <w:t>2.4　安全与权限的业务要求</w:t>
      </w:r>
      <w:bookmarkEnd w:id="7"/>
    </w:p>
    <w:p w14:paraId="2A2C3F32">
      <w:pPr>
        <w:ind w:firstLineChars="200"/>
        <w:rPr>
          <w:rFonts w:ascii="宋体" w:hAnsi="宋体" w:eastAsia="宋体"/>
          <w:b w:val="0"/>
          <w:color w:val="auto"/>
        </w:rPr>
      </w:pPr>
      <w:r>
        <w:rPr>
          <w:rFonts w:ascii="宋体" w:hAnsi="宋体" w:eastAsia="宋体"/>
          <w:b w:val="0"/>
          <w:color w:val="auto"/>
        </w:rPr>
        <w:t>平台沿用统一身份，依据业务角色及数据授权提供查询、报告、推送和导出。业务用户的数据权限由平台维护并同步至统一数据服务层，在取数时校验；后台管理岗</w:t>
      </w:r>
      <w:bookmarkStart w:id="123" w:name="_GoBack"/>
      <w:bookmarkEnd w:id="123"/>
      <w:r>
        <w:rPr>
          <w:rFonts w:ascii="宋体" w:hAnsi="宋体" w:eastAsia="宋体"/>
          <w:b w:val="0"/>
          <w:color w:val="auto"/>
        </w:rPr>
        <w:t>位按职责维护配置、知识和运行状态。工艺处置、参数方案和知识发布保留人员确认及操作记录。平台安全设计按国家网络安全等级保护第三级要求落实，与全厂智能化体系保持一致的防护基线。</w:t>
      </w:r>
    </w:p>
    <w:p w14:paraId="42C8A6F4">
      <w:pPr>
        <w:pStyle w:val="15"/>
        <w:snapToGrid w:val="0"/>
        <w:jc w:val="center"/>
      </w:pPr>
      <w:r>
        <w:t>表2-3　权限与运行管理要求</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814"/>
        <w:gridCol w:w="4838"/>
        <w:gridCol w:w="2420"/>
      </w:tblGrid>
      <w:tr w14:paraId="574C7147">
        <w:trPr>
          <w:cantSplit/>
          <w:tblHeader/>
        </w:trPr>
        <w:tc>
          <w:tcPr>
            <w:tcW w:w="1814" w:type="dxa"/>
            <w:vAlign w:val="center"/>
          </w:tcPr>
          <w:p w14:paraId="0909F3BE">
            <w:pPr>
              <w:pStyle w:val="14"/>
              <w:snapToGrid w:val="0"/>
              <w:jc w:val="center"/>
            </w:pPr>
            <w:r>
              <w:rPr>
                <w:b/>
              </w:rPr>
              <w:t>业务对象</w:t>
            </w:r>
          </w:p>
        </w:tc>
        <w:tc>
          <w:tcPr>
            <w:tcW w:w="4838" w:type="dxa"/>
            <w:vAlign w:val="center"/>
          </w:tcPr>
          <w:p w14:paraId="0F1DCF76">
            <w:pPr>
              <w:pStyle w:val="14"/>
              <w:snapToGrid w:val="0"/>
              <w:jc w:val="center"/>
            </w:pPr>
            <w:r>
              <w:rPr>
                <w:b/>
              </w:rPr>
              <w:t>建设要求</w:t>
            </w:r>
          </w:p>
        </w:tc>
        <w:tc>
          <w:tcPr>
            <w:tcW w:w="2420" w:type="dxa"/>
            <w:vAlign w:val="center"/>
          </w:tcPr>
          <w:p w14:paraId="15A91553">
            <w:pPr>
              <w:pStyle w:val="14"/>
              <w:snapToGrid w:val="0"/>
              <w:jc w:val="center"/>
            </w:pPr>
            <w:r>
              <w:rPr>
                <w:b/>
              </w:rPr>
              <w:t>留存记录</w:t>
            </w:r>
          </w:p>
        </w:tc>
      </w:tr>
      <w:tr w14:paraId="44669BEE">
        <w:trPr>
          <w:cantSplit/>
        </w:trPr>
        <w:tc>
          <w:tcPr>
            <w:tcW w:w="1814" w:type="dxa"/>
            <w:vAlign w:val="center"/>
          </w:tcPr>
          <w:p w14:paraId="330FDC7B">
            <w:pPr>
              <w:pStyle w:val="14"/>
              <w:snapToGrid w:val="0"/>
              <w:jc w:val="center"/>
            </w:pPr>
            <w:r>
              <w:t>业务数据及报告</w:t>
            </w:r>
          </w:p>
        </w:tc>
        <w:tc>
          <w:tcPr>
            <w:tcW w:w="4838" w:type="dxa"/>
            <w:vAlign w:val="center"/>
          </w:tcPr>
          <w:p w14:paraId="0F743AE7">
            <w:pPr>
              <w:pStyle w:val="14"/>
              <w:snapToGrid w:val="0"/>
              <w:jc w:val="left"/>
            </w:pPr>
            <w:r>
              <w:t>按业务角色、数据域、表及行控制访问和使用</w:t>
            </w:r>
          </w:p>
        </w:tc>
        <w:tc>
          <w:tcPr>
            <w:tcW w:w="2420" w:type="dxa"/>
            <w:vAlign w:val="center"/>
          </w:tcPr>
          <w:p w14:paraId="0788E1F2">
            <w:pPr>
              <w:pStyle w:val="14"/>
              <w:snapToGrid w:val="0"/>
              <w:jc w:val="left"/>
            </w:pPr>
            <w:r>
              <w:t>授权、访问、推送及导出记录</w:t>
            </w:r>
          </w:p>
        </w:tc>
      </w:tr>
      <w:tr w14:paraId="696640C5">
        <w:trPr>
          <w:cantSplit/>
        </w:trPr>
        <w:tc>
          <w:tcPr>
            <w:tcW w:w="1814" w:type="dxa"/>
            <w:vAlign w:val="center"/>
          </w:tcPr>
          <w:p w14:paraId="1599B0EE">
            <w:pPr>
              <w:pStyle w:val="14"/>
              <w:snapToGrid w:val="0"/>
              <w:jc w:val="center"/>
            </w:pPr>
            <w:r>
              <w:t>工艺方案与处置</w:t>
            </w:r>
          </w:p>
        </w:tc>
        <w:tc>
          <w:tcPr>
            <w:tcW w:w="4838" w:type="dxa"/>
            <w:vAlign w:val="center"/>
          </w:tcPr>
          <w:p w14:paraId="5E7E8F65">
            <w:pPr>
              <w:pStyle w:val="14"/>
              <w:snapToGrid w:val="0"/>
              <w:jc w:val="left"/>
            </w:pPr>
            <w:r>
              <w:t>关联适用工况、运行约束、确认人员和执行状态</w:t>
            </w:r>
          </w:p>
        </w:tc>
        <w:tc>
          <w:tcPr>
            <w:tcW w:w="2420" w:type="dxa"/>
            <w:vAlign w:val="center"/>
          </w:tcPr>
          <w:p w14:paraId="7B23E74D">
            <w:pPr>
              <w:pStyle w:val="14"/>
              <w:snapToGrid w:val="0"/>
              <w:jc w:val="left"/>
            </w:pPr>
            <w:r>
              <w:t>方案版本、确认及反馈记录</w:t>
            </w:r>
          </w:p>
        </w:tc>
      </w:tr>
      <w:tr w14:paraId="60086E3A">
        <w:trPr>
          <w:cantSplit/>
        </w:trPr>
        <w:tc>
          <w:tcPr>
            <w:tcW w:w="1814" w:type="dxa"/>
            <w:vAlign w:val="center"/>
          </w:tcPr>
          <w:p w14:paraId="5D2CFB86">
            <w:pPr>
              <w:pStyle w:val="14"/>
              <w:snapToGrid w:val="0"/>
              <w:jc w:val="center"/>
            </w:pPr>
            <w:r>
              <w:t>文档与知识</w:t>
            </w:r>
          </w:p>
        </w:tc>
        <w:tc>
          <w:tcPr>
            <w:tcW w:w="4838" w:type="dxa"/>
            <w:vAlign w:val="center"/>
          </w:tcPr>
          <w:p w14:paraId="05DF358F">
            <w:pPr>
              <w:pStyle w:val="14"/>
              <w:snapToGrid w:val="0"/>
              <w:jc w:val="left"/>
            </w:pPr>
            <w:r>
              <w:t>按密级、适用对象和版本提供知识</w:t>
            </w:r>
          </w:p>
        </w:tc>
        <w:tc>
          <w:tcPr>
            <w:tcW w:w="2420" w:type="dxa"/>
            <w:vAlign w:val="center"/>
          </w:tcPr>
          <w:p w14:paraId="6D67226F">
            <w:pPr>
              <w:pStyle w:val="14"/>
              <w:snapToGrid w:val="0"/>
              <w:jc w:val="left"/>
            </w:pPr>
            <w:r>
              <w:t>审核、生效、更新及停用记录</w:t>
            </w:r>
          </w:p>
        </w:tc>
      </w:tr>
      <w:tr w14:paraId="7DC88535">
        <w:trPr>
          <w:cantSplit/>
        </w:trPr>
        <w:tc>
          <w:tcPr>
            <w:tcW w:w="1814" w:type="dxa"/>
            <w:vAlign w:val="center"/>
          </w:tcPr>
          <w:p w14:paraId="2E4DC831">
            <w:pPr>
              <w:pStyle w:val="14"/>
              <w:snapToGrid w:val="0"/>
              <w:jc w:val="center"/>
            </w:pPr>
            <w:r>
              <w:t>平台运行</w:t>
            </w:r>
          </w:p>
        </w:tc>
        <w:tc>
          <w:tcPr>
            <w:tcW w:w="4838" w:type="dxa"/>
            <w:vAlign w:val="center"/>
          </w:tcPr>
          <w:p w14:paraId="547488DA">
            <w:pPr>
              <w:pStyle w:val="14"/>
              <w:snapToGrid w:val="0"/>
              <w:jc w:val="left"/>
            </w:pPr>
            <w:r>
              <w:t>记录任务过程、模型状态及异常处理</w:t>
            </w:r>
          </w:p>
        </w:tc>
        <w:tc>
          <w:tcPr>
            <w:tcW w:w="2420" w:type="dxa"/>
            <w:vAlign w:val="center"/>
          </w:tcPr>
          <w:p w14:paraId="699D47F9">
            <w:pPr>
              <w:pStyle w:val="14"/>
              <w:snapToGrid w:val="0"/>
              <w:jc w:val="left"/>
            </w:pPr>
            <w:r>
              <w:t>执行记录、告警和问题处理记录</w:t>
            </w:r>
          </w:p>
        </w:tc>
      </w:tr>
      <w:tr w14:paraId="5A9EFF7D">
        <w:trPr>
          <w:cantSplit/>
        </w:trPr>
        <w:tc>
          <w:tcPr>
            <w:tcW w:w="1814" w:type="dxa"/>
            <w:vAlign w:val="center"/>
          </w:tcPr>
          <w:p w14:paraId="7892FFBC">
            <w:pPr>
              <w:pStyle w:val="14"/>
              <w:snapToGrid w:val="0"/>
              <w:jc w:val="center"/>
            </w:pPr>
            <w:r>
              <w:t>会话记录</w:t>
            </w:r>
          </w:p>
        </w:tc>
        <w:tc>
          <w:tcPr>
            <w:tcW w:w="4838" w:type="dxa"/>
            <w:vAlign w:val="center"/>
          </w:tcPr>
          <w:p w14:paraId="2BCA4297">
            <w:pPr>
              <w:pStyle w:val="14"/>
              <w:snapToGrid w:val="0"/>
              <w:jc w:val="left"/>
            </w:pPr>
            <w:r>
              <w:t>业务用户本人查看历史会话并继续提问</w:t>
            </w:r>
          </w:p>
        </w:tc>
        <w:tc>
          <w:tcPr>
            <w:tcW w:w="2420" w:type="dxa"/>
            <w:vAlign w:val="center"/>
          </w:tcPr>
          <w:p w14:paraId="3E454F92">
            <w:pPr>
              <w:pStyle w:val="14"/>
              <w:snapToGrid w:val="0"/>
              <w:jc w:val="left"/>
            </w:pPr>
            <w:r>
              <w:t>提问、应答、来源标注及会话报告</w:t>
            </w:r>
          </w:p>
        </w:tc>
      </w:tr>
      <w:tr w14:paraId="0DD3DCFB">
        <w:trPr>
          <w:cantSplit/>
        </w:trPr>
        <w:tc>
          <w:tcPr>
            <w:tcW w:w="1814" w:type="dxa"/>
            <w:vAlign w:val="center"/>
          </w:tcPr>
          <w:p w14:paraId="53720641">
            <w:pPr>
              <w:pStyle w:val="14"/>
              <w:snapToGrid w:val="0"/>
              <w:jc w:val="center"/>
            </w:pPr>
            <w:r>
              <w:t>执行链路记录</w:t>
            </w:r>
          </w:p>
        </w:tc>
        <w:tc>
          <w:tcPr>
            <w:tcW w:w="4838" w:type="dxa"/>
            <w:vAlign w:val="center"/>
          </w:tcPr>
          <w:p w14:paraId="4900A502">
            <w:pPr>
              <w:pStyle w:val="14"/>
              <w:snapToGrid w:val="0"/>
              <w:jc w:val="left"/>
            </w:pPr>
            <w:r>
              <w:t>运营岗位按职责排查任务过程，记录采用业务数据明文隔离；普通管理员查看平台运行统计</w:t>
            </w:r>
          </w:p>
        </w:tc>
        <w:tc>
          <w:tcPr>
            <w:tcW w:w="2420" w:type="dxa"/>
            <w:vAlign w:val="center"/>
          </w:tcPr>
          <w:p w14:paraId="2748B296">
            <w:pPr>
              <w:pStyle w:val="14"/>
              <w:snapToGrid w:val="0"/>
              <w:jc w:val="left"/>
            </w:pPr>
            <w:r>
              <w:t>消歧、路由、模板参数、调用状态及异常过程</w:t>
            </w:r>
          </w:p>
        </w:tc>
      </w:tr>
      <w:tr w14:paraId="56B21AF3">
        <w:trPr>
          <w:cantSplit/>
        </w:trPr>
        <w:tc>
          <w:tcPr>
            <w:tcW w:w="1814" w:type="dxa"/>
            <w:vAlign w:val="center"/>
          </w:tcPr>
          <w:p w14:paraId="3748EE7B">
            <w:pPr>
              <w:pStyle w:val="14"/>
              <w:snapToGrid w:val="0"/>
              <w:jc w:val="center"/>
            </w:pPr>
            <w:r>
              <w:t>审计日志</w:t>
            </w:r>
          </w:p>
        </w:tc>
        <w:tc>
          <w:tcPr>
            <w:tcW w:w="4838" w:type="dxa"/>
            <w:vAlign w:val="center"/>
          </w:tcPr>
          <w:p w14:paraId="62245A9C">
            <w:pPr>
              <w:pStyle w:val="14"/>
              <w:snapToGrid w:val="0"/>
              <w:jc w:val="left"/>
            </w:pPr>
            <w:r>
              <w:t>审计角色按流程查询，采用不可删改留存机制</w:t>
            </w:r>
          </w:p>
        </w:tc>
        <w:tc>
          <w:tcPr>
            <w:tcW w:w="2420" w:type="dxa"/>
            <w:vAlign w:val="center"/>
          </w:tcPr>
          <w:p w14:paraId="22CE9ADC">
            <w:pPr>
              <w:pStyle w:val="14"/>
              <w:snapToGrid w:val="0"/>
              <w:jc w:val="left"/>
            </w:pPr>
            <w:r>
              <w:t>访问、越权试探、报告及数据导出、权限配置变更记录</w:t>
            </w:r>
          </w:p>
        </w:tc>
      </w:tr>
    </w:tbl>
    <w:p w14:paraId="028F63A8">
      <w:pPr>
        <w:pStyle w:val="12"/>
        <w:snapToGrid w:val="0"/>
        <w:spacing w:after="25"/>
      </w:pPr>
    </w:p>
    <w:p w14:paraId="55D88B59">
      <w:pPr>
        <w:pStyle w:val="3"/>
        <w:snapToGrid w:val="0"/>
      </w:pPr>
      <w:bookmarkStart w:id="8" w:name="s2_5"/>
      <w:r>
        <w:rPr>
          <w:rFonts w:ascii="黑体" w:hAnsi="黑体" w:eastAsia="黑体" w:cs="黑体"/>
          <w:b/>
          <w:color w:val="000000"/>
        </w:rPr>
        <w:t>2.5　平台模块协同关系</w:t>
      </w:r>
      <w:bookmarkEnd w:id="8"/>
    </w:p>
    <w:p w14:paraId="130D12DB">
      <w:pPr>
        <w:ind w:firstLineChars="200"/>
        <w:rPr>
          <w:rFonts w:ascii="宋体" w:hAnsi="宋体" w:eastAsia="宋体"/>
          <w:b w:val="0"/>
          <w:color w:val="auto"/>
        </w:rPr>
      </w:pPr>
      <w:r>
        <w:rPr>
          <w:rFonts w:ascii="宋体" w:hAnsi="宋体" w:eastAsia="宋体"/>
          <w:b w:val="0"/>
          <w:color w:val="auto"/>
        </w:rPr>
        <w:t>统一问答面向用户组织问题和结果，专业工作台展示DCS侧高级报警提供的数据与状态，承载根因研判、处置建议与结果复核。各模块以业务对象、事件编号及分析记录相互关联，使用户能够从概览进入明细，从诊断查看证据，再从处置结果回看分析过程。</w:t>
      </w:r>
    </w:p>
    <w:p w14:paraId="59C2C28B">
      <w:pPr>
        <w:pStyle w:val="15"/>
        <w:snapToGrid w:val="0"/>
        <w:jc w:val="center"/>
      </w:pPr>
      <w:r>
        <w:t>表2-4　跨模块业务协同</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713"/>
        <w:gridCol w:w="3427"/>
        <w:gridCol w:w="3932"/>
      </w:tblGrid>
      <w:tr w14:paraId="72000340">
        <w:trPr>
          <w:cantSplit/>
          <w:tblHeader/>
        </w:trPr>
        <w:tc>
          <w:tcPr>
            <w:tcW w:w="1713" w:type="dxa"/>
            <w:vAlign w:val="center"/>
          </w:tcPr>
          <w:p w14:paraId="72000341">
            <w:pPr>
              <w:pStyle w:val="14"/>
              <w:snapToGrid w:val="0"/>
              <w:jc w:val="center"/>
            </w:pPr>
            <w:r>
              <w:rPr>
                <w:b/>
              </w:rPr>
              <w:t>协同事项</w:t>
            </w:r>
          </w:p>
        </w:tc>
        <w:tc>
          <w:tcPr>
            <w:tcW w:w="3427" w:type="dxa"/>
            <w:vAlign w:val="center"/>
          </w:tcPr>
          <w:p w14:paraId="72000342">
            <w:pPr>
              <w:pStyle w:val="14"/>
              <w:snapToGrid w:val="0"/>
              <w:jc w:val="center"/>
            </w:pPr>
            <w:r>
              <w:rPr>
                <w:b/>
              </w:rPr>
              <w:t>参与能力</w:t>
            </w:r>
          </w:p>
        </w:tc>
        <w:tc>
          <w:tcPr>
            <w:tcW w:w="3932" w:type="dxa"/>
            <w:vAlign w:val="center"/>
          </w:tcPr>
          <w:p w14:paraId="72000343">
            <w:pPr>
              <w:pStyle w:val="14"/>
              <w:snapToGrid w:val="0"/>
              <w:jc w:val="center"/>
            </w:pPr>
            <w:r>
              <w:rPr>
                <w:b/>
              </w:rPr>
              <w:t>业务衔接</w:t>
            </w:r>
          </w:p>
        </w:tc>
      </w:tr>
      <w:tr w14:paraId="72000358">
        <w:trPr>
          <w:cantSplit/>
        </w:trPr>
        <w:tc>
          <w:tcPr>
            <w:tcW w:w="1713" w:type="dxa"/>
            <w:vAlign w:val="center"/>
          </w:tcPr>
          <w:p w14:paraId="72000359">
            <w:pPr>
              <w:pStyle w:val="14"/>
              <w:snapToGrid w:val="0"/>
              <w:jc w:val="left"/>
            </w:pPr>
            <w:r>
              <w:t>统一提问与数据查询</w:t>
            </w:r>
          </w:p>
        </w:tc>
        <w:tc>
          <w:tcPr>
            <w:tcW w:w="3427" w:type="dxa"/>
            <w:vAlign w:val="center"/>
          </w:tcPr>
          <w:p w14:paraId="7200035A">
            <w:pPr>
              <w:pStyle w:val="14"/>
              <w:snapToGrid w:val="0"/>
              <w:jc w:val="left"/>
            </w:pPr>
            <w:r>
              <w:t>主智能体、智能问数、对话工作台、会话管理</w:t>
            </w:r>
          </w:p>
        </w:tc>
        <w:tc>
          <w:tcPr>
            <w:tcW w:w="3932" w:type="dxa"/>
            <w:vAlign w:val="center"/>
          </w:tcPr>
          <w:p w14:paraId="7200035B">
            <w:pPr>
              <w:pStyle w:val="14"/>
              <w:snapToGrid w:val="0"/>
              <w:jc w:val="left"/>
            </w:pPr>
            <w:r>
              <w:t>统一识别对象和业务意图，按用户身份查询数据、指标口径及关联关系；返回带来源的回答与图表，原因追问携带对象和时间范围转对应场景。</w:t>
            </w:r>
          </w:p>
        </w:tc>
      </w:tr>
      <w:tr w14:paraId="7200035C">
        <w:trPr>
          <w:cantSplit/>
        </w:trPr>
        <w:tc>
          <w:tcPr>
            <w:tcW w:w="1713" w:type="dxa"/>
            <w:vAlign w:val="center"/>
          </w:tcPr>
          <w:p w14:paraId="7200035D">
            <w:pPr>
              <w:pStyle w:val="14"/>
              <w:snapToGrid w:val="0"/>
              <w:jc w:val="left"/>
            </w:pPr>
            <w:r>
              <w:t>实时物料平衡与根因</w:t>
            </w:r>
          </w:p>
        </w:tc>
        <w:tc>
          <w:tcPr>
            <w:tcW w:w="3427" w:type="dxa"/>
            <w:vAlign w:val="center"/>
          </w:tcPr>
          <w:p w14:paraId="7200035E">
            <w:pPr>
              <w:pStyle w:val="14"/>
              <w:snapToGrid w:val="0"/>
              <w:jc w:val="left"/>
            </w:pPr>
            <w:r>
              <w:t>实时物料平衡根因分析、统计特征计算、工艺拓扑与影响因素知识</w:t>
            </w:r>
          </w:p>
        </w:tc>
        <w:tc>
          <w:tcPr>
            <w:tcW w:w="3932" w:type="dxa"/>
            <w:vAlign w:val="center"/>
          </w:tcPr>
          <w:p w14:paraId="7200035F">
            <w:pPr>
              <w:pStyle w:val="14"/>
              <w:snapToGrid w:val="0"/>
              <w:jc w:val="left"/>
            </w:pPr>
            <w:r>
              <w:t>将治理后的实时数据按工序和时间切片，依据确认的算法与规则计算投入产出和偏差，再沿上下游核证工况、设备及计量证据；形成已验证、已排除和待验证事项。</w:t>
            </w:r>
          </w:p>
        </w:tc>
      </w:tr>
      <w:tr w14:paraId="72000360">
        <w:trPr>
          <w:cantSplit/>
        </w:trPr>
        <w:tc>
          <w:tcPr>
            <w:tcW w:w="1713" w:type="dxa"/>
            <w:vAlign w:val="center"/>
          </w:tcPr>
          <w:p w14:paraId="72000361">
            <w:pPr>
              <w:pStyle w:val="14"/>
              <w:snapToGrid w:val="0"/>
              <w:jc w:val="left"/>
            </w:pPr>
            <w:r>
              <w:t>实时能量平衡与根因</w:t>
            </w:r>
          </w:p>
        </w:tc>
        <w:tc>
          <w:tcPr>
            <w:tcW w:w="3427" w:type="dxa"/>
            <w:vAlign w:val="center"/>
          </w:tcPr>
          <w:p w14:paraId="72000362">
            <w:pPr>
              <w:pStyle w:val="14"/>
              <w:snapToGrid w:val="0"/>
              <w:jc w:val="left"/>
            </w:pPr>
            <w:r>
              <w:t>实时能量平衡根因分析、统计特征计算、热力网络与影响因素知识</w:t>
            </w:r>
          </w:p>
        </w:tc>
        <w:tc>
          <w:tcPr>
            <w:tcW w:w="3932" w:type="dxa"/>
            <w:vAlign w:val="center"/>
          </w:tcPr>
          <w:p w14:paraId="72000363">
            <w:pPr>
              <w:pStyle w:val="14"/>
              <w:snapToGrid w:val="0"/>
              <w:jc w:val="left"/>
            </w:pPr>
            <w:r>
              <w:t>按时间切片及确认的能量边界、算法规则计算输入输出与差额，沿蒸汽、冷凝水和换热关系核证热损失；计算与证据均保留来源和时间范围。</w:t>
            </w:r>
          </w:p>
        </w:tc>
      </w:tr>
      <w:tr w14:paraId="72000364">
        <w:trPr>
          <w:cantSplit/>
        </w:trPr>
        <w:tc>
          <w:tcPr>
            <w:tcW w:w="1713" w:type="dxa"/>
            <w:vAlign w:val="center"/>
          </w:tcPr>
          <w:p w14:paraId="72000365">
            <w:pPr>
              <w:pStyle w:val="14"/>
              <w:snapToGrid w:val="0"/>
              <w:jc w:val="left"/>
            </w:pPr>
            <w:r>
              <w:t>实时能耗异常核证</w:t>
            </w:r>
          </w:p>
        </w:tc>
        <w:tc>
          <w:tcPr>
            <w:tcW w:w="3427" w:type="dxa"/>
            <w:vAlign w:val="center"/>
          </w:tcPr>
          <w:p w14:paraId="72000366">
            <w:pPr>
              <w:pStyle w:val="14"/>
              <w:snapToGrid w:val="0"/>
              <w:jc w:val="left"/>
            </w:pPr>
            <w:r>
              <w:t>实时能耗异常识别、EMS诊断、DCS工况与EAM设备证据</w:t>
            </w:r>
          </w:p>
        </w:tc>
        <w:tc>
          <w:tcPr>
            <w:tcW w:w="3932" w:type="dxa"/>
            <w:vAlign w:val="center"/>
          </w:tcPr>
          <w:p w14:paraId="72000367">
            <w:pPr>
              <w:pStyle w:val="14"/>
              <w:snapToGrid w:val="0"/>
              <w:jc w:val="left"/>
            </w:pPr>
            <w:r>
              <w:t>将能源报警、负荷与运行状态放在同一时段核对，区分正常波动和真实超耗，结合设备证据形成原因说明及节能建议。</w:t>
            </w:r>
          </w:p>
        </w:tc>
      </w:tr>
      <w:tr w14:paraId="72000368">
        <w:trPr>
          <w:cantSplit/>
        </w:trPr>
        <w:tc>
          <w:tcPr>
            <w:tcW w:w="1713" w:type="dxa"/>
            <w:vAlign w:val="center"/>
          </w:tcPr>
          <w:p w14:paraId="72000369">
            <w:pPr>
              <w:pStyle w:val="14"/>
              <w:snapToGrid w:val="0"/>
              <w:jc w:val="left"/>
            </w:pPr>
            <w:r>
              <w:t>工序物料核算与趋势</w:t>
            </w:r>
          </w:p>
        </w:tc>
        <w:tc>
          <w:tcPr>
            <w:tcW w:w="3427" w:type="dxa"/>
            <w:vAlign w:val="center"/>
          </w:tcPr>
          <w:p w14:paraId="7200036A">
            <w:pPr>
              <w:pStyle w:val="14"/>
              <w:snapToGrid w:val="0"/>
              <w:jc w:val="left"/>
            </w:pPr>
            <w:r>
              <w:t>工序物料衡算的物料核算、偏差归因、趋势预警</w:t>
            </w:r>
          </w:p>
        </w:tc>
        <w:tc>
          <w:tcPr>
            <w:tcW w:w="3932" w:type="dxa"/>
            <w:vAlign w:val="center"/>
          </w:tcPr>
          <w:p w14:paraId="7200036B">
            <w:pPr>
              <w:pStyle w:val="14"/>
              <w:snapToGrid w:val="0"/>
              <w:jc w:val="left"/>
            </w:pPr>
            <w:r>
              <w:t>依据统一计量、批次和时间口径进行定期核算、收率与损失分析，生成班次至月度报告；用户查询衔接偏差检测、原因排序、趋势预测和风险提示。</w:t>
            </w:r>
          </w:p>
        </w:tc>
      </w:tr>
      <w:tr w14:paraId="7200036C">
        <w:trPr>
          <w:cantSplit/>
        </w:trPr>
        <w:tc>
          <w:tcPr>
            <w:tcW w:w="1713" w:type="dxa"/>
            <w:vAlign w:val="center"/>
          </w:tcPr>
          <w:p w14:paraId="7200036D">
            <w:pPr>
              <w:pStyle w:val="14"/>
              <w:snapToGrid w:val="0"/>
              <w:jc w:val="left"/>
            </w:pPr>
            <w:r>
              <w:t>工序能源核算与趋势</w:t>
            </w:r>
          </w:p>
        </w:tc>
        <w:tc>
          <w:tcPr>
            <w:tcW w:w="3427" w:type="dxa"/>
            <w:vAlign w:val="center"/>
          </w:tcPr>
          <w:p w14:paraId="7200036E">
            <w:pPr>
              <w:pStyle w:val="14"/>
              <w:snapToGrid w:val="0"/>
              <w:jc w:val="left"/>
            </w:pPr>
            <w:r>
              <w:t>工序能量衡算的能耗核算、偏差归因、趋势预警</w:t>
            </w:r>
          </w:p>
        </w:tc>
        <w:tc>
          <w:tcPr>
            <w:tcW w:w="3932" w:type="dxa"/>
            <w:vAlign w:val="center"/>
          </w:tcPr>
          <w:p w14:paraId="7200036F">
            <w:pPr>
              <w:pStyle w:val="14"/>
              <w:snapToGrid w:val="0"/>
              <w:jc w:val="left"/>
            </w:pPr>
            <w:r>
              <w:t>统一能源边界并按确认口径归一化，生成定期分项能耗报告；结合产量、负荷、设备与过程变量解释偏差并呈现趋势和风险。</w:t>
            </w:r>
          </w:p>
        </w:tc>
      </w:tr>
      <w:tr w14:paraId="72000370">
        <w:trPr>
          <w:cantSplit/>
        </w:trPr>
        <w:tc>
          <w:tcPr>
            <w:tcW w:w="1713" w:type="dxa"/>
            <w:vAlign w:val="center"/>
          </w:tcPr>
          <w:p w14:paraId="72000371">
            <w:pPr>
              <w:pStyle w:val="14"/>
              <w:snapToGrid w:val="0"/>
              <w:jc w:val="left"/>
            </w:pPr>
            <w:r>
              <w:t>过程成本与原因追问</w:t>
            </w:r>
          </w:p>
        </w:tc>
        <w:tc>
          <w:tcPr>
            <w:tcW w:w="3427" w:type="dxa"/>
            <w:vAlign w:val="center"/>
          </w:tcPr>
          <w:p w14:paraId="72000372">
            <w:pPr>
              <w:pStyle w:val="14"/>
              <w:snapToGrid w:val="0"/>
              <w:jc w:val="left"/>
            </w:pPr>
            <w:r>
              <w:t>成本追溯、消耗和价格费率数据、关联归因场景</w:t>
            </w:r>
          </w:p>
        </w:tc>
        <w:tc>
          <w:tcPr>
            <w:tcW w:w="3932" w:type="dxa"/>
            <w:vAlign w:val="center"/>
          </w:tcPr>
          <w:p w14:paraId="72000373">
            <w:pPr>
              <w:pStyle w:val="14"/>
              <w:snapToGrid w:val="0"/>
              <w:jc w:val="left"/>
            </w:pPr>
            <w:r>
              <w:t>按确认口径展示过程成本构成及异常要素，关联工序和设备证据；对已有原因保留来源及确认状态，支持核定前后版本查询。</w:t>
            </w:r>
          </w:p>
        </w:tc>
      </w:tr>
      <w:tr w14:paraId="72000374">
        <w:trPr>
          <w:cantSplit/>
        </w:trPr>
        <w:tc>
          <w:tcPr>
            <w:tcW w:w="1713" w:type="dxa"/>
            <w:vAlign w:val="center"/>
          </w:tcPr>
          <w:p w14:paraId="72000375">
            <w:pPr>
              <w:pStyle w:val="14"/>
              <w:snapToGrid w:val="0"/>
              <w:jc w:val="left"/>
            </w:pPr>
            <w:r>
              <w:t>批次质量追溯与证据核证</w:t>
            </w:r>
          </w:p>
        </w:tc>
        <w:tc>
          <w:tcPr>
            <w:tcW w:w="3427" w:type="dxa"/>
            <w:vAlign w:val="center"/>
          </w:tcPr>
          <w:p w14:paraId="72000376">
            <w:pPr>
              <w:pStyle w:val="14"/>
              <w:snapToGrid w:val="0"/>
              <w:jc w:val="left"/>
            </w:pPr>
            <w:r>
              <w:t>智能质量追溯、批次谱系、DCS工况与运行证据、质量影响因素知识</w:t>
            </w:r>
          </w:p>
        </w:tc>
        <w:tc>
          <w:tcPr>
            <w:tcW w:w="3932" w:type="dxa"/>
            <w:vAlign w:val="center"/>
          </w:tcPr>
          <w:p w14:paraId="72000377">
            <w:pPr>
              <w:pStyle w:val="14"/>
              <w:snapToGrid w:val="0"/>
              <w:jc w:val="left"/>
            </w:pPr>
            <w:r>
              <w:t>先串联批次与检验记录并圈定异常节点，再查询该时段的原始工况、工艺参数和设备运行记录；证据可用时逐项核证，不足时保留缺口与待验证事项。</w:t>
            </w:r>
          </w:p>
        </w:tc>
      </w:tr>
      <w:tr w14:paraId="72000378">
        <w:trPr>
          <w:cantSplit/>
        </w:trPr>
        <w:tc>
          <w:tcPr>
            <w:tcW w:w="1713" w:type="dxa"/>
            <w:vAlign w:val="center"/>
          </w:tcPr>
          <w:p w14:paraId="72000379">
            <w:pPr>
              <w:pStyle w:val="14"/>
              <w:snapToGrid w:val="0"/>
              <w:jc w:val="left"/>
            </w:pPr>
            <w:r>
              <w:t>动设备预警与排查</w:t>
            </w:r>
          </w:p>
        </w:tc>
        <w:tc>
          <w:tcPr>
            <w:tcW w:w="3427" w:type="dxa"/>
            <w:vAlign w:val="center"/>
          </w:tcPr>
          <w:p w14:paraId="7200037A">
            <w:pPr>
              <w:pStyle w:val="14"/>
              <w:snapToGrid w:val="0"/>
              <w:jc w:val="left"/>
            </w:pPr>
            <w:r>
              <w:t>动设备故障预警与动设备管理、PHM诊断、EAM台账与设备知识</w:t>
            </w:r>
          </w:p>
        </w:tc>
        <w:tc>
          <w:tcPr>
            <w:tcW w:w="3932" w:type="dxa"/>
            <w:vAlign w:val="center"/>
          </w:tcPr>
          <w:p w14:paraId="7200037B">
            <w:pPr>
              <w:pStyle w:val="14"/>
              <w:snapToGrid w:val="0"/>
              <w:jc w:val="left"/>
            </w:pPr>
            <w:r>
              <w:t>将预警、趋势和阈值与档案、维修及备件信息关联，引用已有诊断并形成分级排查建议和设备管理清单，推送责任人并记录确认。</w:t>
            </w:r>
          </w:p>
        </w:tc>
      </w:tr>
      <w:tr w14:paraId="72000380">
        <w:trPr>
          <w:cantSplit/>
        </w:trPr>
        <w:tc>
          <w:tcPr>
            <w:tcW w:w="1713" w:type="dxa"/>
            <w:vAlign w:val="center"/>
          </w:tcPr>
          <w:p w14:paraId="72000381">
            <w:pPr>
              <w:pStyle w:val="14"/>
              <w:snapToGrid w:val="0"/>
              <w:jc w:val="left"/>
            </w:pPr>
            <w:r>
              <w:t>质量监控、诊断与结果应用</w:t>
            </w:r>
          </w:p>
        </w:tc>
        <w:tc>
          <w:tcPr>
            <w:tcW w:w="3427" w:type="dxa"/>
            <w:vAlign w:val="center"/>
          </w:tcPr>
          <w:p w14:paraId="72000382">
            <w:pPr>
              <w:pStyle w:val="14"/>
              <w:snapToGrid w:val="0"/>
              <w:jc w:val="left"/>
            </w:pPr>
            <w:r>
              <w:t>质量根因分析、质量因果图谱、分析台账及报告收件箱</w:t>
            </w:r>
          </w:p>
        </w:tc>
        <w:tc>
          <w:tcPr>
            <w:tcW w:w="3932" w:type="dxa"/>
            <w:vAlign w:val="center"/>
          </w:tcPr>
          <w:p w14:paraId="72000383">
            <w:pPr>
              <w:pStyle w:val="14"/>
              <w:snapToGrid w:val="0"/>
              <w:jc w:val="left"/>
            </w:pPr>
            <w:r>
              <w:t>由质量漂移和过程扰动触发分析，先对齐证据并核验信号，再沿因果链诊断；人员复核及处置后沉淀案例与台账，供查询、订阅及相关优化使用。</w:t>
            </w:r>
          </w:p>
        </w:tc>
      </w:tr>
      <w:tr w14:paraId="7200037C">
        <w:trPr>
          <w:cantSplit/>
        </w:trPr>
        <w:tc>
          <w:tcPr>
            <w:tcW w:w="1713" w:type="dxa"/>
            <w:vAlign w:val="center"/>
          </w:tcPr>
          <w:p w14:paraId="7200037D">
            <w:pPr>
              <w:pStyle w:val="14"/>
              <w:snapToGrid w:val="0"/>
              <w:jc w:val="left"/>
            </w:pPr>
            <w:r>
              <w:t>供应链结果与物流协同</w:t>
            </w:r>
          </w:p>
        </w:tc>
        <w:tc>
          <w:tcPr>
            <w:tcW w:w="3427" w:type="dxa"/>
            <w:vAlign w:val="center"/>
          </w:tcPr>
          <w:p w14:paraId="7200037E">
            <w:pPr>
              <w:pStyle w:val="14"/>
              <w:snapToGrid w:val="0"/>
              <w:jc w:val="left"/>
            </w:pPr>
            <w:r>
              <w:t>供应链优化与协同系统结果输出、物流优化、SCOS、库存与在途事实</w:t>
            </w:r>
          </w:p>
        </w:tc>
        <w:tc>
          <w:tcPr>
            <w:tcW w:w="3932" w:type="dxa"/>
            <w:vAlign w:val="center"/>
          </w:tcPr>
          <w:p w14:paraId="7200037F">
            <w:pPr>
              <w:pStyle w:val="14"/>
              <w:snapToGrid w:val="0"/>
              <w:jc w:val="left"/>
            </w:pPr>
            <w:r>
              <w:t>统一查询SCOS既有分析结果并保留口径和截止时间；物流查询关联库存、在途及补货建议，按用户确认条件组织候选清单和授权通知。</w:t>
            </w:r>
          </w:p>
        </w:tc>
      </w:tr>
      <w:tr w14:paraId="72000384">
        <w:trPr>
          <w:cantSplit/>
        </w:trPr>
        <w:tc>
          <w:tcPr>
            <w:tcW w:w="1713" w:type="dxa"/>
            <w:vAlign w:val="center"/>
          </w:tcPr>
          <w:p w14:paraId="72000385">
            <w:pPr>
              <w:pStyle w:val="14"/>
              <w:snapToGrid w:val="0"/>
              <w:jc w:val="left"/>
            </w:pPr>
            <w:r>
              <w:t>DCS侧报警联动与工况诊断</w:t>
            </w:r>
          </w:p>
        </w:tc>
        <w:tc>
          <w:tcPr>
            <w:tcW w:w="3427" w:type="dxa"/>
            <w:vAlign w:val="center"/>
          </w:tcPr>
          <w:p w14:paraId="72000386">
            <w:pPr>
              <w:pStyle w:val="14"/>
              <w:snapToGrid w:val="0"/>
              <w:jc w:val="left"/>
            </w:pPr>
            <w:r>
              <w:t>DCS侧高级报警、工况异常识别、工艺风险图谱与SOP</w:t>
            </w:r>
          </w:p>
        </w:tc>
        <w:tc>
          <w:tcPr>
            <w:tcW w:w="3932" w:type="dxa"/>
            <w:vAlign w:val="center"/>
          </w:tcPr>
          <w:p w14:paraId="72000387">
            <w:pPr>
              <w:pStyle w:val="14"/>
              <w:snapToGrid w:val="0"/>
              <w:jc w:val="left"/>
            </w:pPr>
            <w:r>
              <w:t>接收DCS侧高级报警提供的有效事件，关联报警聚合后进行仪表判别、根因和影响分析；领结图展示风险链，建议经人工确认处置，反馈进入案例和知识更新。</w:t>
            </w:r>
          </w:p>
        </w:tc>
      </w:tr>
      <w:tr w14:paraId="72000388">
        <w:trPr>
          <w:cantSplit/>
        </w:trPr>
        <w:tc>
          <w:tcPr>
            <w:tcW w:w="1713" w:type="dxa"/>
            <w:vAlign w:val="center"/>
          </w:tcPr>
          <w:p w14:paraId="72000389">
            <w:pPr>
              <w:pStyle w:val="14"/>
              <w:snapToGrid w:val="0"/>
              <w:jc w:val="left"/>
            </w:pPr>
            <w:r>
              <w:t>液化预测、归因与寻优</w:t>
            </w:r>
          </w:p>
        </w:tc>
        <w:tc>
          <w:tcPr>
            <w:tcW w:w="3427" w:type="dxa"/>
            <w:vAlign w:val="center"/>
          </w:tcPr>
          <w:p w14:paraId="7200038A">
            <w:pPr>
              <w:pStyle w:val="14"/>
              <w:snapToGrid w:val="0"/>
              <w:jc w:val="left"/>
            </w:pPr>
            <w:r>
              <w:t>液化工序优化的DE值预测、问题归因、参数优化</w:t>
            </w:r>
          </w:p>
        </w:tc>
        <w:tc>
          <w:tcPr>
            <w:tcW w:w="3932" w:type="dxa"/>
            <w:vAlign w:val="center"/>
          </w:tcPr>
          <w:p w14:paraId="7200038B">
            <w:pPr>
              <w:pStyle w:val="14"/>
              <w:snapToGrid w:val="0"/>
              <w:jc w:val="left"/>
            </w:pPr>
            <w:r>
              <w:t>平台内预测模型形成DE值与趋势，归因结果用于解释影响因素，优化模型生成并模拟参数建议；经安全校验和人工确认执行后，以运行数据验证效果。</w:t>
            </w:r>
          </w:p>
        </w:tc>
      </w:tr>
      <w:tr w14:paraId="7200038C">
        <w:trPr>
          <w:cantSplit/>
        </w:trPr>
        <w:tc>
          <w:tcPr>
            <w:tcW w:w="1713" w:type="dxa"/>
            <w:vAlign w:val="center"/>
          </w:tcPr>
          <w:p w14:paraId="7200038D">
            <w:pPr>
              <w:pStyle w:val="14"/>
              <w:snapToGrid w:val="0"/>
              <w:jc w:val="left"/>
            </w:pPr>
            <w:r>
              <w:t>全局优化与材料寿命</w:t>
            </w:r>
          </w:p>
        </w:tc>
        <w:tc>
          <w:tcPr>
            <w:tcW w:w="3427" w:type="dxa"/>
            <w:vAlign w:val="center"/>
          </w:tcPr>
          <w:p w14:paraId="7200038E">
            <w:pPr>
              <w:pStyle w:val="14"/>
              <w:snapToGrid w:val="0"/>
              <w:jc w:val="left"/>
            </w:pPr>
            <w:r>
              <w:t>全局工艺优化的优化机会识别、工艺参数寻优、材料寿命管理</w:t>
            </w:r>
          </w:p>
        </w:tc>
        <w:tc>
          <w:tcPr>
            <w:tcW w:w="3932" w:type="dxa"/>
            <w:vAlign w:val="center"/>
          </w:tcPr>
          <w:p w14:paraId="7200038F">
            <w:pPr>
              <w:pStyle w:val="14"/>
              <w:snapToGrid w:val="0"/>
              <w:jc w:val="left"/>
            </w:pPr>
            <w:r>
              <w:t>统一多源样本后分别开展酶化工序参数改进和材料寿命分析，形成经约束校验的参数建议、清洗更换建议及计划窗口，结合现场反馈持续验证。</w:t>
            </w:r>
          </w:p>
        </w:tc>
      </w:tr>
      <w:tr w14:paraId="72000390">
        <w:trPr>
          <w:cantSplit/>
        </w:trPr>
        <w:tc>
          <w:tcPr>
            <w:tcW w:w="1713" w:type="dxa"/>
            <w:vAlign w:val="center"/>
          </w:tcPr>
          <w:p w14:paraId="72000391">
            <w:pPr>
              <w:pStyle w:val="14"/>
              <w:snapToGrid w:val="0"/>
              <w:jc w:val="left"/>
            </w:pPr>
            <w:r>
              <w:t>访客知识与展厅语音</w:t>
            </w:r>
          </w:p>
        </w:tc>
        <w:tc>
          <w:tcPr>
            <w:tcW w:w="3427" w:type="dxa"/>
            <w:vAlign w:val="center"/>
          </w:tcPr>
          <w:p w14:paraId="72000392">
            <w:pPr>
              <w:pStyle w:val="14"/>
              <w:snapToGrid w:val="0"/>
              <w:jc w:val="left"/>
            </w:pPr>
            <w:r>
              <w:t>访客知识问答、数字人语音唤醒、展厅智能问答数字人</w:t>
            </w:r>
          </w:p>
        </w:tc>
        <w:tc>
          <w:tcPr>
            <w:tcW w:w="3932" w:type="dxa"/>
            <w:vAlign w:val="center"/>
          </w:tcPr>
          <w:p w14:paraId="72000393">
            <w:pPr>
              <w:pStyle w:val="14"/>
              <w:snapToGrid w:val="0"/>
              <w:jc w:val="left"/>
            </w:pPr>
            <w:r>
              <w:t>语音转写后复用公开知识检索和内容过滤，将回答与合成音频提供给展厅呈现；识别失败支持重试或文字引导，缺失知识形成维护线索。</w:t>
            </w:r>
          </w:p>
        </w:tc>
      </w:tr>
      <w:tr w14:paraId="72000394">
        <w:trPr>
          <w:cantSplit/>
        </w:trPr>
        <w:tc>
          <w:tcPr>
            <w:tcW w:w="1713" w:type="dxa"/>
            <w:vAlign w:val="center"/>
          </w:tcPr>
          <w:p w14:paraId="72000395">
            <w:pPr>
              <w:pStyle w:val="14"/>
              <w:snapToGrid w:val="0"/>
              <w:jc w:val="left"/>
            </w:pPr>
            <w:r>
              <w:t>质量安全环保应用</w:t>
            </w:r>
          </w:p>
        </w:tc>
        <w:tc>
          <w:tcPr>
            <w:tcW w:w="3427" w:type="dxa"/>
            <w:vAlign w:val="center"/>
          </w:tcPr>
          <w:p w14:paraId="72000396">
            <w:pPr>
              <w:pStyle w:val="14"/>
              <w:snapToGrid w:val="0"/>
              <w:jc w:val="left"/>
            </w:pPr>
            <w:r>
              <w:t>质量安全环保、知识库引擎、业务记录与隐患图片辅助识别接口</w:t>
            </w:r>
          </w:p>
        </w:tc>
        <w:tc>
          <w:tcPr>
            <w:tcW w:w="3932" w:type="dxa"/>
            <w:vAlign w:val="center"/>
          </w:tcPr>
          <w:p w14:paraId="72000397">
            <w:pPr>
              <w:pStyle w:val="14"/>
              <w:snapToGrid w:val="0"/>
              <w:jc w:val="left"/>
            </w:pPr>
            <w:r>
              <w:t>按权限引用制度条款并查询排放、处置及已有违章记录，授权事件进入推送；隐患图片识别生成预填字段供人工确认，知识缺口进入工作台。</w:t>
            </w:r>
          </w:p>
        </w:tc>
      </w:tr>
      <w:tr w14:paraId="72000398">
        <w:trPr>
          <w:cantSplit/>
        </w:trPr>
        <w:tc>
          <w:tcPr>
            <w:tcW w:w="1713" w:type="dxa"/>
            <w:vAlign w:val="center"/>
          </w:tcPr>
          <w:p w14:paraId="72000399">
            <w:pPr>
              <w:pStyle w:val="14"/>
              <w:snapToGrid w:val="0"/>
              <w:jc w:val="left"/>
            </w:pPr>
            <w:r>
              <w:t>工艺知识与日常风险</w:t>
            </w:r>
          </w:p>
        </w:tc>
        <w:tc>
          <w:tcPr>
            <w:tcW w:w="3427" w:type="dxa"/>
            <w:vAlign w:val="center"/>
          </w:tcPr>
          <w:p w14:paraId="7200039A">
            <w:pPr>
              <w:pStyle w:val="14"/>
              <w:snapToGrid w:val="0"/>
              <w:jc w:val="left"/>
            </w:pPr>
            <w:r>
              <w:t>工艺风险与质量图谱、工艺知识库、日常风险分析与模拟</w:t>
            </w:r>
          </w:p>
        </w:tc>
        <w:tc>
          <w:tcPr>
            <w:tcW w:w="3932" w:type="dxa"/>
            <w:vAlign w:val="center"/>
          </w:tcPr>
          <w:p w14:paraId="7200039B">
            <w:pPr>
              <w:pStyle w:val="14"/>
              <w:snapToGrid w:val="0"/>
              <w:jc w:val="left"/>
            </w:pPr>
            <w:r>
              <w:t>由文档与专业知识支撑诊断取证，并支持设备或偏离的潜在后果、屏障作用、联锁摘除风险模拟和装置风险对比，分析结果供专业复核。</w:t>
            </w:r>
          </w:p>
        </w:tc>
      </w:tr>
      <w:tr w14:paraId="7200039C">
        <w:trPr>
          <w:cantSplit/>
        </w:trPr>
        <w:tc>
          <w:tcPr>
            <w:tcW w:w="1713" w:type="dxa"/>
            <w:vAlign w:val="center"/>
          </w:tcPr>
          <w:p w14:paraId="7200039D">
            <w:pPr>
              <w:pStyle w:val="14"/>
              <w:snapToGrid w:val="0"/>
              <w:jc w:val="left"/>
            </w:pPr>
            <w:r>
              <w:t>报告送达、确认与知识沉淀</w:t>
            </w:r>
          </w:p>
        </w:tc>
        <w:tc>
          <w:tcPr>
            <w:tcW w:w="3427" w:type="dxa"/>
            <w:vAlign w:val="center"/>
          </w:tcPr>
          <w:p w14:paraId="7200039E">
            <w:pPr>
              <w:pStyle w:val="14"/>
              <w:snapToGrid w:val="0"/>
              <w:jc w:val="left"/>
            </w:pPr>
            <w:r>
              <w:t>事件订阅与推送、报告收件箱、反馈与通知、知识工作台、评估运营</w:t>
            </w:r>
          </w:p>
        </w:tc>
        <w:tc>
          <w:tcPr>
            <w:tcW w:w="3932" w:type="dxa"/>
            <w:vAlign w:val="center"/>
          </w:tcPr>
          <w:p w14:paraId="7200039F">
            <w:pPr>
              <w:pStyle w:val="14"/>
              <w:snapToGrid w:val="0"/>
              <w:jc w:val="left"/>
            </w:pPr>
            <w:r>
              <w:t>报告按授权送达并关联事件，责任人确认与用户评价分别记录；确认案例、知识缺口、别名和负反馈按流程审核处理，回归验证后更新并通知提出人。</w:t>
            </w:r>
          </w:p>
        </w:tc>
      </w:tr>
      <w:tr w14:paraId="720003A0">
        <w:trPr>
          <w:cantSplit/>
        </w:trPr>
        <w:tc>
          <w:tcPr>
            <w:tcW w:w="1713" w:type="dxa"/>
            <w:vAlign w:val="center"/>
          </w:tcPr>
          <w:p w14:paraId="720003A1">
            <w:pPr>
              <w:pStyle w:val="14"/>
              <w:snapToGrid w:val="0"/>
              <w:jc w:val="left"/>
            </w:pPr>
            <w:r>
              <w:t>公共能力与数据准备</w:t>
            </w:r>
          </w:p>
        </w:tc>
        <w:tc>
          <w:tcPr>
            <w:tcW w:w="3427" w:type="dxa"/>
            <w:vAlign w:val="center"/>
          </w:tcPr>
          <w:p w14:paraId="720003A2">
            <w:pPr>
              <w:pStyle w:val="14"/>
              <w:snapToGrid w:val="0"/>
              <w:jc w:val="left"/>
            </w:pPr>
            <w:r>
              <w:t>AI数据治理、工具运行框架、实体消歧、模型接入网关、系统管理、内容安全</w:t>
            </w:r>
          </w:p>
        </w:tc>
        <w:tc>
          <w:tcPr>
            <w:tcW w:w="3932" w:type="dxa"/>
            <w:vAlign w:val="center"/>
          </w:tcPr>
          <w:p w14:paraId="720003A3">
            <w:pPr>
              <w:pStyle w:val="14"/>
              <w:snapToGrid w:val="0"/>
              <w:jc w:val="left"/>
            </w:pPr>
            <w:r>
              <w:t>为各场景提供统一对象、指标和判定基准、可用数据及授权校验；按登记能力编排调用、记录状态与版本，配置变更和问题处理经验证后生效。</w:t>
            </w:r>
          </w:p>
        </w:tc>
      </w:tr>
    </w:tbl>
    <w:p w14:paraId="034AEA14">
      <w:pPr>
        <w:pStyle w:val="12"/>
        <w:snapToGrid w:val="0"/>
        <w:spacing w:after="25"/>
      </w:pPr>
    </w:p>
    <w:p w14:paraId="30258276">
      <w:pPr>
        <w:pStyle w:val="2"/>
        <w:bidi w:val="0"/>
        <w:rPr>
          <w:rFonts w:hint="default" w:eastAsiaTheme="majorEastAsia"/>
          <w:lang w:val="en-US" w:eastAsia="zh-CN"/>
        </w:rPr>
      </w:pPr>
      <w:bookmarkStart w:id="9" w:name="s3"/>
      <w:r>
        <w:t>3　流程层：</w:t>
      </w:r>
      <w:bookmarkEnd w:id="9"/>
      <w:r>
        <w:rPr>
          <w:rFonts w:hint="eastAsia"/>
          <w:lang w:val="en-US" w:eastAsia="zh-CN"/>
        </w:rPr>
        <w:t>业务场景运行流程</w:t>
      </w:r>
    </w:p>
    <w:p w14:paraId="72000001">
      <w:pPr>
        <w:ind w:firstLineChars="200"/>
        <w:rPr>
          <w:rFonts w:ascii="宋体" w:hAnsi="宋体" w:eastAsia="宋体"/>
          <w:b w:val="0"/>
          <w:color w:val="auto"/>
        </w:rPr>
      </w:pPr>
      <w:r>
        <w:rPr>
          <w:rFonts w:ascii="宋体" w:hAnsi="宋体" w:eastAsia="宋体"/>
          <w:b w:val="0"/>
          <w:color w:val="auto"/>
        </w:rPr>
        <w:t>本章按业务场景说明运行步骤、参与角色、数据来源和处理结果。各场景的建设内容见第五章。</w:t>
      </w:r>
    </w:p>
    <w:p w14:paraId="72000002">
      <w:pPr>
        <w:pStyle w:val="3"/>
        <w:snapToGrid w:val="0"/>
      </w:pPr>
      <w:bookmarkStart w:id="10" w:name="s3_1"/>
      <w:r>
        <w:rPr>
          <w:rFonts w:ascii="黑体" w:hAnsi="黑体" w:eastAsia="黑体" w:cs="黑体"/>
          <w:b/>
          <w:color w:val="000000"/>
        </w:rPr>
        <w:t>3.1　统一问数类</w:t>
      </w:r>
      <w:bookmarkEnd w:id="10"/>
    </w:p>
    <w:p w14:paraId="72000003">
      <w:pPr>
        <w:pStyle w:val="4"/>
        <w:snapToGrid w:val="0"/>
      </w:pPr>
      <w:bookmarkStart w:id="11" w:name="s3_1_1"/>
      <w:r>
        <w:rPr>
          <w:rFonts w:ascii="黑体" w:hAnsi="黑体" w:eastAsia="黑体" w:cs="黑体"/>
          <w:b/>
          <w:color w:val="000000"/>
        </w:rPr>
        <w:t>3.1.1　智能问数</w:t>
      </w:r>
      <w:bookmarkEnd w:id="11"/>
    </w:p>
    <w:p w14:paraId="11A80821">
      <w:pPr>
        <w:pStyle w:val="12"/>
        <w:keepNext/>
        <w:snapToGrid w:val="0"/>
        <w:spacing w:before="0" w:after="40" w:line="240" w:lineRule="auto"/>
        <w:ind w:left="0" w:right="0" w:firstLine="0" w:firstLineChars="0"/>
        <w:jc w:val="center"/>
      </w:pPr>
      <w:r>
        <w:drawing>
          <wp:inline distT="0" distB="0" distL="0" distR="0">
            <wp:extent cx="5759450" cy="6313170"/>
            <wp:effectExtent l="0" t="0" r="0" b="0"/>
            <wp:docPr id="3" name="P-ZLTC-AI-ZNWS-101 智能问数业务流程" descr="P-ZLTC-AI-ZNWS-101 智能问数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ZLTC-AI-ZNWS-101 智能问数业务流程" descr="P-ZLTC-AI-ZNWS-101 智能问数业务流程"/>
                    <pic:cNvPicPr>
                      <a:picLocks noChangeAspect="1"/>
                    </pic:cNvPicPr>
                  </pic:nvPicPr>
                  <pic:blipFill>
                    <a:blip r:embed="rId11"/>
                    <a:stretch>
                      <a:fillRect/>
                    </a:stretch>
                  </pic:blipFill>
                  <pic:spPr>
                    <a:xfrm>
                      <a:off x="0" y="0"/>
                      <a:ext cx="5759450" cy="6313797"/>
                    </a:xfrm>
                    <a:prstGeom prst="rect">
                      <a:avLst/>
                    </a:prstGeom>
                  </pic:spPr>
                </pic:pic>
              </a:graphicData>
            </a:graphic>
          </wp:inline>
        </w:drawing>
      </w:r>
    </w:p>
    <w:p w14:paraId="3CD299A4">
      <w:pPr>
        <w:pStyle w:val="15"/>
        <w:keepNext w:val="0"/>
        <w:snapToGrid w:val="0"/>
        <w:jc w:val="center"/>
      </w:pPr>
      <w:r>
        <w:t>图3-1　智能问数业务流程图</w:t>
      </w:r>
    </w:p>
    <w:p w14:paraId="1B0C1E99">
      <w:pPr>
        <w:pStyle w:val="15"/>
        <w:keepNext/>
        <w:snapToGrid w:val="0"/>
        <w:jc w:val="center"/>
      </w:pPr>
      <w:r>
        <w:t>表3-1　智能问数业务流程说明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4B2F1B2D">
        <w:trPr>
          <w:cantSplit/>
          <w:tblHeader/>
          <w:jc w:val="center"/>
        </w:trPr>
        <w:tc>
          <w:tcPr>
            <w:tcW w:w="650" w:type="dxa"/>
            <w:shd w:val="clear" w:color="auto" w:fill="FFFFFF"/>
            <w:vAlign w:val="center"/>
          </w:tcPr>
          <w:p w14:paraId="52230CB5">
            <w:pPr>
              <w:keepNext/>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020330AE">
            <w:pPr>
              <w:keepNext/>
              <w:spacing w:before="0" w:after="0" w:line="240" w:lineRule="auto"/>
              <w:ind w:left="0" w:right="0" w:firstLine="0" w:firstLineChars="0"/>
              <w:jc w:val="center"/>
            </w:pPr>
            <w:r>
              <w:rPr>
                <w:rFonts w:ascii="宋体" w:hAnsi="宋体" w:eastAsia="宋体" w:cs="宋体"/>
                <w:b/>
                <w:bCs/>
                <w:color w:val="000000"/>
                <w:sz w:val="16"/>
                <w:szCs w:val="16"/>
              </w:rPr>
              <w:t>节点名称</w:t>
            </w:r>
          </w:p>
        </w:tc>
        <w:tc>
          <w:tcPr>
            <w:tcW w:w="950" w:type="dxa"/>
            <w:shd w:val="clear" w:color="auto" w:fill="FFFFFF"/>
            <w:vAlign w:val="center"/>
          </w:tcPr>
          <w:p w14:paraId="0D851514">
            <w:pPr>
              <w:keepNext/>
              <w:spacing w:before="0" w:after="0" w:line="240" w:lineRule="auto"/>
              <w:ind w:left="0" w:right="0" w:firstLine="0" w:firstLineChars="0"/>
              <w:jc w:val="center"/>
            </w:pPr>
            <w:r>
              <w:rPr>
                <w:rFonts w:ascii="宋体" w:hAnsi="宋体" w:eastAsia="宋体" w:cs="宋体"/>
                <w:b/>
                <w:bCs/>
                <w:color w:val="000000"/>
                <w:sz w:val="16"/>
                <w:szCs w:val="16"/>
              </w:rPr>
              <w:t>责任节点</w:t>
            </w:r>
          </w:p>
        </w:tc>
        <w:tc>
          <w:tcPr>
            <w:tcW w:w="1350" w:type="dxa"/>
            <w:shd w:val="clear" w:color="auto" w:fill="FFFFFF"/>
            <w:vAlign w:val="center"/>
          </w:tcPr>
          <w:p w14:paraId="52BAB0B5">
            <w:pPr>
              <w:keepNext/>
              <w:spacing w:before="0" w:after="0" w:line="240" w:lineRule="auto"/>
              <w:ind w:left="0" w:right="0" w:firstLine="0" w:firstLineChars="0"/>
              <w:jc w:val="center"/>
            </w:pPr>
            <w:r>
              <w:rPr>
                <w:rFonts w:ascii="宋体" w:hAnsi="宋体" w:eastAsia="宋体" w:cs="宋体"/>
                <w:b/>
                <w:bCs/>
                <w:color w:val="000000"/>
                <w:sz w:val="16"/>
                <w:szCs w:val="16"/>
              </w:rPr>
              <w:t>输入/输出</w:t>
            </w:r>
          </w:p>
        </w:tc>
        <w:tc>
          <w:tcPr>
            <w:tcW w:w="2000" w:type="dxa"/>
            <w:shd w:val="clear" w:color="auto" w:fill="FFFFFF"/>
            <w:vAlign w:val="center"/>
          </w:tcPr>
          <w:p w14:paraId="56CB8B50">
            <w:pPr>
              <w:keepNext/>
              <w:spacing w:before="0" w:after="0" w:line="240" w:lineRule="auto"/>
              <w:ind w:left="0" w:right="0" w:firstLine="0" w:firstLineChars="0"/>
              <w:jc w:val="center"/>
            </w:pPr>
            <w:r>
              <w:rPr>
                <w:rFonts w:ascii="宋体" w:hAnsi="宋体" w:eastAsia="宋体" w:cs="宋体"/>
                <w:b/>
                <w:bCs/>
                <w:color w:val="000000"/>
                <w:sz w:val="16"/>
                <w:szCs w:val="16"/>
              </w:rPr>
              <w:t>处理说明</w:t>
            </w:r>
          </w:p>
        </w:tc>
        <w:tc>
          <w:tcPr>
            <w:tcW w:w="1072" w:type="dxa"/>
            <w:shd w:val="clear" w:color="auto" w:fill="FFFFFF"/>
            <w:vAlign w:val="center"/>
          </w:tcPr>
          <w:p w14:paraId="4320D315">
            <w:pPr>
              <w:keepNext/>
              <w:spacing w:before="0" w:after="0" w:line="240" w:lineRule="auto"/>
              <w:ind w:left="0" w:right="0" w:firstLine="0" w:firstLineChars="0"/>
              <w:jc w:val="center"/>
            </w:pPr>
            <w:r>
              <w:rPr>
                <w:rFonts w:ascii="宋体" w:hAnsi="宋体" w:eastAsia="宋体" w:cs="宋体"/>
                <w:b/>
                <w:bCs/>
                <w:color w:val="000000"/>
                <w:sz w:val="16"/>
                <w:szCs w:val="16"/>
              </w:rPr>
              <w:t>异常/分支</w:t>
            </w:r>
          </w:p>
        </w:tc>
        <w:tc>
          <w:tcPr>
            <w:tcW w:w="2000" w:type="dxa"/>
            <w:shd w:val="clear" w:color="auto" w:fill="FFFFFF"/>
            <w:vAlign w:val="center"/>
          </w:tcPr>
          <w:p w14:paraId="07E0F050">
            <w:pPr>
              <w:keepNext/>
              <w:spacing w:before="0" w:after="0" w:line="240" w:lineRule="auto"/>
              <w:ind w:left="0" w:right="0" w:firstLine="0" w:firstLineChars="0"/>
              <w:jc w:val="center"/>
            </w:pPr>
            <w:r>
              <w:rPr>
                <w:rFonts w:ascii="宋体" w:hAnsi="宋体" w:eastAsia="宋体" w:cs="宋体"/>
                <w:b/>
                <w:bCs/>
                <w:color w:val="000000"/>
                <w:sz w:val="16"/>
                <w:szCs w:val="16"/>
              </w:rPr>
              <w:t>关联规则</w:t>
            </w:r>
          </w:p>
        </w:tc>
      </w:tr>
      <w:tr w14:paraId="47DC02D3">
        <w:trPr>
          <w:cantSplit/>
          <w:jc w:val="center"/>
        </w:trPr>
        <w:tc>
          <w:tcPr>
            <w:tcW w:w="650" w:type="dxa"/>
            <w:shd w:val="clear" w:color="auto" w:fill="FFFFFF"/>
            <w:vAlign w:val="center"/>
          </w:tcPr>
          <w:p w14:paraId="3855C86E">
            <w:pPr>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226CA43E">
            <w:pPr>
              <w:spacing w:before="0" w:after="0" w:line="240" w:lineRule="auto"/>
              <w:ind w:left="0" w:right="0" w:firstLine="0" w:firstLineChars="0"/>
              <w:jc w:val="center"/>
            </w:pPr>
            <w:r>
              <w:rPr>
                <w:rFonts w:ascii="宋体" w:hAnsi="宋体" w:eastAsia="宋体" w:cs="宋体"/>
                <w:b w:val="0"/>
                <w:bCs w:val="0"/>
                <w:color w:val="000000"/>
                <w:sz w:val="16"/>
                <w:szCs w:val="16"/>
              </w:rPr>
              <w:t>发起提问</w:t>
            </w:r>
          </w:p>
        </w:tc>
        <w:tc>
          <w:tcPr>
            <w:tcW w:w="950" w:type="dxa"/>
            <w:shd w:val="clear" w:color="auto" w:fill="FFFFFF"/>
            <w:vAlign w:val="center"/>
          </w:tcPr>
          <w:p w14:paraId="6B423EF1">
            <w:pPr>
              <w:spacing w:before="0" w:after="0" w:line="240" w:lineRule="auto"/>
              <w:ind w:left="0" w:right="0" w:firstLine="0" w:firstLineChars="0"/>
              <w:jc w:val="center"/>
            </w:pPr>
            <w:r>
              <w:rPr>
                <w:rFonts w:ascii="宋体" w:hAnsi="宋体" w:eastAsia="宋体" w:cs="宋体"/>
                <w:b w:val="0"/>
                <w:bCs w:val="0"/>
                <w:color w:val="000000"/>
                <w:sz w:val="16"/>
                <w:szCs w:val="16"/>
              </w:rPr>
              <w:t>用户</w:t>
            </w:r>
          </w:p>
        </w:tc>
        <w:tc>
          <w:tcPr>
            <w:tcW w:w="1350" w:type="dxa"/>
            <w:shd w:val="clear" w:color="auto" w:fill="FFFFFF"/>
            <w:vAlign w:val="center"/>
          </w:tcPr>
          <w:p w14:paraId="7F576DD2">
            <w:pPr>
              <w:spacing w:before="0" w:after="0" w:line="240" w:lineRule="auto"/>
              <w:ind w:left="0" w:right="0" w:firstLine="0" w:firstLineChars="0"/>
              <w:jc w:val="left"/>
            </w:pPr>
            <w:r>
              <w:rPr>
                <w:rFonts w:ascii="宋体" w:hAnsi="宋体" w:eastAsia="宋体" w:cs="宋体"/>
                <w:b w:val="0"/>
                <w:bCs w:val="0"/>
                <w:color w:val="000000"/>
                <w:sz w:val="16"/>
                <w:szCs w:val="16"/>
              </w:rPr>
              <w:t>输入：自然语言问题或语音转写</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输出：问答任务</w:t>
            </w:r>
          </w:p>
        </w:tc>
        <w:tc>
          <w:tcPr>
            <w:tcW w:w="2000" w:type="dxa"/>
            <w:shd w:val="clear" w:color="auto" w:fill="FFFFFF"/>
            <w:vAlign w:val="center"/>
          </w:tcPr>
          <w:p w14:paraId="03B2AB0F">
            <w:pPr>
              <w:spacing w:before="0" w:after="0" w:line="240" w:lineRule="auto"/>
              <w:ind w:left="0" w:right="0" w:firstLine="0" w:firstLineChars="0"/>
              <w:jc w:val="left"/>
            </w:pPr>
            <w:r>
              <w:rPr>
                <w:rFonts w:ascii="宋体" w:hAnsi="宋体" w:eastAsia="宋体" w:cs="宋体"/>
                <w:b w:val="0"/>
                <w:bCs w:val="0"/>
                <w:color w:val="000000"/>
                <w:sz w:val="16"/>
                <w:szCs w:val="16"/>
              </w:rPr>
              <w:t>用户发起综合数据问答。</w:t>
            </w:r>
          </w:p>
        </w:tc>
        <w:tc>
          <w:tcPr>
            <w:tcW w:w="1072" w:type="dxa"/>
            <w:shd w:val="clear" w:color="auto" w:fill="FFFFFF"/>
            <w:vAlign w:val="center"/>
          </w:tcPr>
          <w:p w14:paraId="5B26E5CB">
            <w:pPr>
              <w:spacing w:before="0" w:after="0" w:line="240" w:lineRule="auto"/>
              <w:ind w:left="0" w:right="0" w:firstLine="0" w:firstLineChars="0"/>
              <w:jc w:val="left"/>
            </w:pPr>
            <w:r>
              <w:rPr>
                <w:rFonts w:ascii="宋体" w:hAnsi="宋体" w:eastAsia="宋体" w:cs="宋体"/>
                <w:b w:val="0"/>
                <w:bCs w:val="0"/>
                <w:color w:val="000000"/>
                <w:sz w:val="16"/>
                <w:szCs w:val="16"/>
              </w:rPr>
              <w:t>→02</w:t>
            </w:r>
          </w:p>
        </w:tc>
        <w:tc>
          <w:tcPr>
            <w:tcW w:w="2000" w:type="dxa"/>
            <w:shd w:val="clear" w:color="auto" w:fill="FFFFFF"/>
            <w:vAlign w:val="center"/>
          </w:tcPr>
          <w:p w14:paraId="53E96D70">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7B3B09BA">
        <w:trPr>
          <w:cantSplit/>
          <w:jc w:val="center"/>
        </w:trPr>
        <w:tc>
          <w:tcPr>
            <w:tcW w:w="650" w:type="dxa"/>
            <w:shd w:val="clear" w:color="auto" w:fill="FFFFFF"/>
            <w:vAlign w:val="center"/>
          </w:tcPr>
          <w:p w14:paraId="2E7DE83E">
            <w:pPr>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6C1BA387">
            <w:pPr>
              <w:spacing w:before="0" w:after="0" w:line="240" w:lineRule="auto"/>
              <w:ind w:left="0" w:right="0" w:firstLine="0" w:firstLineChars="0"/>
              <w:jc w:val="center"/>
            </w:pPr>
            <w:r>
              <w:rPr>
                <w:rFonts w:ascii="宋体" w:hAnsi="宋体" w:eastAsia="宋体" w:cs="宋体"/>
                <w:b w:val="0"/>
                <w:bCs w:val="0"/>
                <w:color w:val="000000"/>
                <w:sz w:val="16"/>
                <w:szCs w:val="16"/>
              </w:rPr>
              <w:t>对象识别与消歧</w:t>
            </w:r>
          </w:p>
        </w:tc>
        <w:tc>
          <w:tcPr>
            <w:tcW w:w="950" w:type="dxa"/>
            <w:shd w:val="clear" w:color="auto" w:fill="FFFFFF"/>
            <w:vAlign w:val="center"/>
          </w:tcPr>
          <w:p w14:paraId="0393D7B4">
            <w:pPr>
              <w:spacing w:before="0" w:after="0" w:line="240" w:lineRule="auto"/>
              <w:ind w:left="0" w:right="0" w:firstLine="0" w:firstLineChars="0"/>
              <w:jc w:val="center"/>
            </w:pPr>
            <w:r>
              <w:rPr>
                <w:rFonts w:ascii="宋体" w:hAnsi="宋体" w:eastAsia="宋体" w:cs="宋体"/>
                <w:b w:val="0"/>
                <w:bCs w:val="0"/>
                <w:color w:val="000000"/>
                <w:sz w:val="16"/>
                <w:szCs w:val="16"/>
              </w:rPr>
              <w:t>主智能体</w:t>
            </w:r>
          </w:p>
        </w:tc>
        <w:tc>
          <w:tcPr>
            <w:tcW w:w="1350" w:type="dxa"/>
            <w:shd w:val="clear" w:color="auto" w:fill="FFFFFF"/>
            <w:vAlign w:val="center"/>
          </w:tcPr>
          <w:p w14:paraId="0700D327">
            <w:pPr>
              <w:spacing w:before="0" w:after="0" w:line="240" w:lineRule="auto"/>
              <w:ind w:left="0" w:right="0" w:firstLine="0" w:firstLineChars="0"/>
              <w:jc w:val="left"/>
            </w:pPr>
            <w:r>
              <w:rPr>
                <w:rFonts w:ascii="宋体" w:hAnsi="宋体" w:eastAsia="宋体" w:cs="宋体"/>
                <w:b w:val="0"/>
                <w:bCs w:val="0"/>
                <w:color w:val="000000"/>
                <w:sz w:val="16"/>
                <w:szCs w:val="16"/>
              </w:rPr>
              <w:t>输入：问答任务</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输出：已确认对象或待确认事项</w:t>
            </w:r>
          </w:p>
        </w:tc>
        <w:tc>
          <w:tcPr>
            <w:tcW w:w="2000" w:type="dxa"/>
            <w:shd w:val="clear" w:color="auto" w:fill="FFFFFF"/>
            <w:vAlign w:val="center"/>
          </w:tcPr>
          <w:p w14:paraId="71A0E473">
            <w:pPr>
              <w:spacing w:before="0" w:after="0" w:line="240" w:lineRule="auto"/>
              <w:ind w:left="0" w:right="0" w:firstLine="0" w:firstLineChars="0"/>
              <w:jc w:val="left"/>
            </w:pPr>
            <w:r>
              <w:rPr>
                <w:rFonts w:ascii="宋体" w:hAnsi="宋体" w:eastAsia="宋体" w:cs="宋体"/>
                <w:b w:val="0"/>
                <w:bCs w:val="0"/>
                <w:color w:val="000000"/>
                <w:sz w:val="16"/>
                <w:szCs w:val="16"/>
              </w:rPr>
              <w:t>识别问题中的业务对象，并判断是否存在同名对象或条件不足。</w:t>
            </w:r>
          </w:p>
        </w:tc>
        <w:tc>
          <w:tcPr>
            <w:tcW w:w="1072" w:type="dxa"/>
            <w:shd w:val="clear" w:color="auto" w:fill="FFFFFF"/>
            <w:vAlign w:val="center"/>
          </w:tcPr>
          <w:p w14:paraId="4D26F85E">
            <w:pPr>
              <w:spacing w:before="0" w:after="0" w:line="240" w:lineRule="auto"/>
              <w:ind w:left="0" w:right="0" w:firstLine="0" w:firstLineChars="0"/>
              <w:jc w:val="left"/>
            </w:pPr>
            <w:r>
              <w:rPr>
                <w:rFonts w:ascii="宋体" w:hAnsi="宋体" w:eastAsia="宋体" w:cs="宋体"/>
                <w:b w:val="0"/>
                <w:bCs w:val="0"/>
                <w:color w:val="000000"/>
                <w:sz w:val="16"/>
                <w:szCs w:val="16"/>
              </w:rPr>
              <w:t>待确认→03；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对象明确→04</w:t>
            </w:r>
          </w:p>
        </w:tc>
        <w:tc>
          <w:tcPr>
            <w:tcW w:w="2000" w:type="dxa"/>
            <w:shd w:val="clear" w:color="auto" w:fill="FFFFFF"/>
            <w:vAlign w:val="center"/>
          </w:tcPr>
          <w:p w14:paraId="78861BCE">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p>
        </w:tc>
      </w:tr>
      <w:tr w14:paraId="2E96ADB4">
        <w:trPr>
          <w:cantSplit/>
          <w:jc w:val="center"/>
        </w:trPr>
        <w:tc>
          <w:tcPr>
            <w:tcW w:w="650" w:type="dxa"/>
            <w:shd w:val="clear" w:color="auto" w:fill="FFFFFF"/>
            <w:vAlign w:val="center"/>
          </w:tcPr>
          <w:p w14:paraId="5B238687">
            <w:pPr>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32B71825">
            <w:pPr>
              <w:spacing w:before="0" w:after="0" w:line="240" w:lineRule="auto"/>
              <w:ind w:left="0" w:right="0" w:firstLine="0" w:firstLineChars="0"/>
              <w:jc w:val="center"/>
            </w:pPr>
            <w:r>
              <w:rPr>
                <w:rFonts w:ascii="宋体" w:hAnsi="宋体" w:eastAsia="宋体" w:cs="宋体"/>
                <w:b w:val="0"/>
                <w:bCs w:val="0"/>
                <w:color w:val="000000"/>
                <w:sz w:val="16"/>
                <w:szCs w:val="16"/>
              </w:rPr>
              <w:t>追问确认</w:t>
            </w:r>
          </w:p>
        </w:tc>
        <w:tc>
          <w:tcPr>
            <w:tcW w:w="950" w:type="dxa"/>
            <w:shd w:val="clear" w:color="auto" w:fill="FFFFFF"/>
            <w:vAlign w:val="center"/>
          </w:tcPr>
          <w:p w14:paraId="0EB842AF">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2C0DA016">
            <w:pPr>
              <w:spacing w:before="0" w:after="0" w:line="240" w:lineRule="auto"/>
              <w:ind w:left="0" w:right="0" w:firstLine="0" w:firstLineChars="0"/>
              <w:jc w:val="left"/>
            </w:pPr>
            <w:r>
              <w:rPr>
                <w:rFonts w:ascii="宋体" w:hAnsi="宋体" w:eastAsia="宋体" w:cs="宋体"/>
                <w:b w:val="0"/>
                <w:bCs w:val="0"/>
                <w:color w:val="000000"/>
                <w:sz w:val="16"/>
                <w:szCs w:val="16"/>
              </w:rPr>
              <w:t>输入：待确认事项</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输出：确认后的对象或补充条件</w:t>
            </w:r>
          </w:p>
        </w:tc>
        <w:tc>
          <w:tcPr>
            <w:tcW w:w="2000" w:type="dxa"/>
            <w:shd w:val="clear" w:color="auto" w:fill="FFFFFF"/>
            <w:vAlign w:val="center"/>
          </w:tcPr>
          <w:p w14:paraId="62889623">
            <w:pPr>
              <w:spacing w:before="0" w:after="0" w:line="240" w:lineRule="auto"/>
              <w:ind w:left="0" w:right="0" w:firstLine="0" w:firstLineChars="0"/>
              <w:jc w:val="left"/>
            </w:pPr>
            <w:r>
              <w:rPr>
                <w:rFonts w:ascii="宋体" w:hAnsi="宋体" w:eastAsia="宋体" w:cs="宋体"/>
                <w:b w:val="0"/>
                <w:bCs w:val="0"/>
                <w:color w:val="000000"/>
                <w:sz w:val="16"/>
                <w:szCs w:val="16"/>
              </w:rPr>
              <w:t>平台追问，用户确认对象或补充查询条件后返回对象识别。</w:t>
            </w:r>
          </w:p>
        </w:tc>
        <w:tc>
          <w:tcPr>
            <w:tcW w:w="1072" w:type="dxa"/>
            <w:shd w:val="clear" w:color="auto" w:fill="FFFFFF"/>
            <w:vAlign w:val="center"/>
          </w:tcPr>
          <w:p w14:paraId="0CDB5676">
            <w:pPr>
              <w:spacing w:before="0" w:after="0" w:line="240" w:lineRule="auto"/>
              <w:ind w:left="0" w:right="0" w:firstLine="0" w:firstLineChars="0"/>
              <w:jc w:val="left"/>
            </w:pPr>
            <w:r>
              <w:rPr>
                <w:rFonts w:ascii="宋体" w:hAnsi="宋体" w:eastAsia="宋体" w:cs="宋体"/>
                <w:b w:val="0"/>
                <w:bCs w:val="0"/>
                <w:color w:val="000000"/>
                <w:sz w:val="16"/>
                <w:szCs w:val="16"/>
              </w:rPr>
              <w:t>补充后→02</w:t>
            </w:r>
          </w:p>
        </w:tc>
        <w:tc>
          <w:tcPr>
            <w:tcW w:w="2000" w:type="dxa"/>
            <w:shd w:val="clear" w:color="auto" w:fill="FFFFFF"/>
            <w:vAlign w:val="center"/>
          </w:tcPr>
          <w:p w14:paraId="6B320292">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p>
        </w:tc>
      </w:tr>
      <w:tr w14:paraId="659F15B4">
        <w:trPr>
          <w:cantSplit/>
          <w:jc w:val="center"/>
        </w:trPr>
        <w:tc>
          <w:tcPr>
            <w:tcW w:w="650" w:type="dxa"/>
            <w:shd w:val="clear" w:color="auto" w:fill="FFFFFF"/>
            <w:vAlign w:val="center"/>
          </w:tcPr>
          <w:p w14:paraId="71C0390C">
            <w:pPr>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382753FC">
            <w:pPr>
              <w:spacing w:before="0" w:after="0" w:line="240" w:lineRule="auto"/>
              <w:ind w:left="0" w:right="0" w:firstLine="0" w:firstLineChars="0"/>
              <w:jc w:val="center"/>
            </w:pPr>
            <w:r>
              <w:rPr>
                <w:rFonts w:ascii="宋体" w:hAnsi="宋体" w:eastAsia="宋体" w:cs="宋体"/>
                <w:b w:val="0"/>
                <w:bCs w:val="0"/>
                <w:color w:val="000000"/>
                <w:sz w:val="16"/>
                <w:szCs w:val="16"/>
              </w:rPr>
              <w:t>意图识别与能力匹配</w:t>
            </w:r>
          </w:p>
        </w:tc>
        <w:tc>
          <w:tcPr>
            <w:tcW w:w="950" w:type="dxa"/>
            <w:shd w:val="clear" w:color="auto" w:fill="FFFFFF"/>
            <w:vAlign w:val="center"/>
          </w:tcPr>
          <w:p w14:paraId="1F858426">
            <w:pPr>
              <w:spacing w:before="0" w:after="0" w:line="240" w:lineRule="auto"/>
              <w:ind w:left="0" w:right="0" w:firstLine="0" w:firstLineChars="0"/>
              <w:jc w:val="center"/>
            </w:pPr>
            <w:r>
              <w:rPr>
                <w:rFonts w:ascii="宋体" w:hAnsi="宋体" w:eastAsia="宋体" w:cs="宋体"/>
                <w:b w:val="0"/>
                <w:bCs w:val="0"/>
                <w:color w:val="000000"/>
                <w:sz w:val="16"/>
                <w:szCs w:val="16"/>
              </w:rPr>
              <w:t>主智能体</w:t>
            </w:r>
          </w:p>
        </w:tc>
        <w:tc>
          <w:tcPr>
            <w:tcW w:w="1350" w:type="dxa"/>
            <w:shd w:val="clear" w:color="auto" w:fill="FFFFFF"/>
            <w:vAlign w:val="center"/>
          </w:tcPr>
          <w:p w14:paraId="5189F530">
            <w:pPr>
              <w:spacing w:before="0" w:after="0" w:line="240" w:lineRule="auto"/>
              <w:ind w:left="0" w:right="0" w:firstLine="0" w:firstLineChars="0"/>
              <w:jc w:val="left"/>
            </w:pPr>
            <w:r>
              <w:rPr>
                <w:rFonts w:ascii="宋体" w:hAnsi="宋体" w:eastAsia="宋体" w:cs="宋体"/>
                <w:b w:val="0"/>
                <w:bCs w:val="0"/>
                <w:color w:val="000000"/>
                <w:sz w:val="16"/>
                <w:szCs w:val="16"/>
              </w:rPr>
              <w:t>输入：已确认的问题</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输出：场景处理任务</w:t>
            </w:r>
          </w:p>
        </w:tc>
        <w:tc>
          <w:tcPr>
            <w:tcW w:w="2000" w:type="dxa"/>
            <w:shd w:val="clear" w:color="auto" w:fill="FFFFFF"/>
            <w:vAlign w:val="center"/>
          </w:tcPr>
          <w:p w14:paraId="21788583">
            <w:pPr>
              <w:spacing w:before="0" w:after="0" w:line="240" w:lineRule="auto"/>
              <w:ind w:left="0" w:right="0" w:firstLine="0" w:firstLineChars="0"/>
              <w:jc w:val="left"/>
            </w:pPr>
            <w:r>
              <w:rPr>
                <w:rFonts w:ascii="宋体" w:hAnsi="宋体" w:eastAsia="宋体" w:cs="宋体"/>
                <w:b w:val="0"/>
                <w:bCs w:val="0"/>
                <w:color w:val="000000"/>
                <w:sz w:val="16"/>
                <w:szCs w:val="16"/>
              </w:rPr>
              <w:t>按对象、意图与能力登记卡路由；跨领域问题按5.4.1拆解、分派并汇总。</w:t>
            </w:r>
          </w:p>
        </w:tc>
        <w:tc>
          <w:tcPr>
            <w:tcW w:w="1072" w:type="dxa"/>
            <w:shd w:val="clear" w:color="auto" w:fill="FFFFFF"/>
            <w:vAlign w:val="center"/>
          </w:tcPr>
          <w:p w14:paraId="3AF19CFA">
            <w:pPr>
              <w:spacing w:before="0" w:after="0" w:line="240" w:lineRule="auto"/>
              <w:ind w:left="0" w:right="0" w:firstLine="0" w:firstLineChars="0"/>
              <w:jc w:val="left"/>
            </w:pPr>
            <w:r>
              <w:rPr>
                <w:rFonts w:ascii="宋体" w:hAnsi="宋体" w:eastAsia="宋体" w:cs="宋体"/>
                <w:b w:val="0"/>
                <w:bCs w:val="0"/>
                <w:color w:val="000000"/>
                <w:sz w:val="16"/>
                <w:szCs w:val="16"/>
              </w:rPr>
              <w:t>→05</w:t>
            </w:r>
          </w:p>
        </w:tc>
        <w:tc>
          <w:tcPr>
            <w:tcW w:w="2000" w:type="dxa"/>
            <w:shd w:val="clear" w:color="auto" w:fill="FFFFFF"/>
            <w:vAlign w:val="center"/>
          </w:tcPr>
          <w:p w14:paraId="111D09A3">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P-ZLTC-AI-ZNWS-101-04-001</w:t>
            </w:r>
          </w:p>
        </w:tc>
      </w:tr>
      <w:tr w14:paraId="73B2F9F7">
        <w:trPr>
          <w:cantSplit/>
          <w:jc w:val="center"/>
        </w:trPr>
        <w:tc>
          <w:tcPr>
            <w:tcW w:w="650" w:type="dxa"/>
            <w:shd w:val="clear" w:color="auto" w:fill="FFFFFF"/>
            <w:vAlign w:val="center"/>
          </w:tcPr>
          <w:p w14:paraId="30412815">
            <w:pPr>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3D77CC5E">
            <w:pPr>
              <w:spacing w:before="0" w:after="0" w:line="240" w:lineRule="auto"/>
              <w:ind w:left="0" w:right="0" w:firstLine="0" w:firstLineChars="0"/>
              <w:jc w:val="center"/>
            </w:pPr>
            <w:r>
              <w:rPr>
                <w:rFonts w:ascii="宋体" w:hAnsi="宋体" w:eastAsia="宋体" w:cs="宋体"/>
                <w:b w:val="0"/>
                <w:bCs w:val="0"/>
                <w:color w:val="000000"/>
                <w:sz w:val="16"/>
                <w:szCs w:val="16"/>
              </w:rPr>
              <w:t>查找取数方式</w:t>
            </w:r>
          </w:p>
        </w:tc>
        <w:tc>
          <w:tcPr>
            <w:tcW w:w="950" w:type="dxa"/>
            <w:shd w:val="clear" w:color="auto" w:fill="FFFFFF"/>
            <w:vAlign w:val="center"/>
          </w:tcPr>
          <w:p w14:paraId="6EB58E8C">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2EF34775">
            <w:pPr>
              <w:spacing w:before="0" w:after="0" w:line="240" w:lineRule="auto"/>
              <w:ind w:left="0" w:right="0" w:firstLine="0" w:firstLineChars="0"/>
              <w:jc w:val="left"/>
            </w:pPr>
            <w:r>
              <w:rPr>
                <w:rFonts w:ascii="宋体" w:hAnsi="宋体" w:eastAsia="宋体" w:cs="宋体"/>
                <w:b w:val="0"/>
                <w:bCs w:val="0"/>
                <w:color w:val="000000"/>
                <w:sz w:val="16"/>
                <w:szCs w:val="16"/>
              </w:rPr>
              <w:t>输入：场景处理任务、已配置的取数方式（查询模板）</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输出：匹配的取数方式或未找到匹配方式</w:t>
            </w:r>
          </w:p>
        </w:tc>
        <w:tc>
          <w:tcPr>
            <w:tcW w:w="2000" w:type="dxa"/>
            <w:shd w:val="clear" w:color="auto" w:fill="FFFFFF"/>
            <w:vAlign w:val="center"/>
          </w:tcPr>
          <w:p w14:paraId="08A3F92C">
            <w:pPr>
              <w:spacing w:before="0" w:after="0" w:line="240" w:lineRule="auto"/>
              <w:ind w:left="0" w:right="0" w:firstLine="0" w:firstLineChars="0"/>
              <w:jc w:val="left"/>
            </w:pPr>
            <w:r>
              <w:rPr>
                <w:rFonts w:ascii="宋体" w:hAnsi="宋体" w:eastAsia="宋体" w:cs="宋体"/>
                <w:b w:val="0"/>
                <w:bCs w:val="0"/>
                <w:color w:val="000000"/>
                <w:sz w:val="16"/>
                <w:szCs w:val="16"/>
              </w:rPr>
              <w:t>根据已确认的对象、指标和时间条件，查找与问题匹配的取数方式。取数方式以查询模板预先配置，找到后按模板读取对应数据；未找到时记录所需数据的接入需求。</w:t>
            </w:r>
          </w:p>
        </w:tc>
        <w:tc>
          <w:tcPr>
            <w:tcW w:w="1072" w:type="dxa"/>
            <w:shd w:val="clear" w:color="auto" w:fill="FFFFFF"/>
            <w:vAlign w:val="center"/>
          </w:tcPr>
          <w:p w14:paraId="340DC1F6">
            <w:pPr>
              <w:spacing w:before="0" w:after="0" w:line="240" w:lineRule="auto"/>
              <w:ind w:left="0" w:right="0" w:firstLine="0" w:firstLineChars="0"/>
              <w:jc w:val="left"/>
            </w:pPr>
            <w:r>
              <w:rPr>
                <w:rFonts w:ascii="宋体" w:hAnsi="宋体" w:eastAsia="宋体" w:cs="宋体"/>
                <w:b w:val="0"/>
                <w:bCs w:val="0"/>
                <w:color w:val="000000"/>
                <w:sz w:val="16"/>
                <w:szCs w:val="16"/>
              </w:rPr>
              <w:t>模板未命中→06；</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模板命中→08</w:t>
            </w:r>
          </w:p>
        </w:tc>
        <w:tc>
          <w:tcPr>
            <w:tcW w:w="2000" w:type="dxa"/>
            <w:shd w:val="clear" w:color="auto" w:fill="FFFFFF"/>
            <w:vAlign w:val="center"/>
          </w:tcPr>
          <w:p w14:paraId="20E3FA46">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0FFE3C0F">
        <w:trPr>
          <w:cantSplit/>
          <w:jc w:val="center"/>
        </w:trPr>
        <w:tc>
          <w:tcPr>
            <w:tcW w:w="650" w:type="dxa"/>
            <w:shd w:val="clear" w:color="auto" w:fill="FFFFFF"/>
            <w:vAlign w:val="center"/>
          </w:tcPr>
          <w:p w14:paraId="15127763">
            <w:pPr>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44A35053">
            <w:pPr>
              <w:spacing w:before="0" w:after="0" w:line="240" w:lineRule="auto"/>
              <w:ind w:left="0" w:right="0" w:firstLine="0" w:firstLineChars="0"/>
              <w:jc w:val="center"/>
            </w:pPr>
            <w:r>
              <w:rPr>
                <w:rFonts w:ascii="宋体" w:hAnsi="宋体" w:eastAsia="宋体" w:cs="宋体"/>
                <w:b w:val="0"/>
                <w:bCs w:val="0"/>
                <w:color w:val="000000"/>
                <w:sz w:val="16"/>
                <w:szCs w:val="16"/>
              </w:rPr>
              <w:t>记录数据接入需求线索</w:t>
            </w:r>
          </w:p>
        </w:tc>
        <w:tc>
          <w:tcPr>
            <w:tcW w:w="950" w:type="dxa"/>
            <w:shd w:val="clear" w:color="auto" w:fill="FFFFFF"/>
            <w:vAlign w:val="center"/>
          </w:tcPr>
          <w:p w14:paraId="7DAA38DF">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00F5A6D7">
            <w:pPr>
              <w:spacing w:before="0" w:after="0" w:line="240" w:lineRule="auto"/>
              <w:ind w:left="0" w:right="0" w:firstLine="0" w:firstLineChars="0"/>
              <w:jc w:val="left"/>
            </w:pPr>
            <w:r>
              <w:rPr>
                <w:rFonts w:ascii="宋体" w:hAnsi="宋体" w:eastAsia="宋体" w:cs="宋体"/>
                <w:b w:val="0"/>
                <w:bCs w:val="0"/>
                <w:color w:val="000000"/>
                <w:sz w:val="16"/>
                <w:szCs w:val="16"/>
              </w:rPr>
              <w:t>输入：未命中的查询需求</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输出：数据接入需求线索</w:t>
            </w:r>
          </w:p>
        </w:tc>
        <w:tc>
          <w:tcPr>
            <w:tcW w:w="2000" w:type="dxa"/>
            <w:shd w:val="clear" w:color="auto" w:fill="FFFFFF"/>
            <w:vAlign w:val="center"/>
          </w:tcPr>
          <w:p w14:paraId="6B784AF3">
            <w:pPr>
              <w:spacing w:before="0" w:after="0" w:line="240" w:lineRule="auto"/>
              <w:ind w:left="0" w:right="0" w:firstLine="0" w:firstLineChars="0"/>
              <w:jc w:val="left"/>
            </w:pPr>
            <w:r>
              <w:rPr>
                <w:rFonts w:ascii="宋体" w:hAnsi="宋体" w:eastAsia="宋体" w:cs="宋体"/>
                <w:b w:val="0"/>
                <w:bCs w:val="0"/>
                <w:color w:val="000000"/>
                <w:sz w:val="16"/>
                <w:szCs w:val="16"/>
              </w:rPr>
              <w:t>将未找到匹配取数方式的查询需求记录为数据接入线索，保留问题、对象、所需字段和提出人，按5.6.2完成数据补齐与验证，并按5.4.2及6.7跟踪处理结果和反馈。</w:t>
            </w:r>
          </w:p>
        </w:tc>
        <w:tc>
          <w:tcPr>
            <w:tcW w:w="1072" w:type="dxa"/>
            <w:shd w:val="clear" w:color="auto" w:fill="FFFFFF"/>
            <w:vAlign w:val="center"/>
          </w:tcPr>
          <w:p w14:paraId="1E23CBEB">
            <w:pPr>
              <w:spacing w:before="0" w:after="0" w:line="240" w:lineRule="auto"/>
              <w:ind w:left="0" w:right="0" w:firstLine="0" w:firstLineChars="0"/>
              <w:jc w:val="left"/>
            </w:pPr>
            <w:r>
              <w:rPr>
                <w:rFonts w:ascii="宋体" w:hAnsi="宋体" w:eastAsia="宋体" w:cs="宋体"/>
                <w:b w:val="0"/>
                <w:bCs w:val="0"/>
                <w:color w:val="000000"/>
                <w:sz w:val="16"/>
                <w:szCs w:val="16"/>
              </w:rPr>
              <w:t>→07</w:t>
            </w:r>
          </w:p>
        </w:tc>
        <w:tc>
          <w:tcPr>
            <w:tcW w:w="2000" w:type="dxa"/>
            <w:shd w:val="clear" w:color="auto" w:fill="FFFFFF"/>
            <w:vAlign w:val="center"/>
          </w:tcPr>
          <w:p w14:paraId="3DC73497">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P-ZLTC-AI-ZNWS-101-06-001</w:t>
            </w:r>
          </w:p>
        </w:tc>
      </w:tr>
      <w:tr w14:paraId="7C92EC0E">
        <w:trPr>
          <w:cantSplit/>
          <w:jc w:val="center"/>
        </w:trPr>
        <w:tc>
          <w:tcPr>
            <w:tcW w:w="650" w:type="dxa"/>
            <w:shd w:val="clear" w:color="auto" w:fill="FFFFFF"/>
            <w:vAlign w:val="center"/>
          </w:tcPr>
          <w:p w14:paraId="3D305EF0">
            <w:pPr>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76F294D8">
            <w:pPr>
              <w:spacing w:before="0" w:after="0" w:line="240" w:lineRule="auto"/>
              <w:ind w:left="0" w:right="0" w:firstLine="0" w:firstLineChars="0"/>
              <w:jc w:val="center"/>
            </w:pPr>
            <w:r>
              <w:rPr>
                <w:rFonts w:ascii="宋体" w:hAnsi="宋体" w:eastAsia="宋体" w:cs="宋体"/>
                <w:b w:val="0"/>
                <w:bCs w:val="0"/>
                <w:color w:val="000000"/>
                <w:sz w:val="16"/>
                <w:szCs w:val="16"/>
              </w:rPr>
              <w:t>说明数据尚未接入</w:t>
            </w:r>
          </w:p>
        </w:tc>
        <w:tc>
          <w:tcPr>
            <w:tcW w:w="950" w:type="dxa"/>
            <w:shd w:val="clear" w:color="auto" w:fill="FFFFFF"/>
            <w:vAlign w:val="center"/>
          </w:tcPr>
          <w:p w14:paraId="1CE1BA41">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3F012E6E">
            <w:pPr>
              <w:spacing w:before="0" w:after="0" w:line="240" w:lineRule="auto"/>
              <w:ind w:left="0" w:right="0" w:firstLine="0" w:firstLineChars="0"/>
              <w:jc w:val="left"/>
            </w:pPr>
            <w:r>
              <w:rPr>
                <w:rFonts w:ascii="宋体" w:hAnsi="宋体" w:eastAsia="宋体" w:cs="宋体"/>
                <w:b w:val="0"/>
                <w:bCs w:val="0"/>
                <w:color w:val="000000"/>
                <w:sz w:val="16"/>
                <w:szCs w:val="16"/>
              </w:rPr>
              <w:t>输入：数据接入需求线索、当前覆盖范围</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输出：如实说明</w:t>
            </w:r>
          </w:p>
        </w:tc>
        <w:tc>
          <w:tcPr>
            <w:tcW w:w="2000" w:type="dxa"/>
            <w:shd w:val="clear" w:color="auto" w:fill="FFFFFF"/>
            <w:vAlign w:val="center"/>
          </w:tcPr>
          <w:p w14:paraId="61637977">
            <w:pPr>
              <w:spacing w:before="0" w:after="0" w:line="240" w:lineRule="auto"/>
              <w:ind w:left="0" w:right="0" w:firstLine="0" w:firstLineChars="0"/>
              <w:jc w:val="left"/>
            </w:pPr>
            <w:r>
              <w:rPr>
                <w:rFonts w:ascii="宋体" w:hAnsi="宋体" w:eastAsia="宋体" w:cs="宋体"/>
                <w:b w:val="0"/>
                <w:bCs w:val="0"/>
                <w:color w:val="000000"/>
                <w:sz w:val="16"/>
                <w:szCs w:val="16"/>
              </w:rPr>
              <w:t>说明本次所需数据尚未接入及已取得的可用信息；用户可调整对象、时段或其他条件重新提问。</w:t>
            </w:r>
          </w:p>
        </w:tc>
        <w:tc>
          <w:tcPr>
            <w:tcW w:w="1072" w:type="dxa"/>
            <w:shd w:val="clear" w:color="auto" w:fill="FFFFFF"/>
            <w:vAlign w:val="center"/>
          </w:tcPr>
          <w:p w14:paraId="2F6F6B6B">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2E4E1C98">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p>
        </w:tc>
      </w:tr>
      <w:tr w14:paraId="7392286C">
        <w:trPr>
          <w:cantSplit/>
          <w:jc w:val="center"/>
        </w:trPr>
        <w:tc>
          <w:tcPr>
            <w:tcW w:w="650" w:type="dxa"/>
            <w:shd w:val="clear" w:color="auto" w:fill="FFFFFF"/>
            <w:vAlign w:val="center"/>
          </w:tcPr>
          <w:p w14:paraId="7F2CC21E">
            <w:pPr>
              <w:spacing w:before="0" w:after="0" w:line="240" w:lineRule="auto"/>
              <w:ind w:left="0" w:right="0" w:firstLine="0" w:firstLineChars="0"/>
              <w:jc w:val="center"/>
            </w:pPr>
            <w:r>
              <w:rPr>
                <w:rFonts w:ascii="宋体" w:hAnsi="宋体" w:eastAsia="宋体" w:cs="宋体"/>
                <w:b w:val="0"/>
                <w:bCs w:val="0"/>
                <w:color w:val="000000"/>
                <w:sz w:val="16"/>
                <w:szCs w:val="16"/>
              </w:rPr>
              <w:t>08</w:t>
            </w:r>
          </w:p>
        </w:tc>
        <w:tc>
          <w:tcPr>
            <w:tcW w:w="1050" w:type="dxa"/>
            <w:shd w:val="clear" w:color="auto" w:fill="FFFFFF"/>
            <w:vAlign w:val="center"/>
          </w:tcPr>
          <w:p w14:paraId="6AFDE66F">
            <w:pPr>
              <w:spacing w:before="0" w:after="0" w:line="240" w:lineRule="auto"/>
              <w:ind w:left="0" w:right="0" w:firstLine="0" w:firstLineChars="0"/>
              <w:jc w:val="center"/>
            </w:pPr>
            <w:r>
              <w:rPr>
                <w:rFonts w:ascii="宋体" w:hAnsi="宋体" w:eastAsia="宋体" w:cs="宋体"/>
                <w:b w:val="0"/>
                <w:bCs w:val="0"/>
                <w:color w:val="000000"/>
                <w:sz w:val="16"/>
                <w:szCs w:val="16"/>
              </w:rPr>
              <w:t>携带用户身份取数</w:t>
            </w:r>
          </w:p>
        </w:tc>
        <w:tc>
          <w:tcPr>
            <w:tcW w:w="950" w:type="dxa"/>
            <w:shd w:val="clear" w:color="auto" w:fill="FFFFFF"/>
            <w:vAlign w:val="center"/>
          </w:tcPr>
          <w:p w14:paraId="60B58B5E">
            <w:pPr>
              <w:spacing w:before="0" w:after="0" w:line="240" w:lineRule="auto"/>
              <w:ind w:left="0" w:right="0" w:firstLine="0" w:firstLineChars="0"/>
              <w:jc w:val="center"/>
            </w:pPr>
            <w:r>
              <w:rPr>
                <w:rFonts w:ascii="宋体" w:hAnsi="宋体" w:eastAsia="宋体" w:cs="宋体"/>
                <w:b w:val="0"/>
                <w:bCs w:val="0"/>
                <w:color w:val="000000"/>
                <w:sz w:val="16"/>
                <w:szCs w:val="16"/>
              </w:rPr>
              <w:t>数据授权服务</w:t>
            </w:r>
          </w:p>
        </w:tc>
        <w:tc>
          <w:tcPr>
            <w:tcW w:w="1350" w:type="dxa"/>
            <w:shd w:val="clear" w:color="auto" w:fill="FFFFFF"/>
            <w:vAlign w:val="center"/>
          </w:tcPr>
          <w:p w14:paraId="3276EDDB">
            <w:pPr>
              <w:spacing w:before="0" w:after="0" w:line="240" w:lineRule="auto"/>
              <w:ind w:left="0" w:right="0" w:firstLine="0" w:firstLineChars="0"/>
              <w:jc w:val="left"/>
            </w:pPr>
            <w:r>
              <w:rPr>
                <w:rFonts w:ascii="宋体" w:hAnsi="宋体" w:eastAsia="宋体" w:cs="宋体"/>
                <w:b w:val="0"/>
                <w:bCs w:val="0"/>
                <w:color w:val="000000"/>
                <w:sz w:val="16"/>
                <w:szCs w:val="16"/>
              </w:rPr>
              <w:t>输入：匹配的取数方式（查询模板）、最终用户身份、已同步业务授权</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输出：权限及取数状态</w:t>
            </w:r>
          </w:p>
        </w:tc>
        <w:tc>
          <w:tcPr>
            <w:tcW w:w="2000" w:type="dxa"/>
            <w:shd w:val="clear" w:color="auto" w:fill="FFFFFF"/>
            <w:vAlign w:val="center"/>
          </w:tcPr>
          <w:p w14:paraId="5DF93C63">
            <w:pPr>
              <w:spacing w:before="0" w:after="0" w:line="240" w:lineRule="auto"/>
              <w:ind w:left="0" w:right="0" w:firstLine="0" w:firstLineChars="0"/>
              <w:jc w:val="left"/>
            </w:pPr>
            <w:r>
              <w:rPr>
                <w:rFonts w:ascii="宋体" w:hAnsi="宋体" w:eastAsia="宋体" w:cs="宋体"/>
                <w:b w:val="0"/>
                <w:bCs w:val="0"/>
                <w:color w:val="000000"/>
                <w:sz w:val="16"/>
                <w:szCs w:val="16"/>
              </w:rPr>
              <w:t>携带业务用户身份完成最终授权校验与取数。按对象和统计期优先读取已有核定结果，需核算时使用按确认口径形成的确定性结果，保留来源、截止时间及取数状态。数据经AI数据治理统一取得：生产工单和批次进度对应MES，工艺参数与运行状态对应DCS及实时数据库，设备档案和检修记录对应EAM；质量、能源、库存物流等问题按所匹配查询模板使用已确认的对应业务来源。实际结果逐项标注本次来源。</w:t>
            </w:r>
          </w:p>
        </w:tc>
        <w:tc>
          <w:tcPr>
            <w:tcW w:w="1072" w:type="dxa"/>
            <w:shd w:val="clear" w:color="auto" w:fill="FFFFFF"/>
            <w:vAlign w:val="center"/>
          </w:tcPr>
          <w:p w14:paraId="731C0E9B">
            <w:pPr>
              <w:spacing w:before="0" w:after="0" w:line="240" w:lineRule="auto"/>
              <w:ind w:left="0" w:right="0" w:firstLine="0" w:firstLineChars="0"/>
              <w:jc w:val="left"/>
            </w:pPr>
            <w:r>
              <w:rPr>
                <w:rFonts w:ascii="宋体" w:hAnsi="宋体" w:eastAsia="宋体" w:cs="宋体"/>
                <w:b w:val="0"/>
                <w:bCs w:val="0"/>
                <w:color w:val="000000"/>
                <w:sz w:val="16"/>
                <w:szCs w:val="16"/>
              </w:rPr>
              <w:t>无权限→09；</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无数据→10；</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正常结果→11；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执行失败→16</w:t>
            </w:r>
          </w:p>
        </w:tc>
        <w:tc>
          <w:tcPr>
            <w:tcW w:w="2000" w:type="dxa"/>
            <w:shd w:val="clear" w:color="auto" w:fill="FFFFFF"/>
            <w:vAlign w:val="center"/>
          </w:tcPr>
          <w:p w14:paraId="544818F9">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P-ZLTC-AI-ZNWS-101-08-004</w:t>
            </w:r>
          </w:p>
        </w:tc>
      </w:tr>
      <w:tr w14:paraId="14C524BB">
        <w:trPr>
          <w:cantSplit/>
          <w:jc w:val="center"/>
        </w:trPr>
        <w:tc>
          <w:tcPr>
            <w:tcW w:w="650" w:type="dxa"/>
            <w:shd w:val="clear" w:color="auto" w:fill="FFFFFF"/>
            <w:vAlign w:val="center"/>
          </w:tcPr>
          <w:p w14:paraId="1BD1E2E6">
            <w:pPr>
              <w:spacing w:before="0" w:after="0" w:line="240" w:lineRule="auto"/>
              <w:ind w:left="0" w:right="0" w:firstLine="0" w:firstLineChars="0"/>
              <w:jc w:val="center"/>
            </w:pPr>
            <w:r>
              <w:rPr>
                <w:rFonts w:ascii="宋体" w:hAnsi="宋体" w:eastAsia="宋体" w:cs="宋体"/>
                <w:b w:val="0"/>
                <w:bCs w:val="0"/>
                <w:color w:val="000000"/>
                <w:sz w:val="16"/>
                <w:szCs w:val="16"/>
              </w:rPr>
              <w:t>09</w:t>
            </w:r>
          </w:p>
        </w:tc>
        <w:tc>
          <w:tcPr>
            <w:tcW w:w="1050" w:type="dxa"/>
            <w:shd w:val="clear" w:color="auto" w:fill="FFFFFF"/>
            <w:vAlign w:val="center"/>
          </w:tcPr>
          <w:p w14:paraId="28DF6CB3">
            <w:pPr>
              <w:spacing w:before="0" w:after="0" w:line="240" w:lineRule="auto"/>
              <w:ind w:left="0" w:right="0" w:firstLine="0" w:firstLineChars="0"/>
              <w:jc w:val="center"/>
            </w:pPr>
            <w:r>
              <w:rPr>
                <w:rFonts w:ascii="宋体" w:hAnsi="宋体" w:eastAsia="宋体" w:cs="宋体"/>
                <w:b w:val="0"/>
                <w:bCs w:val="0"/>
                <w:color w:val="000000"/>
                <w:sz w:val="16"/>
                <w:szCs w:val="16"/>
              </w:rPr>
              <w:t>说明权限与申请指引</w:t>
            </w:r>
          </w:p>
        </w:tc>
        <w:tc>
          <w:tcPr>
            <w:tcW w:w="950" w:type="dxa"/>
            <w:shd w:val="clear" w:color="auto" w:fill="FFFFFF"/>
            <w:vAlign w:val="center"/>
          </w:tcPr>
          <w:p w14:paraId="6841595A">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6A124DC5">
            <w:pPr>
              <w:spacing w:before="0" w:after="0" w:line="240" w:lineRule="auto"/>
              <w:ind w:left="0" w:right="0" w:firstLine="0" w:firstLineChars="0"/>
              <w:jc w:val="left"/>
            </w:pPr>
            <w:r>
              <w:rPr>
                <w:rFonts w:ascii="宋体" w:hAnsi="宋体" w:eastAsia="宋体" w:cs="宋体"/>
                <w:b w:val="0"/>
                <w:bCs w:val="0"/>
                <w:color w:val="000000"/>
                <w:sz w:val="16"/>
                <w:szCs w:val="16"/>
              </w:rPr>
              <w:t>输入：无权限结果</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输出：拒答信息、权限申请指引</w:t>
            </w:r>
          </w:p>
        </w:tc>
        <w:tc>
          <w:tcPr>
            <w:tcW w:w="2000" w:type="dxa"/>
            <w:shd w:val="clear" w:color="auto" w:fill="FFFFFF"/>
            <w:vAlign w:val="center"/>
          </w:tcPr>
          <w:p w14:paraId="5AEACA8E">
            <w:pPr>
              <w:spacing w:before="0" w:after="0" w:line="240" w:lineRule="auto"/>
              <w:ind w:left="0" w:right="0" w:firstLine="0" w:firstLineChars="0"/>
              <w:jc w:val="left"/>
            </w:pPr>
            <w:r>
              <w:rPr>
                <w:rFonts w:ascii="宋体" w:hAnsi="宋体" w:eastAsia="宋体" w:cs="宋体"/>
                <w:b w:val="0"/>
                <w:bCs w:val="0"/>
                <w:color w:val="000000"/>
                <w:sz w:val="16"/>
                <w:szCs w:val="16"/>
              </w:rPr>
              <w:t>如实说明无查询权限，并附业主既有业务权限申请指引；确认后由具备维护权限的后台人员在AI优化平台配置业务授权，并将维护结果同步至统一数据服务层。</w:t>
            </w:r>
          </w:p>
        </w:tc>
        <w:tc>
          <w:tcPr>
            <w:tcW w:w="1072" w:type="dxa"/>
            <w:shd w:val="clear" w:color="auto" w:fill="FFFFFF"/>
            <w:vAlign w:val="center"/>
          </w:tcPr>
          <w:p w14:paraId="0C090165">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098F6E10">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p>
        </w:tc>
      </w:tr>
      <w:tr w14:paraId="7A11927C">
        <w:trPr>
          <w:cantSplit/>
          <w:jc w:val="center"/>
        </w:trPr>
        <w:tc>
          <w:tcPr>
            <w:tcW w:w="650" w:type="dxa"/>
            <w:shd w:val="clear" w:color="auto" w:fill="FFFFFF"/>
            <w:vAlign w:val="center"/>
          </w:tcPr>
          <w:p w14:paraId="7524954A">
            <w:pPr>
              <w:spacing w:before="0" w:after="0" w:line="240" w:lineRule="auto"/>
              <w:ind w:left="0" w:right="0" w:firstLine="0" w:firstLineChars="0"/>
              <w:jc w:val="center"/>
            </w:pPr>
            <w:r>
              <w:rPr>
                <w:rFonts w:ascii="宋体" w:hAnsi="宋体" w:eastAsia="宋体" w:cs="宋体"/>
                <w:b w:val="0"/>
                <w:bCs w:val="0"/>
                <w:color w:val="000000"/>
                <w:sz w:val="16"/>
                <w:szCs w:val="16"/>
              </w:rPr>
              <w:t>10</w:t>
            </w:r>
          </w:p>
        </w:tc>
        <w:tc>
          <w:tcPr>
            <w:tcW w:w="1050" w:type="dxa"/>
            <w:shd w:val="clear" w:color="auto" w:fill="FFFFFF"/>
            <w:vAlign w:val="center"/>
          </w:tcPr>
          <w:p w14:paraId="76F24B86">
            <w:pPr>
              <w:spacing w:before="0" w:after="0" w:line="240" w:lineRule="auto"/>
              <w:ind w:left="0" w:right="0" w:firstLine="0" w:firstLineChars="0"/>
              <w:jc w:val="center"/>
            </w:pPr>
            <w:r>
              <w:rPr>
                <w:rFonts w:ascii="宋体" w:hAnsi="宋体" w:eastAsia="宋体" w:cs="宋体"/>
                <w:b w:val="0"/>
                <w:bCs w:val="0"/>
                <w:color w:val="000000"/>
                <w:sz w:val="16"/>
                <w:szCs w:val="16"/>
              </w:rPr>
              <w:t>说明结果并调整条件</w:t>
            </w:r>
          </w:p>
        </w:tc>
        <w:tc>
          <w:tcPr>
            <w:tcW w:w="950" w:type="dxa"/>
            <w:shd w:val="clear" w:color="auto" w:fill="FFFFFF"/>
            <w:vAlign w:val="center"/>
          </w:tcPr>
          <w:p w14:paraId="33B10937">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52BF3B23">
            <w:pPr>
              <w:spacing w:before="0" w:after="0" w:line="240" w:lineRule="auto"/>
              <w:ind w:left="0" w:right="0" w:firstLine="0" w:firstLineChars="0"/>
              <w:jc w:val="left"/>
            </w:pPr>
            <w:r>
              <w:rPr>
                <w:rFonts w:ascii="宋体" w:hAnsi="宋体" w:eastAsia="宋体" w:cs="宋体"/>
                <w:b w:val="0"/>
                <w:bCs w:val="0"/>
                <w:color w:val="000000"/>
                <w:sz w:val="16"/>
                <w:szCs w:val="16"/>
              </w:rPr>
              <w:t>输入：无数据结果</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输出：无数据说明、条件调整建议</w:t>
            </w:r>
          </w:p>
        </w:tc>
        <w:tc>
          <w:tcPr>
            <w:tcW w:w="2000" w:type="dxa"/>
            <w:shd w:val="clear" w:color="auto" w:fill="FFFFFF"/>
            <w:vAlign w:val="center"/>
          </w:tcPr>
          <w:p w14:paraId="6457B427">
            <w:pPr>
              <w:spacing w:before="0" w:after="0" w:line="240" w:lineRule="auto"/>
              <w:ind w:left="0" w:right="0" w:firstLine="0" w:firstLineChars="0"/>
              <w:jc w:val="left"/>
            </w:pPr>
            <w:r>
              <w:rPr>
                <w:rFonts w:ascii="宋体" w:hAnsi="宋体" w:eastAsia="宋体" w:cs="宋体"/>
                <w:b w:val="0"/>
                <w:bCs w:val="0"/>
                <w:color w:val="000000"/>
                <w:sz w:val="16"/>
                <w:szCs w:val="16"/>
              </w:rPr>
              <w:t>区分无数据与无权限，建议用户调整时间、对象或其他查询条件。</w:t>
            </w:r>
          </w:p>
        </w:tc>
        <w:tc>
          <w:tcPr>
            <w:tcW w:w="1072" w:type="dxa"/>
            <w:shd w:val="clear" w:color="auto" w:fill="FFFFFF"/>
            <w:vAlign w:val="center"/>
          </w:tcPr>
          <w:p w14:paraId="71A659B5">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1E706F17">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49E26A2A">
        <w:trPr>
          <w:cantSplit/>
          <w:jc w:val="center"/>
        </w:trPr>
        <w:tc>
          <w:tcPr>
            <w:tcW w:w="650" w:type="dxa"/>
            <w:shd w:val="clear" w:color="auto" w:fill="FFFFFF"/>
            <w:vAlign w:val="center"/>
          </w:tcPr>
          <w:p w14:paraId="05A7BEAC">
            <w:pPr>
              <w:spacing w:before="0" w:after="0" w:line="240" w:lineRule="auto"/>
              <w:ind w:left="0" w:right="0" w:firstLine="0" w:firstLineChars="0"/>
              <w:jc w:val="center"/>
            </w:pPr>
            <w:r>
              <w:rPr>
                <w:rFonts w:ascii="宋体" w:hAnsi="宋体" w:eastAsia="宋体" w:cs="宋体"/>
                <w:b w:val="0"/>
                <w:bCs w:val="0"/>
                <w:color w:val="000000"/>
                <w:sz w:val="16"/>
                <w:szCs w:val="16"/>
              </w:rPr>
              <w:t>11</w:t>
            </w:r>
          </w:p>
        </w:tc>
        <w:tc>
          <w:tcPr>
            <w:tcW w:w="1050" w:type="dxa"/>
            <w:shd w:val="clear" w:color="auto" w:fill="FFFFFF"/>
            <w:vAlign w:val="center"/>
          </w:tcPr>
          <w:p w14:paraId="04478B62">
            <w:pPr>
              <w:spacing w:before="0" w:after="0" w:line="240" w:lineRule="auto"/>
              <w:ind w:left="0" w:right="0" w:firstLine="0" w:firstLineChars="0"/>
              <w:jc w:val="center"/>
            </w:pPr>
            <w:r>
              <w:rPr>
                <w:rFonts w:ascii="宋体" w:hAnsi="宋体" w:eastAsia="宋体" w:cs="宋体"/>
                <w:b w:val="0"/>
                <w:bCs w:val="0"/>
                <w:color w:val="000000"/>
                <w:sz w:val="16"/>
                <w:szCs w:val="16"/>
              </w:rPr>
              <w:t>查询正常范围</w:t>
            </w:r>
          </w:p>
        </w:tc>
        <w:tc>
          <w:tcPr>
            <w:tcW w:w="950" w:type="dxa"/>
            <w:shd w:val="clear" w:color="auto" w:fill="FFFFFF"/>
            <w:vAlign w:val="center"/>
          </w:tcPr>
          <w:p w14:paraId="71798137">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2A2FE045">
            <w:pPr>
              <w:spacing w:before="0" w:after="0" w:line="240" w:lineRule="auto"/>
              <w:ind w:left="0" w:right="0" w:firstLine="0" w:firstLineChars="0"/>
              <w:jc w:val="left"/>
            </w:pPr>
            <w:r>
              <w:rPr>
                <w:rFonts w:ascii="宋体" w:hAnsi="宋体" w:eastAsia="宋体" w:cs="宋体"/>
                <w:b w:val="0"/>
                <w:bCs w:val="0"/>
                <w:color w:val="000000"/>
                <w:sz w:val="16"/>
                <w:szCs w:val="16"/>
              </w:rPr>
              <w:t>输入：正常数据结果、指标对应的正常范围或标准值</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输出：数据与正常范围对照</w:t>
            </w:r>
          </w:p>
        </w:tc>
        <w:tc>
          <w:tcPr>
            <w:tcW w:w="2000" w:type="dxa"/>
            <w:shd w:val="clear" w:color="auto" w:fill="FFFFFF"/>
            <w:vAlign w:val="center"/>
          </w:tcPr>
          <w:p w14:paraId="4D3A4DD9">
            <w:pPr>
              <w:spacing w:before="0" w:after="0" w:line="240" w:lineRule="auto"/>
              <w:ind w:left="0" w:right="0" w:firstLine="0" w:firstLineChars="0"/>
              <w:jc w:val="left"/>
            </w:pPr>
            <w:r>
              <w:rPr>
                <w:rFonts w:ascii="宋体" w:hAnsi="宋体" w:eastAsia="宋体" w:cs="宋体"/>
                <w:b w:val="0"/>
                <w:bCs w:val="0"/>
                <w:color w:val="000000"/>
                <w:sz w:val="16"/>
                <w:szCs w:val="16"/>
              </w:rPr>
              <w:t>取得指标数值后，查询该指标对应的正常范围、标准值或阈值，统一单位后进行对照，并保留基准来源；没有可用基准时如实说明。</w:t>
            </w:r>
          </w:p>
        </w:tc>
        <w:tc>
          <w:tcPr>
            <w:tcW w:w="1072" w:type="dxa"/>
            <w:shd w:val="clear" w:color="auto" w:fill="FFFFFF"/>
            <w:vAlign w:val="center"/>
          </w:tcPr>
          <w:p w14:paraId="4869D823">
            <w:pPr>
              <w:spacing w:before="0" w:after="0" w:line="240" w:lineRule="auto"/>
              <w:ind w:left="0" w:right="0" w:firstLine="0" w:firstLineChars="0"/>
              <w:jc w:val="left"/>
            </w:pPr>
            <w:r>
              <w:rPr>
                <w:rFonts w:ascii="宋体" w:hAnsi="宋体" w:eastAsia="宋体" w:cs="宋体"/>
                <w:b w:val="0"/>
                <w:bCs w:val="0"/>
                <w:color w:val="000000"/>
                <w:sz w:val="16"/>
                <w:szCs w:val="16"/>
              </w:rPr>
              <w:t>→12</w:t>
            </w:r>
          </w:p>
        </w:tc>
        <w:tc>
          <w:tcPr>
            <w:tcW w:w="2000" w:type="dxa"/>
            <w:shd w:val="clear" w:color="auto" w:fill="FFFFFF"/>
            <w:vAlign w:val="center"/>
          </w:tcPr>
          <w:p w14:paraId="27872514">
            <w:pPr>
              <w:spacing w:before="0" w:after="0" w:line="240" w:lineRule="auto"/>
              <w:ind w:left="0" w:right="0" w:firstLine="0" w:firstLineChars="0"/>
              <w:jc w:val="left"/>
            </w:pPr>
            <w:r>
              <w:rPr>
                <w:rFonts w:ascii="宋体" w:hAnsi="宋体" w:eastAsia="宋体" w:cs="宋体"/>
                <w:b w:val="0"/>
                <w:bCs w:val="0"/>
                <w:color w:val="000000"/>
                <w:sz w:val="16"/>
                <w:szCs w:val="16"/>
              </w:rPr>
              <w:t>P-ZLTC-AI-ZNWS-101-08-002</w:t>
            </w:r>
          </w:p>
        </w:tc>
      </w:tr>
      <w:tr w14:paraId="0860554A">
        <w:trPr>
          <w:cantSplit/>
          <w:jc w:val="center"/>
        </w:trPr>
        <w:tc>
          <w:tcPr>
            <w:tcW w:w="650" w:type="dxa"/>
            <w:shd w:val="clear" w:color="auto" w:fill="FFFFFF"/>
            <w:vAlign w:val="center"/>
          </w:tcPr>
          <w:p w14:paraId="27060397">
            <w:pPr>
              <w:spacing w:before="0" w:after="0" w:line="240" w:lineRule="auto"/>
              <w:ind w:left="0" w:right="0" w:firstLine="0" w:firstLineChars="0"/>
              <w:jc w:val="center"/>
            </w:pPr>
            <w:r>
              <w:rPr>
                <w:rFonts w:ascii="宋体" w:hAnsi="宋体" w:eastAsia="宋体" w:cs="宋体"/>
                <w:b w:val="0"/>
                <w:bCs w:val="0"/>
                <w:color w:val="000000"/>
                <w:sz w:val="16"/>
                <w:szCs w:val="16"/>
              </w:rPr>
              <w:t>12</w:t>
            </w:r>
          </w:p>
        </w:tc>
        <w:tc>
          <w:tcPr>
            <w:tcW w:w="1050" w:type="dxa"/>
            <w:shd w:val="clear" w:color="auto" w:fill="FFFFFF"/>
            <w:vAlign w:val="center"/>
          </w:tcPr>
          <w:p w14:paraId="063AD81E">
            <w:pPr>
              <w:spacing w:before="0" w:after="0" w:line="240" w:lineRule="auto"/>
              <w:ind w:left="0" w:right="0" w:firstLine="0" w:firstLineChars="0"/>
              <w:jc w:val="center"/>
            </w:pPr>
            <w:r>
              <w:rPr>
                <w:rFonts w:ascii="宋体" w:hAnsi="宋体" w:eastAsia="宋体" w:cs="宋体"/>
                <w:b w:val="0"/>
                <w:bCs w:val="0"/>
                <w:color w:val="000000"/>
                <w:sz w:val="16"/>
                <w:szCs w:val="16"/>
              </w:rPr>
              <w:t>组织并展示应答</w:t>
            </w:r>
          </w:p>
        </w:tc>
        <w:tc>
          <w:tcPr>
            <w:tcW w:w="950" w:type="dxa"/>
            <w:shd w:val="clear" w:color="auto" w:fill="FFFFFF"/>
            <w:vAlign w:val="center"/>
          </w:tcPr>
          <w:p w14:paraId="1FC338A7">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1D7C7BDC">
            <w:pPr>
              <w:spacing w:before="0" w:after="0" w:line="240" w:lineRule="auto"/>
              <w:ind w:left="0" w:right="0" w:firstLine="0" w:firstLineChars="0"/>
              <w:jc w:val="left"/>
            </w:pPr>
            <w:r>
              <w:rPr>
                <w:rFonts w:ascii="宋体" w:hAnsi="宋体" w:eastAsia="宋体" w:cs="宋体"/>
                <w:b w:val="0"/>
                <w:bCs w:val="0"/>
                <w:color w:val="000000"/>
                <w:sz w:val="16"/>
                <w:szCs w:val="16"/>
              </w:rPr>
              <w:t>输入：数据结果、判定基准</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输出：可追溯应答</w:t>
            </w:r>
          </w:p>
        </w:tc>
        <w:tc>
          <w:tcPr>
            <w:tcW w:w="2000" w:type="dxa"/>
            <w:shd w:val="clear" w:color="auto" w:fill="FFFFFF"/>
            <w:vAlign w:val="center"/>
          </w:tcPr>
          <w:p w14:paraId="6C1B7E78">
            <w:pPr>
              <w:spacing w:before="0" w:after="0" w:line="240" w:lineRule="auto"/>
              <w:ind w:left="0" w:right="0" w:firstLine="0" w:firstLineChars="0"/>
              <w:jc w:val="left"/>
            </w:pPr>
            <w:r>
              <w:rPr>
                <w:rFonts w:ascii="宋体" w:hAnsi="宋体" w:eastAsia="宋体" w:cs="宋体"/>
                <w:b w:val="0"/>
                <w:bCs w:val="0"/>
                <w:color w:val="000000"/>
                <w:sz w:val="16"/>
                <w:szCs w:val="16"/>
              </w:rPr>
              <w:t>组织数据事实、正常范围和关键差异的回答，标注来源、指标口径与截止时间；已结算周期优先呈现核定结果，当期区分日累计与动态阶段值并标注未结算状态。支持查看取数过程及授权导出。</w:t>
            </w:r>
          </w:p>
        </w:tc>
        <w:tc>
          <w:tcPr>
            <w:tcW w:w="1072" w:type="dxa"/>
            <w:shd w:val="clear" w:color="auto" w:fill="FFFFFF"/>
            <w:vAlign w:val="center"/>
          </w:tcPr>
          <w:p w14:paraId="098F3537">
            <w:pPr>
              <w:spacing w:before="0" w:after="0" w:line="240" w:lineRule="auto"/>
              <w:ind w:left="0" w:right="0" w:firstLine="0" w:firstLineChars="0"/>
              <w:jc w:val="left"/>
            </w:pPr>
            <w:r>
              <w:rPr>
                <w:rFonts w:ascii="宋体" w:hAnsi="宋体" w:eastAsia="宋体" w:cs="宋体"/>
                <w:b w:val="0"/>
                <w:bCs w:val="0"/>
                <w:color w:val="000000"/>
                <w:sz w:val="16"/>
                <w:szCs w:val="16"/>
              </w:rPr>
              <w:t>需要图表→13；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查看文字→14</w:t>
            </w:r>
          </w:p>
        </w:tc>
        <w:tc>
          <w:tcPr>
            <w:tcW w:w="2000" w:type="dxa"/>
            <w:shd w:val="clear" w:color="auto" w:fill="FFFFFF"/>
            <w:vAlign w:val="center"/>
          </w:tcPr>
          <w:p w14:paraId="5A74B588">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0D5CA56E">
        <w:trPr>
          <w:cantSplit/>
          <w:jc w:val="center"/>
        </w:trPr>
        <w:tc>
          <w:tcPr>
            <w:tcW w:w="650" w:type="dxa"/>
            <w:shd w:val="clear" w:color="auto" w:fill="FFFFFF"/>
            <w:vAlign w:val="center"/>
          </w:tcPr>
          <w:p w14:paraId="5F5E72A7">
            <w:pPr>
              <w:spacing w:before="0" w:after="0" w:line="240" w:lineRule="auto"/>
              <w:ind w:left="0" w:right="0" w:firstLine="0" w:firstLineChars="0"/>
              <w:jc w:val="center"/>
            </w:pPr>
            <w:r>
              <w:rPr>
                <w:rFonts w:ascii="宋体" w:hAnsi="宋体" w:eastAsia="宋体" w:cs="宋体"/>
                <w:b w:val="0"/>
                <w:bCs w:val="0"/>
                <w:color w:val="000000"/>
                <w:sz w:val="16"/>
                <w:szCs w:val="16"/>
              </w:rPr>
              <w:t>13</w:t>
            </w:r>
          </w:p>
        </w:tc>
        <w:tc>
          <w:tcPr>
            <w:tcW w:w="1050" w:type="dxa"/>
            <w:shd w:val="clear" w:color="auto" w:fill="FFFFFF"/>
            <w:vAlign w:val="center"/>
          </w:tcPr>
          <w:p w14:paraId="7E5DC509">
            <w:pPr>
              <w:spacing w:before="0" w:after="0" w:line="240" w:lineRule="auto"/>
              <w:ind w:left="0" w:right="0" w:firstLine="0" w:firstLineChars="0"/>
              <w:jc w:val="center"/>
            </w:pPr>
            <w:r>
              <w:rPr>
                <w:rFonts w:ascii="宋体" w:hAnsi="宋体" w:eastAsia="宋体" w:cs="宋体"/>
                <w:b w:val="0"/>
                <w:bCs w:val="0"/>
                <w:color w:val="000000"/>
                <w:sz w:val="16"/>
                <w:szCs w:val="16"/>
              </w:rPr>
              <w:t>按需生成即席图表</w:t>
            </w:r>
          </w:p>
        </w:tc>
        <w:tc>
          <w:tcPr>
            <w:tcW w:w="950" w:type="dxa"/>
            <w:shd w:val="clear" w:color="auto" w:fill="FFFFFF"/>
            <w:vAlign w:val="center"/>
          </w:tcPr>
          <w:p w14:paraId="2B69283E">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6AE4724E">
            <w:pPr>
              <w:spacing w:before="0" w:after="0" w:line="240" w:lineRule="auto"/>
              <w:ind w:left="0" w:right="0" w:firstLine="0" w:firstLineChars="0"/>
              <w:jc w:val="left"/>
            </w:pPr>
            <w:r>
              <w:rPr>
                <w:rFonts w:ascii="宋体" w:hAnsi="宋体" w:eastAsia="宋体" w:cs="宋体"/>
                <w:b w:val="0"/>
                <w:bCs w:val="0"/>
                <w:color w:val="000000"/>
                <w:sz w:val="16"/>
                <w:szCs w:val="16"/>
              </w:rPr>
              <w:t>输入：源系统结果</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输出：即席图表及文字解读</w:t>
            </w:r>
          </w:p>
        </w:tc>
        <w:tc>
          <w:tcPr>
            <w:tcW w:w="2000" w:type="dxa"/>
            <w:shd w:val="clear" w:color="auto" w:fill="FFFFFF"/>
            <w:vAlign w:val="center"/>
          </w:tcPr>
          <w:p w14:paraId="6313A20A">
            <w:pPr>
              <w:spacing w:before="0" w:after="0" w:line="240" w:lineRule="auto"/>
              <w:ind w:left="0" w:right="0" w:firstLine="0" w:firstLineChars="0"/>
              <w:jc w:val="left"/>
            </w:pPr>
            <w:r>
              <w:rPr>
                <w:rFonts w:ascii="宋体" w:hAnsi="宋体" w:eastAsia="宋体" w:cs="宋体"/>
                <w:b w:val="0"/>
                <w:bCs w:val="0"/>
                <w:color w:val="000000"/>
                <w:sz w:val="16"/>
                <w:szCs w:val="16"/>
              </w:rPr>
              <w:t>按需生成趋势、对比、构成图表，趋势问题附关键变化说明；数值由程序计算并与源数据核对，保留图表对应的对象、口径和数据时间。</w:t>
            </w:r>
          </w:p>
        </w:tc>
        <w:tc>
          <w:tcPr>
            <w:tcW w:w="1072" w:type="dxa"/>
            <w:shd w:val="clear" w:color="auto" w:fill="FFFFFF"/>
            <w:vAlign w:val="center"/>
          </w:tcPr>
          <w:p w14:paraId="5859309D">
            <w:pPr>
              <w:spacing w:before="0" w:after="0" w:line="240" w:lineRule="auto"/>
              <w:ind w:left="0" w:right="0" w:firstLine="0" w:firstLineChars="0"/>
              <w:jc w:val="left"/>
            </w:pPr>
            <w:r>
              <w:rPr>
                <w:rFonts w:ascii="宋体" w:hAnsi="宋体" w:eastAsia="宋体" w:cs="宋体"/>
                <w:b w:val="0"/>
                <w:bCs w:val="0"/>
                <w:color w:val="000000"/>
                <w:sz w:val="16"/>
                <w:szCs w:val="16"/>
              </w:rPr>
              <w:t>→14</w:t>
            </w:r>
          </w:p>
        </w:tc>
        <w:tc>
          <w:tcPr>
            <w:tcW w:w="2000" w:type="dxa"/>
            <w:shd w:val="clear" w:color="auto" w:fill="FFFFFF"/>
            <w:vAlign w:val="center"/>
          </w:tcPr>
          <w:p w14:paraId="32088B5C">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p>
        </w:tc>
      </w:tr>
      <w:tr w14:paraId="0FD2EA9C">
        <w:trPr>
          <w:cantSplit/>
          <w:jc w:val="center"/>
        </w:trPr>
        <w:tc>
          <w:tcPr>
            <w:tcW w:w="650" w:type="dxa"/>
            <w:shd w:val="clear" w:color="auto" w:fill="FFFFFF"/>
            <w:vAlign w:val="center"/>
          </w:tcPr>
          <w:p w14:paraId="7A824D6B">
            <w:pPr>
              <w:spacing w:before="0" w:after="0" w:line="240" w:lineRule="auto"/>
              <w:ind w:left="0" w:right="0" w:firstLine="0" w:firstLineChars="0"/>
              <w:jc w:val="center"/>
            </w:pPr>
            <w:r>
              <w:rPr>
                <w:rFonts w:ascii="宋体" w:hAnsi="宋体" w:eastAsia="宋体" w:cs="宋体"/>
                <w:b w:val="0"/>
                <w:bCs w:val="0"/>
                <w:color w:val="000000"/>
                <w:sz w:val="16"/>
                <w:szCs w:val="16"/>
              </w:rPr>
              <w:t>14</w:t>
            </w:r>
          </w:p>
        </w:tc>
        <w:tc>
          <w:tcPr>
            <w:tcW w:w="1050" w:type="dxa"/>
            <w:shd w:val="clear" w:color="auto" w:fill="FFFFFF"/>
            <w:vAlign w:val="center"/>
          </w:tcPr>
          <w:p w14:paraId="11927B4A">
            <w:pPr>
              <w:spacing w:before="0" w:after="0" w:line="240" w:lineRule="auto"/>
              <w:ind w:left="0" w:right="0" w:firstLine="0" w:firstLineChars="0"/>
              <w:jc w:val="center"/>
            </w:pPr>
            <w:r>
              <w:rPr>
                <w:rFonts w:ascii="宋体" w:hAnsi="宋体" w:eastAsia="宋体" w:cs="宋体"/>
                <w:b w:val="0"/>
                <w:bCs w:val="0"/>
                <w:color w:val="000000"/>
                <w:sz w:val="16"/>
                <w:szCs w:val="16"/>
              </w:rPr>
              <w:t>追问或点赞点踩</w:t>
            </w:r>
          </w:p>
        </w:tc>
        <w:tc>
          <w:tcPr>
            <w:tcW w:w="950" w:type="dxa"/>
            <w:shd w:val="clear" w:color="auto" w:fill="FFFFFF"/>
            <w:vAlign w:val="center"/>
          </w:tcPr>
          <w:p w14:paraId="2CED86D8">
            <w:pPr>
              <w:spacing w:before="0" w:after="0" w:line="240" w:lineRule="auto"/>
              <w:ind w:left="0" w:right="0" w:firstLine="0" w:firstLineChars="0"/>
              <w:jc w:val="center"/>
            </w:pPr>
            <w:r>
              <w:rPr>
                <w:rFonts w:ascii="宋体" w:hAnsi="宋体" w:eastAsia="宋体" w:cs="宋体"/>
                <w:b w:val="0"/>
                <w:bCs w:val="0"/>
                <w:color w:val="000000"/>
                <w:sz w:val="16"/>
                <w:szCs w:val="16"/>
              </w:rPr>
              <w:t>用户</w:t>
            </w:r>
          </w:p>
        </w:tc>
        <w:tc>
          <w:tcPr>
            <w:tcW w:w="1350" w:type="dxa"/>
            <w:shd w:val="clear" w:color="auto" w:fill="FFFFFF"/>
            <w:vAlign w:val="center"/>
          </w:tcPr>
          <w:p w14:paraId="7F45F83E">
            <w:pPr>
              <w:spacing w:before="0" w:after="0" w:line="240" w:lineRule="auto"/>
              <w:ind w:left="0" w:right="0" w:firstLine="0" w:firstLineChars="0"/>
              <w:jc w:val="left"/>
            </w:pPr>
            <w:r>
              <w:rPr>
                <w:rFonts w:ascii="宋体" w:hAnsi="宋体" w:eastAsia="宋体" w:cs="宋体"/>
                <w:b w:val="0"/>
                <w:bCs w:val="0"/>
                <w:color w:val="000000"/>
                <w:sz w:val="16"/>
                <w:szCs w:val="16"/>
              </w:rPr>
              <w:t>输入：应答或图表</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输出：下一轮问题、原因追问、反馈或结束</w:t>
            </w:r>
          </w:p>
        </w:tc>
        <w:tc>
          <w:tcPr>
            <w:tcW w:w="2000" w:type="dxa"/>
            <w:shd w:val="clear" w:color="auto" w:fill="FFFFFF"/>
            <w:vAlign w:val="center"/>
          </w:tcPr>
          <w:p w14:paraId="4C1316C1">
            <w:pPr>
              <w:spacing w:before="0" w:after="0" w:line="240" w:lineRule="auto"/>
              <w:ind w:left="0" w:right="0" w:firstLine="0" w:firstLineChars="0"/>
              <w:jc w:val="left"/>
            </w:pPr>
            <w:r>
              <w:rPr>
                <w:rFonts w:ascii="宋体" w:hAnsi="宋体" w:eastAsia="宋体" w:cs="宋体"/>
                <w:b w:val="0"/>
                <w:bCs w:val="0"/>
                <w:color w:val="000000"/>
                <w:sz w:val="16"/>
                <w:szCs w:val="16"/>
              </w:rPr>
              <w:t>用户可继续提问、追问原因、点赞点踩或结束本轮；评价及负反馈关联本轮执行记录，按6.7分流线索并进入5.4.2质量改进。</w:t>
            </w:r>
          </w:p>
        </w:tc>
        <w:tc>
          <w:tcPr>
            <w:tcW w:w="1072" w:type="dxa"/>
            <w:shd w:val="clear" w:color="auto" w:fill="FFFFFF"/>
            <w:vAlign w:val="center"/>
          </w:tcPr>
          <w:p w14:paraId="307C783D">
            <w:pPr>
              <w:spacing w:before="0" w:after="0" w:line="240" w:lineRule="auto"/>
              <w:ind w:left="0" w:right="0" w:firstLine="0" w:firstLineChars="0"/>
              <w:jc w:val="left"/>
            </w:pPr>
            <w:r>
              <w:rPr>
                <w:rFonts w:ascii="宋体" w:hAnsi="宋体" w:eastAsia="宋体" w:cs="宋体"/>
                <w:b w:val="0"/>
                <w:bCs w:val="0"/>
                <w:color w:val="000000"/>
                <w:sz w:val="16"/>
                <w:szCs w:val="16"/>
              </w:rPr>
              <w:t>继续追问→01；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追问原因→15；</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结束本轮→结束</w:t>
            </w:r>
          </w:p>
        </w:tc>
        <w:tc>
          <w:tcPr>
            <w:tcW w:w="2000" w:type="dxa"/>
            <w:shd w:val="clear" w:color="auto" w:fill="FFFFFF"/>
            <w:vAlign w:val="center"/>
          </w:tcPr>
          <w:p w14:paraId="2AD3187F">
            <w:pPr>
              <w:spacing w:before="0" w:after="0" w:line="240" w:lineRule="auto"/>
              <w:ind w:left="0" w:right="0" w:firstLine="0" w:firstLineChars="0"/>
              <w:jc w:val="left"/>
            </w:pPr>
            <w:r>
              <w:rPr>
                <w:rFonts w:ascii="宋体" w:hAnsi="宋体" w:eastAsia="宋体" w:cs="宋体"/>
                <w:b w:val="0"/>
                <w:bCs w:val="0"/>
                <w:color w:val="000000"/>
                <w:sz w:val="16"/>
                <w:szCs w:val="16"/>
              </w:rPr>
              <w:t>P-ZLTC-AI-ZNWS-101-06-001</w:t>
            </w:r>
          </w:p>
        </w:tc>
      </w:tr>
      <w:tr w14:paraId="0F64811D">
        <w:trPr>
          <w:cantSplit/>
          <w:jc w:val="center"/>
        </w:trPr>
        <w:tc>
          <w:tcPr>
            <w:tcW w:w="650" w:type="dxa"/>
            <w:shd w:val="clear" w:color="auto" w:fill="FFFFFF"/>
            <w:vAlign w:val="center"/>
          </w:tcPr>
          <w:p w14:paraId="101A9320">
            <w:pPr>
              <w:spacing w:before="0" w:after="0" w:line="240" w:lineRule="auto"/>
              <w:ind w:left="0" w:right="0" w:firstLine="0" w:firstLineChars="0"/>
              <w:jc w:val="center"/>
            </w:pPr>
            <w:r>
              <w:rPr>
                <w:rFonts w:ascii="宋体" w:hAnsi="宋体" w:eastAsia="宋体" w:cs="宋体"/>
                <w:b w:val="0"/>
                <w:bCs w:val="0"/>
                <w:color w:val="000000"/>
                <w:sz w:val="16"/>
                <w:szCs w:val="16"/>
              </w:rPr>
              <w:t>15</w:t>
            </w:r>
          </w:p>
        </w:tc>
        <w:tc>
          <w:tcPr>
            <w:tcW w:w="1050" w:type="dxa"/>
            <w:shd w:val="clear" w:color="auto" w:fill="FFFFFF"/>
            <w:vAlign w:val="center"/>
          </w:tcPr>
          <w:p w14:paraId="2697BDEE">
            <w:pPr>
              <w:spacing w:before="0" w:after="0" w:line="240" w:lineRule="auto"/>
              <w:ind w:left="0" w:right="0" w:firstLine="0" w:firstLineChars="0"/>
              <w:jc w:val="center"/>
            </w:pPr>
            <w:r>
              <w:rPr>
                <w:rFonts w:ascii="宋体" w:hAnsi="宋体" w:eastAsia="宋体" w:cs="宋体"/>
                <w:b w:val="0"/>
                <w:bCs w:val="0"/>
                <w:color w:val="000000"/>
                <w:sz w:val="16"/>
                <w:szCs w:val="16"/>
              </w:rPr>
              <w:t>升级对应归因场景</w:t>
            </w:r>
          </w:p>
        </w:tc>
        <w:tc>
          <w:tcPr>
            <w:tcW w:w="950" w:type="dxa"/>
            <w:shd w:val="clear" w:color="auto" w:fill="FFFFFF"/>
            <w:vAlign w:val="center"/>
          </w:tcPr>
          <w:p w14:paraId="1230446D">
            <w:pPr>
              <w:spacing w:before="0" w:after="0" w:line="240" w:lineRule="auto"/>
              <w:ind w:left="0" w:right="0" w:firstLine="0" w:firstLineChars="0"/>
              <w:jc w:val="center"/>
            </w:pPr>
            <w:r>
              <w:rPr>
                <w:rFonts w:ascii="宋体" w:hAnsi="宋体" w:eastAsia="宋体" w:cs="宋体"/>
                <w:b w:val="0"/>
                <w:bCs w:val="0"/>
                <w:color w:val="000000"/>
                <w:sz w:val="16"/>
                <w:szCs w:val="16"/>
              </w:rPr>
              <w:t>主智能体</w:t>
            </w:r>
          </w:p>
        </w:tc>
        <w:tc>
          <w:tcPr>
            <w:tcW w:w="1350" w:type="dxa"/>
            <w:shd w:val="clear" w:color="auto" w:fill="FFFFFF"/>
            <w:vAlign w:val="center"/>
          </w:tcPr>
          <w:p w14:paraId="79D0B84F">
            <w:pPr>
              <w:spacing w:before="0" w:after="0" w:line="240" w:lineRule="auto"/>
              <w:ind w:left="0" w:right="0" w:firstLine="0" w:firstLineChars="0"/>
              <w:jc w:val="left"/>
            </w:pPr>
            <w:r>
              <w:rPr>
                <w:rFonts w:ascii="宋体" w:hAnsi="宋体" w:eastAsia="宋体" w:cs="宋体"/>
                <w:b w:val="0"/>
                <w:bCs w:val="0"/>
                <w:color w:val="000000"/>
                <w:sz w:val="16"/>
                <w:szCs w:val="16"/>
              </w:rPr>
              <w:t>输入：原因追问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输出：归因分析任务</w:t>
            </w:r>
          </w:p>
        </w:tc>
        <w:tc>
          <w:tcPr>
            <w:tcW w:w="2000" w:type="dxa"/>
            <w:shd w:val="clear" w:color="auto" w:fill="FFFFFF"/>
            <w:vAlign w:val="center"/>
          </w:tcPr>
          <w:p w14:paraId="57652FAD">
            <w:pPr>
              <w:spacing w:before="0" w:after="0" w:line="240" w:lineRule="auto"/>
              <w:ind w:left="0" w:right="0" w:firstLine="0" w:firstLineChars="0"/>
              <w:jc w:val="left"/>
            </w:pPr>
            <w:r>
              <w:rPr>
                <w:rFonts w:ascii="宋体" w:hAnsi="宋体" w:eastAsia="宋体" w:cs="宋体"/>
                <w:b w:val="0"/>
                <w:bCs w:val="0"/>
                <w:color w:val="000000"/>
                <w:sz w:val="16"/>
                <w:szCs w:val="16"/>
              </w:rPr>
              <w:t>将原因追问连同已确认对象、时间条件及已有数据交接至对应的物料、能量、能耗、质量或设备分析场景，保持上下文和业务授权。</w:t>
            </w:r>
          </w:p>
        </w:tc>
        <w:tc>
          <w:tcPr>
            <w:tcW w:w="1072" w:type="dxa"/>
            <w:shd w:val="clear" w:color="auto" w:fill="FFFFFF"/>
            <w:vAlign w:val="center"/>
          </w:tcPr>
          <w:p w14:paraId="4518FC7F">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0251953F">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1AF2367F">
        <w:trPr>
          <w:cantSplit/>
          <w:jc w:val="center"/>
        </w:trPr>
        <w:tc>
          <w:tcPr>
            <w:tcW w:w="650" w:type="dxa"/>
            <w:shd w:val="clear" w:color="auto" w:fill="FFFFFF"/>
            <w:vAlign w:val="center"/>
          </w:tcPr>
          <w:p w14:paraId="0C76F36D">
            <w:pPr>
              <w:spacing w:before="0" w:after="0" w:line="240" w:lineRule="auto"/>
              <w:ind w:left="0" w:right="0" w:firstLine="0" w:firstLineChars="0"/>
              <w:jc w:val="center"/>
            </w:pPr>
            <w:r>
              <w:rPr>
                <w:rFonts w:ascii="宋体" w:hAnsi="宋体" w:eastAsia="宋体" w:cs="宋体"/>
                <w:b w:val="0"/>
                <w:bCs w:val="0"/>
                <w:color w:val="000000"/>
                <w:sz w:val="16"/>
                <w:szCs w:val="16"/>
              </w:rPr>
              <w:t>16</w:t>
            </w:r>
          </w:p>
        </w:tc>
        <w:tc>
          <w:tcPr>
            <w:tcW w:w="1050" w:type="dxa"/>
            <w:shd w:val="clear" w:color="auto" w:fill="FFFFFF"/>
            <w:vAlign w:val="center"/>
          </w:tcPr>
          <w:p w14:paraId="33924B1A">
            <w:pPr>
              <w:spacing w:before="0" w:after="0" w:line="240" w:lineRule="auto"/>
              <w:ind w:left="0" w:right="0" w:firstLine="0" w:firstLineChars="0"/>
              <w:jc w:val="center"/>
            </w:pPr>
            <w:r>
              <w:rPr>
                <w:rFonts w:ascii="宋体" w:hAnsi="宋体" w:eastAsia="宋体" w:cs="宋体"/>
                <w:b w:val="0"/>
                <w:bCs w:val="0"/>
                <w:color w:val="000000"/>
                <w:sz w:val="16"/>
                <w:szCs w:val="16"/>
              </w:rPr>
              <w:t>说明执行失败</w:t>
            </w:r>
          </w:p>
        </w:tc>
        <w:tc>
          <w:tcPr>
            <w:tcW w:w="950" w:type="dxa"/>
            <w:shd w:val="clear" w:color="auto" w:fill="FFFFFF"/>
            <w:vAlign w:val="center"/>
          </w:tcPr>
          <w:p w14:paraId="6055A8F8">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75191A1B">
            <w:pPr>
              <w:spacing w:before="0" w:after="0" w:line="240" w:lineRule="auto"/>
              <w:ind w:left="0" w:right="0" w:firstLine="0" w:firstLineChars="0"/>
              <w:jc w:val="left"/>
            </w:pPr>
            <w:r>
              <w:rPr>
                <w:rFonts w:ascii="宋体" w:hAnsi="宋体" w:eastAsia="宋体" w:cs="宋体"/>
                <w:b w:val="0"/>
                <w:bCs w:val="0"/>
                <w:color w:val="000000"/>
                <w:sz w:val="16"/>
                <w:szCs w:val="16"/>
              </w:rPr>
              <w:t>输入：失败状态</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输出：失败说明及记录</w:t>
            </w:r>
          </w:p>
        </w:tc>
        <w:tc>
          <w:tcPr>
            <w:tcW w:w="2000" w:type="dxa"/>
            <w:shd w:val="clear" w:color="auto" w:fill="FFFFFF"/>
            <w:vAlign w:val="center"/>
          </w:tcPr>
          <w:p w14:paraId="5499FE41">
            <w:pPr>
              <w:spacing w:before="0" w:after="0" w:line="240" w:lineRule="auto"/>
              <w:ind w:left="0" w:right="0" w:firstLine="0" w:firstLineChars="0"/>
              <w:jc w:val="left"/>
            </w:pPr>
            <w:r>
              <w:rPr>
                <w:rFonts w:ascii="宋体" w:hAnsi="宋体" w:eastAsia="宋体" w:cs="宋体"/>
                <w:b w:val="0"/>
                <w:bCs w:val="0"/>
                <w:color w:val="000000"/>
                <w:sz w:val="16"/>
                <w:szCs w:val="16"/>
              </w:rPr>
              <w:t>如实说明执行失败及可用的处理状态，保留调用与失败记录，支持用户稍后重新发起问题。</w:t>
            </w:r>
          </w:p>
        </w:tc>
        <w:tc>
          <w:tcPr>
            <w:tcW w:w="1072" w:type="dxa"/>
            <w:shd w:val="clear" w:color="auto" w:fill="FFFFFF"/>
            <w:vAlign w:val="center"/>
          </w:tcPr>
          <w:p w14:paraId="5C686288">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7A85FB0B">
            <w:pPr>
              <w:spacing w:before="0" w:after="0" w:line="240" w:lineRule="auto"/>
              <w:ind w:left="0" w:right="0" w:firstLine="0" w:firstLineChars="0"/>
              <w:jc w:val="left"/>
            </w:pPr>
            <w:r>
              <w:rPr>
                <w:rFonts w:ascii="宋体" w:hAnsi="宋体" w:eastAsia="宋体" w:cs="宋体"/>
                <w:b w:val="0"/>
                <w:bCs w:val="0"/>
                <w:color w:val="000000"/>
                <w:sz w:val="16"/>
                <w:szCs w:val="16"/>
              </w:rPr>
              <w:t>P-ZLTC-AI-ZNWS-101-08-003</w:t>
            </w:r>
          </w:p>
        </w:tc>
      </w:tr>
    </w:tbl>
    <w:p w14:paraId="72000005">
      <w:pPr>
        <w:pStyle w:val="3"/>
        <w:snapToGrid w:val="0"/>
      </w:pPr>
      <w:bookmarkStart w:id="12" w:name="s3_2"/>
      <w:r>
        <w:rPr>
          <w:rFonts w:ascii="黑体" w:hAnsi="黑体" w:eastAsia="黑体" w:cs="黑体"/>
          <w:b/>
          <w:color w:val="000000"/>
        </w:rPr>
        <w:t>3.2　归因分析与衡算类</w:t>
      </w:r>
      <w:bookmarkEnd w:id="12"/>
    </w:p>
    <w:p w14:paraId="72000006">
      <w:pPr>
        <w:pStyle w:val="4"/>
        <w:snapToGrid w:val="0"/>
      </w:pPr>
      <w:bookmarkStart w:id="13" w:name="s3_2_1"/>
      <w:r>
        <w:rPr>
          <w:rFonts w:ascii="黑体" w:hAnsi="黑体" w:eastAsia="黑体" w:cs="黑体"/>
          <w:b/>
          <w:color w:val="000000"/>
        </w:rPr>
        <w:t>3.2.1　实时物料平衡根因分析</w:t>
      </w:r>
      <w:bookmarkEnd w:id="13"/>
    </w:p>
    <w:p w14:paraId="3F32E26F">
      <w:pPr>
        <w:pStyle w:val="12"/>
        <w:keepNext/>
        <w:snapToGrid w:val="0"/>
        <w:spacing w:before="0" w:after="40" w:line="240" w:lineRule="auto"/>
        <w:ind w:left="0" w:right="0" w:firstLine="0" w:firstLineChars="0"/>
        <w:jc w:val="center"/>
      </w:pPr>
      <w:r>
        <w:drawing>
          <wp:inline distT="0" distB="0" distL="0" distR="0">
            <wp:extent cx="5759450" cy="6313170"/>
            <wp:effectExtent l="0" t="0" r="0" b="0"/>
            <wp:docPr id="4" name="P-ZLTC-AI-WLPHGY-102 实时物料平衡根因分析业务流程" descr="P-ZLTC-AI-WLPHGY-102 实时物料平衡根因分析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ZLTC-AI-WLPHGY-102 实时物料平衡根因分析业务流程" descr="P-ZLTC-AI-WLPHGY-102 实时物料平衡根因分析业务流程"/>
                    <pic:cNvPicPr>
                      <a:picLocks noChangeAspect="1"/>
                    </pic:cNvPicPr>
                  </pic:nvPicPr>
                  <pic:blipFill>
                    <a:blip r:embed="rId12"/>
                    <a:stretch>
                      <a:fillRect/>
                    </a:stretch>
                  </pic:blipFill>
                  <pic:spPr>
                    <a:xfrm>
                      <a:off x="0" y="0"/>
                      <a:ext cx="5759450" cy="6313797"/>
                    </a:xfrm>
                    <a:prstGeom prst="rect">
                      <a:avLst/>
                    </a:prstGeom>
                  </pic:spPr>
                </pic:pic>
              </a:graphicData>
            </a:graphic>
          </wp:inline>
        </w:drawing>
      </w:r>
    </w:p>
    <w:p w14:paraId="232EE0DB">
      <w:pPr>
        <w:pStyle w:val="15"/>
        <w:keepNext w:val="0"/>
        <w:snapToGrid w:val="0"/>
        <w:jc w:val="center"/>
      </w:pPr>
      <w:r>
        <w:t>图3-2　实时物料平衡根因分析业务流程图</w:t>
      </w:r>
    </w:p>
    <w:p w14:paraId="7A5B4715">
      <w:pPr>
        <w:pStyle w:val="15"/>
        <w:keepNext/>
        <w:snapToGrid w:val="0"/>
        <w:jc w:val="center"/>
      </w:pPr>
      <w:r>
        <w:t>表3-2　实时物料平衡根因分析业务流程说明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69575813">
        <w:trPr>
          <w:cantSplit/>
          <w:tblHeader/>
          <w:jc w:val="center"/>
        </w:trPr>
        <w:tc>
          <w:tcPr>
            <w:tcW w:w="650" w:type="dxa"/>
            <w:shd w:val="clear" w:color="auto" w:fill="FFFFFF"/>
            <w:vAlign w:val="center"/>
          </w:tcPr>
          <w:p w14:paraId="6AD297BF">
            <w:pPr>
              <w:keepNext/>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2D74C7BF">
            <w:pPr>
              <w:keepNext/>
              <w:spacing w:before="0" w:after="0" w:line="240" w:lineRule="auto"/>
              <w:ind w:left="0" w:right="0" w:firstLine="0" w:firstLineChars="0"/>
              <w:jc w:val="center"/>
            </w:pPr>
            <w:r>
              <w:rPr>
                <w:rFonts w:ascii="宋体" w:hAnsi="宋体" w:eastAsia="宋体" w:cs="宋体"/>
                <w:b/>
                <w:bCs/>
                <w:color w:val="000000"/>
                <w:sz w:val="16"/>
                <w:szCs w:val="16"/>
              </w:rPr>
              <w:t>节点名称</w:t>
            </w:r>
          </w:p>
        </w:tc>
        <w:tc>
          <w:tcPr>
            <w:tcW w:w="950" w:type="dxa"/>
            <w:shd w:val="clear" w:color="auto" w:fill="FFFFFF"/>
            <w:vAlign w:val="center"/>
          </w:tcPr>
          <w:p w14:paraId="0640743D">
            <w:pPr>
              <w:keepNext/>
              <w:spacing w:before="0" w:after="0" w:line="240" w:lineRule="auto"/>
              <w:ind w:left="0" w:right="0" w:firstLine="0" w:firstLineChars="0"/>
              <w:jc w:val="center"/>
            </w:pPr>
            <w:r>
              <w:rPr>
                <w:rFonts w:ascii="宋体" w:hAnsi="宋体" w:eastAsia="宋体" w:cs="宋体"/>
                <w:b/>
                <w:bCs/>
                <w:color w:val="000000"/>
                <w:sz w:val="16"/>
                <w:szCs w:val="16"/>
              </w:rPr>
              <w:t>责任节点</w:t>
            </w:r>
          </w:p>
        </w:tc>
        <w:tc>
          <w:tcPr>
            <w:tcW w:w="1350" w:type="dxa"/>
            <w:shd w:val="clear" w:color="auto" w:fill="FFFFFF"/>
            <w:vAlign w:val="center"/>
          </w:tcPr>
          <w:p w14:paraId="708A7B03">
            <w:pPr>
              <w:keepNext/>
              <w:spacing w:before="0" w:after="0" w:line="240" w:lineRule="auto"/>
              <w:ind w:left="0" w:right="0" w:firstLine="0" w:firstLineChars="0"/>
              <w:jc w:val="center"/>
            </w:pPr>
            <w:r>
              <w:rPr>
                <w:rFonts w:ascii="宋体" w:hAnsi="宋体" w:eastAsia="宋体" w:cs="宋体"/>
                <w:b/>
                <w:bCs/>
                <w:color w:val="000000"/>
                <w:sz w:val="16"/>
                <w:szCs w:val="16"/>
              </w:rPr>
              <w:t>输入/输出</w:t>
            </w:r>
          </w:p>
        </w:tc>
        <w:tc>
          <w:tcPr>
            <w:tcW w:w="2000" w:type="dxa"/>
            <w:shd w:val="clear" w:color="auto" w:fill="FFFFFF"/>
            <w:vAlign w:val="center"/>
          </w:tcPr>
          <w:p w14:paraId="5E9411A7">
            <w:pPr>
              <w:keepNext/>
              <w:spacing w:before="0" w:after="0" w:line="240" w:lineRule="auto"/>
              <w:ind w:left="0" w:right="0" w:firstLine="0" w:firstLineChars="0"/>
              <w:jc w:val="center"/>
            </w:pPr>
            <w:r>
              <w:rPr>
                <w:rFonts w:ascii="宋体" w:hAnsi="宋体" w:eastAsia="宋体" w:cs="宋体"/>
                <w:b/>
                <w:bCs/>
                <w:color w:val="000000"/>
                <w:sz w:val="16"/>
                <w:szCs w:val="16"/>
              </w:rPr>
              <w:t>处理说明</w:t>
            </w:r>
          </w:p>
        </w:tc>
        <w:tc>
          <w:tcPr>
            <w:tcW w:w="1072" w:type="dxa"/>
            <w:shd w:val="clear" w:color="auto" w:fill="FFFFFF"/>
            <w:vAlign w:val="center"/>
          </w:tcPr>
          <w:p w14:paraId="5EB6E809">
            <w:pPr>
              <w:keepNext/>
              <w:spacing w:before="0" w:after="0" w:line="240" w:lineRule="auto"/>
              <w:ind w:left="0" w:right="0" w:firstLine="0" w:firstLineChars="0"/>
              <w:jc w:val="center"/>
            </w:pPr>
            <w:r>
              <w:rPr>
                <w:rFonts w:ascii="宋体" w:hAnsi="宋体" w:eastAsia="宋体" w:cs="宋体"/>
                <w:b/>
                <w:bCs/>
                <w:color w:val="000000"/>
                <w:sz w:val="16"/>
                <w:szCs w:val="16"/>
              </w:rPr>
              <w:t>异常/分支</w:t>
            </w:r>
          </w:p>
        </w:tc>
        <w:tc>
          <w:tcPr>
            <w:tcW w:w="2000" w:type="dxa"/>
            <w:shd w:val="clear" w:color="auto" w:fill="FFFFFF"/>
            <w:vAlign w:val="center"/>
          </w:tcPr>
          <w:p w14:paraId="1532EB1C">
            <w:pPr>
              <w:keepNext/>
              <w:spacing w:before="0" w:after="0" w:line="240" w:lineRule="auto"/>
              <w:ind w:left="0" w:right="0" w:firstLine="0" w:firstLineChars="0"/>
              <w:jc w:val="center"/>
            </w:pPr>
            <w:r>
              <w:rPr>
                <w:rFonts w:ascii="宋体" w:hAnsi="宋体" w:eastAsia="宋体" w:cs="宋体"/>
                <w:b/>
                <w:bCs/>
                <w:color w:val="000000"/>
                <w:sz w:val="16"/>
                <w:szCs w:val="16"/>
              </w:rPr>
              <w:t>关联规则</w:t>
            </w:r>
          </w:p>
        </w:tc>
      </w:tr>
      <w:tr w14:paraId="195C9B99">
        <w:trPr>
          <w:cantSplit/>
          <w:jc w:val="center"/>
        </w:trPr>
        <w:tc>
          <w:tcPr>
            <w:tcW w:w="650" w:type="dxa"/>
            <w:shd w:val="clear" w:color="auto" w:fill="FFFFFF"/>
            <w:vAlign w:val="center"/>
          </w:tcPr>
          <w:p w14:paraId="7878B06F">
            <w:pPr>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7D70DA17">
            <w:pPr>
              <w:spacing w:before="0" w:after="0" w:line="240" w:lineRule="auto"/>
              <w:ind w:left="0" w:right="0" w:firstLine="0" w:firstLineChars="0"/>
              <w:jc w:val="center"/>
            </w:pPr>
            <w:r>
              <w:rPr>
                <w:rFonts w:ascii="宋体" w:hAnsi="宋体" w:eastAsia="宋体" w:cs="宋体"/>
                <w:b w:val="0"/>
                <w:bCs w:val="0"/>
                <w:color w:val="000000"/>
                <w:sz w:val="16"/>
                <w:szCs w:val="16"/>
              </w:rPr>
              <w:t>接收偏差或主动分析</w:t>
            </w:r>
          </w:p>
        </w:tc>
        <w:tc>
          <w:tcPr>
            <w:tcW w:w="950" w:type="dxa"/>
            <w:shd w:val="clear" w:color="auto" w:fill="FFFFFF"/>
            <w:vAlign w:val="center"/>
          </w:tcPr>
          <w:p w14:paraId="0C390067">
            <w:pPr>
              <w:spacing w:before="0" w:after="0" w:line="240" w:lineRule="auto"/>
              <w:ind w:left="0" w:right="0" w:firstLine="0" w:firstLineChars="0"/>
              <w:jc w:val="center"/>
            </w:pPr>
            <w:r>
              <w:rPr>
                <w:rFonts w:ascii="宋体" w:hAnsi="宋体" w:eastAsia="宋体" w:cs="宋体"/>
                <w:b w:val="0"/>
                <w:bCs w:val="0"/>
                <w:color w:val="000000"/>
                <w:sz w:val="16"/>
                <w:szCs w:val="16"/>
              </w:rPr>
              <w:t>事件源与用户</w:t>
            </w:r>
          </w:p>
        </w:tc>
        <w:tc>
          <w:tcPr>
            <w:tcW w:w="1350" w:type="dxa"/>
            <w:shd w:val="clear" w:color="auto" w:fill="FFFFFF"/>
            <w:vAlign w:val="center"/>
          </w:tcPr>
          <w:p w14:paraId="0CFD5786">
            <w:pPr>
              <w:spacing w:before="0" w:after="0" w:line="240" w:lineRule="auto"/>
              <w:ind w:left="0" w:right="0" w:firstLine="0" w:firstLineChars="0"/>
              <w:jc w:val="left"/>
            </w:pPr>
            <w:r>
              <w:rPr>
                <w:rFonts w:ascii="宋体" w:hAnsi="宋体" w:eastAsia="宋体" w:cs="宋体"/>
                <w:b w:val="0"/>
                <w:bCs w:val="0"/>
                <w:color w:val="000000"/>
                <w:sz w:val="16"/>
                <w:szCs w:val="16"/>
              </w:rPr>
              <w:t>输入：按实时计量数据与确认规则形成的物料平衡偏差事件或主动提问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输出：分析请求</w:t>
            </w:r>
          </w:p>
        </w:tc>
        <w:tc>
          <w:tcPr>
            <w:tcW w:w="2000" w:type="dxa"/>
            <w:shd w:val="clear" w:color="auto" w:fill="FFFFFF"/>
            <w:vAlign w:val="center"/>
          </w:tcPr>
          <w:p w14:paraId="521F61AC">
            <w:pPr>
              <w:spacing w:before="0" w:after="0" w:line="240" w:lineRule="auto"/>
              <w:ind w:left="0" w:right="0" w:firstLine="0" w:firstLineChars="0"/>
              <w:jc w:val="left"/>
            </w:pPr>
            <w:r>
              <w:rPr>
                <w:rFonts w:ascii="宋体" w:hAnsi="宋体" w:eastAsia="宋体" w:cs="宋体"/>
                <w:b w:val="0"/>
                <w:bCs w:val="0"/>
                <w:color w:val="000000"/>
                <w:sz w:val="16"/>
                <w:szCs w:val="16"/>
              </w:rPr>
              <w:t>按已确认的工序边界和动态时间切片规则，使用实时计量数据计算投入产出及偏差，满足触发条件时发起分析；也可按批次、时间点和工序主动提出分析请求。保留触发条件、数据时间窗及来源。</w:t>
            </w:r>
          </w:p>
        </w:tc>
        <w:tc>
          <w:tcPr>
            <w:tcW w:w="1072" w:type="dxa"/>
            <w:shd w:val="clear" w:color="auto" w:fill="FFFFFF"/>
            <w:vAlign w:val="center"/>
          </w:tcPr>
          <w:p w14:paraId="2410D0F9">
            <w:pPr>
              <w:spacing w:before="0" w:after="0" w:line="240" w:lineRule="auto"/>
              <w:ind w:left="0" w:right="0" w:firstLine="0" w:firstLineChars="0"/>
              <w:jc w:val="left"/>
            </w:pPr>
            <w:r>
              <w:rPr>
                <w:rFonts w:ascii="宋体" w:hAnsi="宋体" w:eastAsia="宋体" w:cs="宋体"/>
                <w:b w:val="0"/>
                <w:bCs w:val="0"/>
                <w:color w:val="000000"/>
                <w:sz w:val="16"/>
                <w:szCs w:val="16"/>
              </w:rPr>
              <w:t>→02</w:t>
            </w:r>
          </w:p>
        </w:tc>
        <w:tc>
          <w:tcPr>
            <w:tcW w:w="2000" w:type="dxa"/>
            <w:shd w:val="clear" w:color="auto" w:fill="FFFFFF"/>
            <w:vAlign w:val="center"/>
          </w:tcPr>
          <w:p w14:paraId="5AEA6227">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P-ZLTC-AI-WLPHGY-102-01-001</w:t>
            </w:r>
          </w:p>
        </w:tc>
      </w:tr>
      <w:tr w14:paraId="74962CBA">
        <w:trPr>
          <w:cantSplit/>
          <w:jc w:val="center"/>
        </w:trPr>
        <w:tc>
          <w:tcPr>
            <w:tcW w:w="650" w:type="dxa"/>
            <w:shd w:val="clear" w:color="auto" w:fill="FFFFFF"/>
            <w:vAlign w:val="center"/>
          </w:tcPr>
          <w:p w14:paraId="121CFA06">
            <w:pPr>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75C5138B">
            <w:pPr>
              <w:spacing w:before="0" w:after="0" w:line="240" w:lineRule="auto"/>
              <w:ind w:left="0" w:right="0" w:firstLine="0" w:firstLineChars="0"/>
              <w:jc w:val="center"/>
            </w:pPr>
            <w:r>
              <w:rPr>
                <w:rFonts w:ascii="宋体" w:hAnsi="宋体" w:eastAsia="宋体" w:cs="宋体"/>
                <w:b w:val="0"/>
                <w:bCs w:val="0"/>
                <w:color w:val="000000"/>
                <w:sz w:val="16"/>
                <w:szCs w:val="16"/>
              </w:rPr>
              <w:t>识别对象并合并任务</w:t>
            </w:r>
          </w:p>
        </w:tc>
        <w:tc>
          <w:tcPr>
            <w:tcW w:w="950" w:type="dxa"/>
            <w:shd w:val="clear" w:color="auto" w:fill="FFFFFF"/>
            <w:vAlign w:val="center"/>
          </w:tcPr>
          <w:p w14:paraId="3C23B871">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0DF59025">
            <w:pPr>
              <w:spacing w:before="0" w:after="0" w:line="240" w:lineRule="auto"/>
              <w:ind w:left="0" w:right="0" w:firstLine="0" w:firstLineChars="0"/>
              <w:jc w:val="left"/>
            </w:pPr>
            <w:r>
              <w:rPr>
                <w:rFonts w:ascii="宋体" w:hAnsi="宋体" w:eastAsia="宋体" w:cs="宋体"/>
                <w:b w:val="0"/>
                <w:bCs w:val="0"/>
                <w:color w:val="000000"/>
                <w:sz w:val="16"/>
                <w:szCs w:val="16"/>
              </w:rPr>
              <w:t>输入：事件或提问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输出：对象与时间窗</w:t>
            </w:r>
          </w:p>
        </w:tc>
        <w:tc>
          <w:tcPr>
            <w:tcW w:w="2000" w:type="dxa"/>
            <w:shd w:val="clear" w:color="auto" w:fill="FFFFFF"/>
            <w:vAlign w:val="center"/>
          </w:tcPr>
          <w:p w14:paraId="52BD46FF">
            <w:pPr>
              <w:spacing w:before="0" w:after="0" w:line="240" w:lineRule="auto"/>
              <w:ind w:left="0" w:right="0" w:firstLine="0" w:firstLineChars="0"/>
              <w:jc w:val="left"/>
            </w:pPr>
            <w:r>
              <w:rPr>
                <w:rFonts w:ascii="宋体" w:hAnsi="宋体" w:eastAsia="宋体" w:cs="宋体"/>
                <w:b w:val="0"/>
                <w:bCs w:val="0"/>
                <w:color w:val="000000"/>
                <w:sz w:val="16"/>
                <w:szCs w:val="16"/>
              </w:rPr>
              <w:t>确定对象与时间窗，同一节点连续多窗偏差依据事件责任与推送规则合并任务。</w:t>
            </w:r>
          </w:p>
        </w:tc>
        <w:tc>
          <w:tcPr>
            <w:tcW w:w="1072" w:type="dxa"/>
            <w:shd w:val="clear" w:color="auto" w:fill="FFFFFF"/>
            <w:vAlign w:val="center"/>
          </w:tcPr>
          <w:p w14:paraId="00143F45">
            <w:pPr>
              <w:spacing w:before="0" w:after="0" w:line="240" w:lineRule="auto"/>
              <w:ind w:left="0" w:right="0" w:firstLine="0" w:firstLineChars="0"/>
              <w:jc w:val="left"/>
            </w:pPr>
            <w:r>
              <w:rPr>
                <w:rFonts w:ascii="宋体" w:hAnsi="宋体" w:eastAsia="宋体" w:cs="宋体"/>
                <w:b w:val="0"/>
                <w:bCs w:val="0"/>
                <w:color w:val="000000"/>
                <w:sz w:val="16"/>
                <w:szCs w:val="16"/>
              </w:rPr>
              <w:t>→03</w:t>
            </w:r>
          </w:p>
        </w:tc>
        <w:tc>
          <w:tcPr>
            <w:tcW w:w="2000" w:type="dxa"/>
            <w:shd w:val="clear" w:color="auto" w:fill="FFFFFF"/>
            <w:vAlign w:val="center"/>
          </w:tcPr>
          <w:p w14:paraId="245D07D2">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P-ZLTC-AI-WLPHGY-102-01-001</w:t>
            </w:r>
          </w:p>
        </w:tc>
      </w:tr>
      <w:tr w14:paraId="6B01DA41">
        <w:trPr>
          <w:cantSplit/>
          <w:jc w:val="center"/>
        </w:trPr>
        <w:tc>
          <w:tcPr>
            <w:tcW w:w="650" w:type="dxa"/>
            <w:shd w:val="clear" w:color="auto" w:fill="FFFFFF"/>
            <w:vAlign w:val="center"/>
          </w:tcPr>
          <w:p w14:paraId="0C61A02A">
            <w:pPr>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1A0F95B0">
            <w:pPr>
              <w:spacing w:before="0" w:after="0" w:line="240" w:lineRule="auto"/>
              <w:ind w:left="0" w:right="0" w:firstLine="0" w:firstLineChars="0"/>
              <w:jc w:val="center"/>
            </w:pPr>
            <w:r>
              <w:rPr>
                <w:rFonts w:ascii="宋体" w:hAnsi="宋体" w:eastAsia="宋体" w:cs="宋体"/>
                <w:b w:val="0"/>
                <w:bCs w:val="0"/>
                <w:color w:val="000000"/>
                <w:sz w:val="16"/>
                <w:szCs w:val="16"/>
              </w:rPr>
              <w:t>查询既有分析结论</w:t>
            </w:r>
          </w:p>
        </w:tc>
        <w:tc>
          <w:tcPr>
            <w:tcW w:w="950" w:type="dxa"/>
            <w:shd w:val="clear" w:color="auto" w:fill="FFFFFF"/>
            <w:vAlign w:val="center"/>
          </w:tcPr>
          <w:p w14:paraId="3D5F2638">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1D4BCF74">
            <w:pPr>
              <w:spacing w:before="0" w:after="0" w:line="240" w:lineRule="auto"/>
              <w:ind w:left="0" w:right="0" w:firstLine="0" w:firstLineChars="0"/>
              <w:jc w:val="left"/>
            </w:pPr>
            <w:r>
              <w:rPr>
                <w:rFonts w:ascii="宋体" w:hAnsi="宋体" w:eastAsia="宋体" w:cs="宋体"/>
                <w:b w:val="0"/>
                <w:bCs w:val="0"/>
                <w:color w:val="000000"/>
                <w:sz w:val="16"/>
                <w:szCs w:val="16"/>
              </w:rPr>
              <w:t>输入：对象、时间窗、业务身份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输出：既有报告或新分析要求</w:t>
            </w:r>
          </w:p>
        </w:tc>
        <w:tc>
          <w:tcPr>
            <w:tcW w:w="2000" w:type="dxa"/>
            <w:shd w:val="clear" w:color="auto" w:fill="FFFFFF"/>
            <w:vAlign w:val="center"/>
          </w:tcPr>
          <w:p w14:paraId="0A0BFB78">
            <w:pPr>
              <w:spacing w:before="0" w:after="0" w:line="240" w:lineRule="auto"/>
              <w:ind w:left="0" w:right="0" w:firstLine="0" w:firstLineChars="0"/>
              <w:jc w:val="left"/>
            </w:pPr>
            <w:r>
              <w:rPr>
                <w:rFonts w:ascii="宋体" w:hAnsi="宋体" w:eastAsia="宋体" w:cs="宋体"/>
                <w:b w:val="0"/>
                <w:bCs w:val="0"/>
                <w:color w:val="000000"/>
                <w:sz w:val="16"/>
                <w:szCs w:val="16"/>
              </w:rPr>
              <w:t>按对象、时间窗与业务授权查台账，复用原报告及确认状态。</w:t>
            </w:r>
          </w:p>
        </w:tc>
        <w:tc>
          <w:tcPr>
            <w:tcW w:w="1072" w:type="dxa"/>
            <w:shd w:val="clear" w:color="auto" w:fill="FFFFFF"/>
            <w:vAlign w:val="center"/>
          </w:tcPr>
          <w:p w14:paraId="1D031A26">
            <w:pPr>
              <w:spacing w:before="0" w:after="0" w:line="240" w:lineRule="auto"/>
              <w:ind w:left="0" w:right="0" w:firstLine="0" w:firstLineChars="0"/>
              <w:jc w:val="left"/>
            </w:pPr>
            <w:r>
              <w:rPr>
                <w:rFonts w:ascii="宋体" w:hAnsi="宋体" w:eastAsia="宋体" w:cs="宋体"/>
                <w:b w:val="0"/>
                <w:bCs w:val="0"/>
                <w:color w:val="000000"/>
                <w:sz w:val="16"/>
                <w:szCs w:val="16"/>
              </w:rPr>
              <w:t>报告命中→10；</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新分析→04</w:t>
            </w:r>
          </w:p>
        </w:tc>
        <w:tc>
          <w:tcPr>
            <w:tcW w:w="2000" w:type="dxa"/>
            <w:shd w:val="clear" w:color="auto" w:fill="FFFFFF"/>
            <w:vAlign w:val="center"/>
          </w:tcPr>
          <w:p w14:paraId="58B93D7C">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P-ZLTC-AI-WLPHGY-102-03-001</w:t>
            </w:r>
          </w:p>
        </w:tc>
      </w:tr>
      <w:tr w14:paraId="559EA235">
        <w:trPr>
          <w:cantSplit/>
          <w:jc w:val="center"/>
        </w:trPr>
        <w:tc>
          <w:tcPr>
            <w:tcW w:w="650" w:type="dxa"/>
            <w:shd w:val="clear" w:color="auto" w:fill="FFFFFF"/>
            <w:vAlign w:val="center"/>
          </w:tcPr>
          <w:p w14:paraId="49EA663A">
            <w:pPr>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4E286975">
            <w:pPr>
              <w:spacing w:before="0" w:after="0" w:line="240" w:lineRule="auto"/>
              <w:ind w:left="0" w:right="0" w:firstLine="0" w:firstLineChars="0"/>
              <w:jc w:val="center"/>
            </w:pPr>
            <w:r>
              <w:rPr>
                <w:rFonts w:ascii="宋体" w:hAnsi="宋体" w:eastAsia="宋体" w:cs="宋体"/>
                <w:b w:val="0"/>
                <w:bCs w:val="0"/>
                <w:color w:val="000000"/>
                <w:sz w:val="16"/>
                <w:szCs w:val="16"/>
              </w:rPr>
              <w:t>按工艺关系查询数据</w:t>
            </w:r>
          </w:p>
        </w:tc>
        <w:tc>
          <w:tcPr>
            <w:tcW w:w="950" w:type="dxa"/>
            <w:shd w:val="clear" w:color="auto" w:fill="FFFFFF"/>
            <w:vAlign w:val="center"/>
          </w:tcPr>
          <w:p w14:paraId="5EA00888">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1485624D">
            <w:pPr>
              <w:spacing w:before="0" w:after="0" w:line="240" w:lineRule="auto"/>
              <w:ind w:left="0" w:right="0" w:firstLine="0" w:firstLineChars="0"/>
              <w:jc w:val="left"/>
            </w:pPr>
            <w:r>
              <w:rPr>
                <w:rFonts w:ascii="宋体" w:hAnsi="宋体" w:eastAsia="宋体" w:cs="宋体"/>
                <w:b w:val="0"/>
                <w:bCs w:val="0"/>
                <w:color w:val="000000"/>
                <w:sz w:val="16"/>
                <w:szCs w:val="16"/>
              </w:rPr>
              <w:t>输入：对象、时间窗与取证路线</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输出：证据包或失败状态</w:t>
            </w:r>
          </w:p>
        </w:tc>
        <w:tc>
          <w:tcPr>
            <w:tcW w:w="2000" w:type="dxa"/>
            <w:shd w:val="clear" w:color="auto" w:fill="FFFFFF"/>
            <w:vAlign w:val="center"/>
          </w:tcPr>
          <w:p w14:paraId="0317001C">
            <w:pPr>
              <w:spacing w:before="0" w:after="0" w:line="240" w:lineRule="auto"/>
              <w:ind w:left="0" w:right="0" w:firstLine="0" w:firstLineChars="0"/>
              <w:jc w:val="left"/>
            </w:pPr>
            <w:r>
              <w:rPr>
                <w:rFonts w:ascii="宋体" w:hAnsi="宋体" w:eastAsia="宋体" w:cs="宋体"/>
                <w:b w:val="0"/>
                <w:bCs w:val="0"/>
                <w:color w:val="000000"/>
                <w:sz w:val="16"/>
                <w:szCs w:val="16"/>
              </w:rPr>
              <w:t>从异常工序沿前后工艺关系联查浓度、温度、喷射温度、设备运行、报警、维修与仪表标定，覆盖已完成的相关上游工序。携带最终业务用户身份，按平台授权校验后由AI数据治理供数。其中DCS及实时数据库提供工艺参数和报警时序，MES关联工序与批次，EAM提供设备与检修记录，已接入PHM信息补充设备预警及故障证据；仪表标定资料沿用治理后已确认的依据。</w:t>
            </w:r>
          </w:p>
        </w:tc>
        <w:tc>
          <w:tcPr>
            <w:tcW w:w="1072" w:type="dxa"/>
            <w:shd w:val="clear" w:color="auto" w:fill="FFFFFF"/>
            <w:vAlign w:val="center"/>
          </w:tcPr>
          <w:p w14:paraId="65E43433">
            <w:pPr>
              <w:spacing w:before="0" w:after="0" w:line="240" w:lineRule="auto"/>
              <w:ind w:left="0" w:right="0" w:firstLine="0" w:firstLineChars="0"/>
              <w:jc w:val="left"/>
            </w:pPr>
            <w:r>
              <w:rPr>
                <w:rFonts w:ascii="宋体" w:hAnsi="宋体" w:eastAsia="宋体" w:cs="宋体"/>
                <w:b w:val="0"/>
                <w:bCs w:val="0"/>
                <w:color w:val="000000"/>
                <w:sz w:val="16"/>
                <w:szCs w:val="16"/>
              </w:rPr>
              <w:t>必需证据缺失→05；</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证据可用→06</w:t>
            </w:r>
          </w:p>
        </w:tc>
        <w:tc>
          <w:tcPr>
            <w:tcW w:w="2000" w:type="dxa"/>
            <w:shd w:val="clear" w:color="auto" w:fill="FFFFFF"/>
            <w:vAlign w:val="center"/>
          </w:tcPr>
          <w:p w14:paraId="07C34D69">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p>
        </w:tc>
      </w:tr>
      <w:tr w14:paraId="1249C254">
        <w:trPr>
          <w:cantSplit/>
          <w:jc w:val="center"/>
        </w:trPr>
        <w:tc>
          <w:tcPr>
            <w:tcW w:w="650" w:type="dxa"/>
            <w:shd w:val="clear" w:color="auto" w:fill="FFFFFF"/>
            <w:vAlign w:val="center"/>
          </w:tcPr>
          <w:p w14:paraId="29F71654">
            <w:pPr>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43F5359B">
            <w:pPr>
              <w:spacing w:before="0" w:after="0" w:line="240" w:lineRule="auto"/>
              <w:ind w:left="0" w:right="0" w:firstLine="0" w:firstLineChars="0"/>
              <w:jc w:val="center"/>
            </w:pPr>
            <w:r>
              <w:rPr>
                <w:rFonts w:ascii="宋体" w:hAnsi="宋体" w:eastAsia="宋体" w:cs="宋体"/>
                <w:b w:val="0"/>
                <w:bCs w:val="0"/>
                <w:color w:val="000000"/>
                <w:sz w:val="16"/>
                <w:szCs w:val="16"/>
              </w:rPr>
              <w:t>说明必需证据失败</w:t>
            </w:r>
          </w:p>
        </w:tc>
        <w:tc>
          <w:tcPr>
            <w:tcW w:w="950" w:type="dxa"/>
            <w:shd w:val="clear" w:color="auto" w:fill="FFFFFF"/>
            <w:vAlign w:val="center"/>
          </w:tcPr>
          <w:p w14:paraId="655B64CE">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07CEEAEF">
            <w:pPr>
              <w:spacing w:before="0" w:after="0" w:line="240" w:lineRule="auto"/>
              <w:ind w:left="0" w:right="0" w:firstLine="0" w:firstLineChars="0"/>
              <w:jc w:val="left"/>
            </w:pPr>
            <w:r>
              <w:rPr>
                <w:rFonts w:ascii="宋体" w:hAnsi="宋体" w:eastAsia="宋体" w:cs="宋体"/>
                <w:b w:val="0"/>
                <w:bCs w:val="0"/>
                <w:color w:val="000000"/>
                <w:sz w:val="16"/>
                <w:szCs w:val="16"/>
              </w:rPr>
              <w:t>输入：必需证据失败</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输出：终止说明</w:t>
            </w:r>
          </w:p>
        </w:tc>
        <w:tc>
          <w:tcPr>
            <w:tcW w:w="2000" w:type="dxa"/>
            <w:shd w:val="clear" w:color="auto" w:fill="FFFFFF"/>
            <w:vAlign w:val="center"/>
          </w:tcPr>
          <w:p w14:paraId="368EBA25">
            <w:pPr>
              <w:spacing w:before="0" w:after="0" w:line="240" w:lineRule="auto"/>
              <w:ind w:left="0" w:right="0" w:firstLine="0" w:firstLineChars="0"/>
              <w:jc w:val="left"/>
            </w:pPr>
            <w:r>
              <w:rPr>
                <w:rFonts w:ascii="宋体" w:hAnsi="宋体" w:eastAsia="宋体" w:cs="宋体"/>
                <w:b w:val="0"/>
                <w:bCs w:val="0"/>
                <w:color w:val="000000"/>
                <w:sz w:val="16"/>
                <w:szCs w:val="16"/>
              </w:rPr>
              <w:t>说明必需证据的权限、缺失或执行失败状态，保留对应调用和证据记录，本次分析以原因说明结束。</w:t>
            </w:r>
          </w:p>
        </w:tc>
        <w:tc>
          <w:tcPr>
            <w:tcW w:w="1072" w:type="dxa"/>
            <w:shd w:val="clear" w:color="auto" w:fill="FFFFFF"/>
            <w:vAlign w:val="center"/>
          </w:tcPr>
          <w:p w14:paraId="6BC27FD9">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74F09FD5">
            <w:pPr>
              <w:spacing w:before="0" w:after="0" w:line="240" w:lineRule="auto"/>
              <w:ind w:left="0" w:right="0" w:firstLine="0" w:firstLineChars="0"/>
              <w:jc w:val="left"/>
            </w:pPr>
            <w:r>
              <w:rPr>
                <w:rFonts w:ascii="宋体" w:hAnsi="宋体" w:eastAsia="宋体" w:cs="宋体"/>
                <w:b w:val="0"/>
                <w:bCs w:val="0"/>
                <w:color w:val="000000"/>
                <w:sz w:val="16"/>
                <w:szCs w:val="16"/>
              </w:rPr>
              <w:t>P-ZLTC-AI-ZNWS-101-08-003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75683798">
        <w:trPr>
          <w:cantSplit/>
          <w:jc w:val="center"/>
        </w:trPr>
        <w:tc>
          <w:tcPr>
            <w:tcW w:w="650" w:type="dxa"/>
            <w:shd w:val="clear" w:color="auto" w:fill="FFFFFF"/>
            <w:vAlign w:val="center"/>
          </w:tcPr>
          <w:p w14:paraId="5DF9FF5D">
            <w:pPr>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697CE308">
            <w:pPr>
              <w:spacing w:before="0" w:after="0" w:line="240" w:lineRule="auto"/>
              <w:ind w:left="0" w:right="0" w:firstLine="0" w:firstLineChars="0"/>
              <w:jc w:val="center"/>
            </w:pPr>
            <w:r>
              <w:rPr>
                <w:rFonts w:ascii="宋体" w:hAnsi="宋体" w:eastAsia="宋体" w:cs="宋体"/>
                <w:b w:val="0"/>
                <w:bCs w:val="0"/>
                <w:color w:val="000000"/>
                <w:sz w:val="16"/>
                <w:szCs w:val="16"/>
              </w:rPr>
              <w:t>核对实时平衡结果</w:t>
            </w:r>
          </w:p>
        </w:tc>
        <w:tc>
          <w:tcPr>
            <w:tcW w:w="950" w:type="dxa"/>
            <w:shd w:val="clear" w:color="auto" w:fill="FFFFFF"/>
            <w:vAlign w:val="center"/>
          </w:tcPr>
          <w:p w14:paraId="7345FA48">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04299CAC">
            <w:pPr>
              <w:spacing w:before="0" w:after="0" w:line="240" w:lineRule="auto"/>
              <w:ind w:left="0" w:right="0" w:firstLine="0" w:firstLineChars="0"/>
              <w:jc w:val="left"/>
            </w:pPr>
            <w:r>
              <w:rPr>
                <w:rFonts w:ascii="宋体" w:hAnsi="宋体" w:eastAsia="宋体" w:cs="宋体"/>
                <w:b w:val="0"/>
                <w:bCs w:val="0"/>
                <w:color w:val="000000"/>
                <w:sz w:val="16"/>
                <w:szCs w:val="16"/>
              </w:rPr>
              <w:t>输入：程序按实时数据与确认规则计算的投入产出及偏差、基准和取证包</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输出：投入产出、偏差与关键差异判断</w:t>
            </w:r>
          </w:p>
        </w:tc>
        <w:tc>
          <w:tcPr>
            <w:tcW w:w="2000" w:type="dxa"/>
            <w:shd w:val="clear" w:color="auto" w:fill="FFFFFF"/>
            <w:vAlign w:val="center"/>
          </w:tcPr>
          <w:p w14:paraId="65A42F0D">
            <w:pPr>
              <w:spacing w:before="0" w:after="0" w:line="240" w:lineRule="auto"/>
              <w:ind w:left="0" w:right="0" w:firstLine="0" w:firstLineChars="0"/>
              <w:jc w:val="left"/>
            </w:pPr>
            <w:r>
              <w:rPr>
                <w:rFonts w:ascii="宋体" w:hAnsi="宋体" w:eastAsia="宋体" w:cs="宋体"/>
                <w:b w:val="0"/>
                <w:bCs w:val="0"/>
                <w:color w:val="000000"/>
                <w:sz w:val="16"/>
                <w:szCs w:val="16"/>
              </w:rPr>
              <w:t>核对由实时计量与工艺数据按已确认的工序边界、动态时间切片及公式，经程序计算形成的投入、产出和偏差；对照工艺包允许损失率、偏差阈值及仪表标定证据，区分真实损耗与计量误差型假偏差。疑似计量偏差明确标注，计算公式、时间窗、因子和核算明细留存备查；原始计量及工艺测点追溯至DCS与实时数据库，工序和批次关系追溯至MES。</w:t>
            </w:r>
          </w:p>
        </w:tc>
        <w:tc>
          <w:tcPr>
            <w:tcW w:w="1072" w:type="dxa"/>
            <w:shd w:val="clear" w:color="auto" w:fill="FFFFFF"/>
            <w:vAlign w:val="center"/>
          </w:tcPr>
          <w:p w14:paraId="3F03A78E">
            <w:pPr>
              <w:spacing w:before="0" w:after="0" w:line="240" w:lineRule="auto"/>
              <w:ind w:left="0" w:right="0" w:firstLine="0" w:firstLineChars="0"/>
              <w:jc w:val="left"/>
            </w:pPr>
            <w:r>
              <w:rPr>
                <w:rFonts w:ascii="宋体" w:hAnsi="宋体" w:eastAsia="宋体" w:cs="宋体"/>
                <w:b w:val="0"/>
                <w:bCs w:val="0"/>
                <w:color w:val="000000"/>
                <w:sz w:val="16"/>
                <w:szCs w:val="16"/>
              </w:rPr>
              <w:t>→07</w:t>
            </w:r>
          </w:p>
        </w:tc>
        <w:tc>
          <w:tcPr>
            <w:tcW w:w="2000" w:type="dxa"/>
            <w:shd w:val="clear" w:color="auto" w:fill="FFFFFF"/>
            <w:vAlign w:val="center"/>
          </w:tcPr>
          <w:p w14:paraId="5B1293F3">
            <w:pPr>
              <w:spacing w:before="0" w:after="0" w:line="240" w:lineRule="auto"/>
              <w:ind w:left="0" w:right="0" w:firstLine="0" w:firstLineChars="0"/>
              <w:jc w:val="left"/>
            </w:pPr>
            <w:r>
              <w:rPr>
                <w:rFonts w:ascii="宋体" w:hAnsi="宋体" w:eastAsia="宋体" w:cs="宋体"/>
                <w:b w:val="0"/>
                <w:bCs w:val="0"/>
                <w:color w:val="000000"/>
                <w:sz w:val="16"/>
                <w:szCs w:val="16"/>
              </w:rPr>
              <w:t>P-ZLTC-AI-ZNWS-101-08-002</w:t>
            </w:r>
          </w:p>
        </w:tc>
      </w:tr>
      <w:tr w14:paraId="6C7C8812">
        <w:trPr>
          <w:cantSplit/>
          <w:jc w:val="center"/>
        </w:trPr>
        <w:tc>
          <w:tcPr>
            <w:tcW w:w="650" w:type="dxa"/>
            <w:shd w:val="clear" w:color="auto" w:fill="FFFFFF"/>
            <w:vAlign w:val="center"/>
          </w:tcPr>
          <w:p w14:paraId="0CA49B8B">
            <w:pPr>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61CEA934">
            <w:pPr>
              <w:spacing w:before="0" w:after="0" w:line="240" w:lineRule="auto"/>
              <w:ind w:left="0" w:right="0" w:firstLine="0" w:firstLineChars="0"/>
              <w:jc w:val="center"/>
            </w:pPr>
            <w:r>
              <w:rPr>
                <w:rFonts w:ascii="宋体" w:hAnsi="宋体" w:eastAsia="宋体" w:cs="宋体"/>
                <w:b w:val="0"/>
                <w:bCs w:val="0"/>
                <w:color w:val="000000"/>
                <w:sz w:val="16"/>
                <w:szCs w:val="16"/>
              </w:rPr>
              <w:t>逐项核查影响因素</w:t>
            </w:r>
          </w:p>
        </w:tc>
        <w:tc>
          <w:tcPr>
            <w:tcW w:w="950" w:type="dxa"/>
            <w:shd w:val="clear" w:color="auto" w:fill="FFFFFF"/>
            <w:vAlign w:val="center"/>
          </w:tcPr>
          <w:p w14:paraId="1795D872">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202B6E9D">
            <w:pPr>
              <w:spacing w:before="0" w:after="0" w:line="240" w:lineRule="auto"/>
              <w:ind w:left="0" w:right="0" w:firstLine="0" w:firstLineChars="0"/>
              <w:jc w:val="left"/>
            </w:pPr>
            <w:r>
              <w:rPr>
                <w:rFonts w:ascii="宋体" w:hAnsi="宋体" w:eastAsia="宋体" w:cs="宋体"/>
                <w:b w:val="0"/>
                <w:bCs w:val="0"/>
                <w:color w:val="000000"/>
                <w:sz w:val="16"/>
                <w:szCs w:val="16"/>
              </w:rPr>
              <w:t>输入：证据包、影响因素清单</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输出：逐项核证结果</w:t>
            </w:r>
          </w:p>
        </w:tc>
        <w:tc>
          <w:tcPr>
            <w:tcW w:w="2000" w:type="dxa"/>
            <w:shd w:val="clear" w:color="auto" w:fill="FFFFFF"/>
            <w:vAlign w:val="center"/>
          </w:tcPr>
          <w:p w14:paraId="4B1A387B">
            <w:pPr>
              <w:spacing w:before="0" w:after="0" w:line="240" w:lineRule="auto"/>
              <w:ind w:left="0" w:right="0" w:firstLine="0" w:firstLineChars="0"/>
              <w:jc w:val="left"/>
            </w:pPr>
            <w:r>
              <w:rPr>
                <w:rFonts w:ascii="宋体" w:hAnsi="宋体" w:eastAsia="宋体" w:cs="宋体"/>
                <w:b w:val="0"/>
                <w:bCs w:val="0"/>
                <w:color w:val="000000"/>
                <w:sz w:val="16"/>
                <w:szCs w:val="16"/>
              </w:rPr>
              <w:t>依据本场景影响因素清单逐项核对；未取证的因素不写成已验证结论。</w:t>
            </w:r>
          </w:p>
        </w:tc>
        <w:tc>
          <w:tcPr>
            <w:tcW w:w="1072" w:type="dxa"/>
            <w:shd w:val="clear" w:color="auto" w:fill="FFFFFF"/>
            <w:vAlign w:val="center"/>
          </w:tcPr>
          <w:p w14:paraId="51F83945">
            <w:pPr>
              <w:spacing w:before="0" w:after="0" w:line="240" w:lineRule="auto"/>
              <w:ind w:left="0" w:right="0" w:firstLine="0" w:firstLineChars="0"/>
              <w:jc w:val="left"/>
            </w:pPr>
            <w:r>
              <w:rPr>
                <w:rFonts w:ascii="宋体" w:hAnsi="宋体" w:eastAsia="宋体" w:cs="宋体"/>
                <w:b w:val="0"/>
                <w:bCs w:val="0"/>
                <w:color w:val="000000"/>
                <w:sz w:val="16"/>
                <w:szCs w:val="16"/>
              </w:rPr>
              <w:t>→08</w:t>
            </w:r>
          </w:p>
        </w:tc>
        <w:tc>
          <w:tcPr>
            <w:tcW w:w="2000" w:type="dxa"/>
            <w:shd w:val="clear" w:color="auto" w:fill="FFFFFF"/>
            <w:vAlign w:val="center"/>
          </w:tcPr>
          <w:p w14:paraId="568619EB">
            <w:pPr>
              <w:spacing w:before="0" w:after="0" w:line="240" w:lineRule="auto"/>
              <w:ind w:left="0" w:right="0" w:firstLine="0" w:firstLineChars="0"/>
              <w:jc w:val="left"/>
            </w:pPr>
            <w:r>
              <w:rPr>
                <w:rFonts w:ascii="宋体" w:hAnsi="宋体" w:eastAsia="宋体" w:cs="宋体"/>
                <w:b w:val="0"/>
                <w:bCs w:val="0"/>
                <w:color w:val="000000"/>
                <w:sz w:val="16"/>
                <w:szCs w:val="16"/>
              </w:rPr>
              <w:t>P-ZLTC-AI-WLPHGY-102-07-001</w:t>
            </w:r>
          </w:p>
        </w:tc>
      </w:tr>
      <w:tr w14:paraId="6AF7E2A4">
        <w:trPr>
          <w:cantSplit/>
          <w:jc w:val="center"/>
        </w:trPr>
        <w:tc>
          <w:tcPr>
            <w:tcW w:w="650" w:type="dxa"/>
            <w:shd w:val="clear" w:color="auto" w:fill="FFFFFF"/>
            <w:vAlign w:val="center"/>
          </w:tcPr>
          <w:p w14:paraId="53C12168">
            <w:pPr>
              <w:spacing w:before="0" w:after="0" w:line="240" w:lineRule="auto"/>
              <w:ind w:left="0" w:right="0" w:firstLine="0" w:firstLineChars="0"/>
              <w:jc w:val="center"/>
            </w:pPr>
            <w:r>
              <w:rPr>
                <w:rFonts w:ascii="宋体" w:hAnsi="宋体" w:eastAsia="宋体" w:cs="宋体"/>
                <w:b w:val="0"/>
                <w:bCs w:val="0"/>
                <w:color w:val="000000"/>
                <w:sz w:val="16"/>
                <w:szCs w:val="16"/>
              </w:rPr>
              <w:t>08</w:t>
            </w:r>
          </w:p>
        </w:tc>
        <w:tc>
          <w:tcPr>
            <w:tcW w:w="1050" w:type="dxa"/>
            <w:shd w:val="clear" w:color="auto" w:fill="FFFFFF"/>
            <w:vAlign w:val="center"/>
          </w:tcPr>
          <w:p w14:paraId="1E484D0F">
            <w:pPr>
              <w:spacing w:before="0" w:after="0" w:line="240" w:lineRule="auto"/>
              <w:ind w:left="0" w:right="0" w:firstLine="0" w:firstLineChars="0"/>
              <w:jc w:val="center"/>
            </w:pPr>
            <w:r>
              <w:rPr>
                <w:rFonts w:ascii="宋体" w:hAnsi="宋体" w:eastAsia="宋体" w:cs="宋体"/>
                <w:b w:val="0"/>
                <w:bCs w:val="0"/>
                <w:color w:val="000000"/>
                <w:sz w:val="16"/>
                <w:szCs w:val="16"/>
              </w:rPr>
              <w:t>形成分级分析结论</w:t>
            </w:r>
          </w:p>
        </w:tc>
        <w:tc>
          <w:tcPr>
            <w:tcW w:w="950" w:type="dxa"/>
            <w:shd w:val="clear" w:color="auto" w:fill="FFFFFF"/>
            <w:vAlign w:val="center"/>
          </w:tcPr>
          <w:p w14:paraId="2F64F88A">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16BEC2B5">
            <w:pPr>
              <w:spacing w:before="0" w:after="0" w:line="240" w:lineRule="auto"/>
              <w:ind w:left="0" w:right="0" w:firstLine="0" w:firstLineChars="0"/>
              <w:jc w:val="left"/>
            </w:pPr>
            <w:r>
              <w:rPr>
                <w:rFonts w:ascii="宋体" w:hAnsi="宋体" w:eastAsia="宋体" w:cs="宋体"/>
                <w:b w:val="0"/>
                <w:bCs w:val="0"/>
                <w:color w:val="000000"/>
                <w:sz w:val="16"/>
                <w:szCs w:val="16"/>
              </w:rPr>
              <w:t>输入：核证结果</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输出：分级结论及建议</w:t>
            </w:r>
          </w:p>
        </w:tc>
        <w:tc>
          <w:tcPr>
            <w:tcW w:w="2000" w:type="dxa"/>
            <w:shd w:val="clear" w:color="auto" w:fill="FFFFFF"/>
            <w:vAlign w:val="center"/>
          </w:tcPr>
          <w:p w14:paraId="78265C5C">
            <w:pPr>
              <w:spacing w:before="0" w:after="0" w:line="240" w:lineRule="auto"/>
              <w:ind w:left="0" w:right="0" w:firstLine="0" w:firstLineChars="0"/>
              <w:jc w:val="left"/>
            </w:pPr>
            <w:r>
              <w:rPr>
                <w:rFonts w:ascii="宋体" w:hAnsi="宋体" w:eastAsia="宋体" w:cs="宋体"/>
                <w:b w:val="0"/>
                <w:bCs w:val="0"/>
                <w:color w:val="000000"/>
                <w:sz w:val="16"/>
                <w:szCs w:val="16"/>
              </w:rPr>
              <w:t>输出平衡对比、偏差位置、已验证原因、已排除项、待验证候选及处置建议，各项追溯至原始数据。</w:t>
            </w:r>
          </w:p>
        </w:tc>
        <w:tc>
          <w:tcPr>
            <w:tcW w:w="1072" w:type="dxa"/>
            <w:shd w:val="clear" w:color="auto" w:fill="FFFFFF"/>
            <w:vAlign w:val="center"/>
          </w:tcPr>
          <w:p w14:paraId="637892E3">
            <w:pPr>
              <w:spacing w:before="0" w:after="0" w:line="240" w:lineRule="auto"/>
              <w:ind w:left="0" w:right="0" w:firstLine="0" w:firstLineChars="0"/>
              <w:jc w:val="left"/>
            </w:pPr>
            <w:r>
              <w:rPr>
                <w:rFonts w:ascii="宋体" w:hAnsi="宋体" w:eastAsia="宋体" w:cs="宋体"/>
                <w:b w:val="0"/>
                <w:bCs w:val="0"/>
                <w:color w:val="000000"/>
                <w:sz w:val="16"/>
                <w:szCs w:val="16"/>
              </w:rPr>
              <w:t>→09</w:t>
            </w:r>
          </w:p>
        </w:tc>
        <w:tc>
          <w:tcPr>
            <w:tcW w:w="2000" w:type="dxa"/>
            <w:shd w:val="clear" w:color="auto" w:fill="FFFFFF"/>
            <w:vAlign w:val="center"/>
          </w:tcPr>
          <w:p w14:paraId="52832CC3">
            <w:pPr>
              <w:spacing w:before="0" w:after="0" w:line="240" w:lineRule="auto"/>
              <w:ind w:left="0" w:right="0" w:firstLine="0" w:firstLineChars="0"/>
              <w:jc w:val="left"/>
            </w:pPr>
            <w:r>
              <w:rPr>
                <w:rFonts w:ascii="宋体" w:hAnsi="宋体" w:eastAsia="宋体" w:cs="宋体"/>
                <w:b w:val="0"/>
                <w:bCs w:val="0"/>
                <w:color w:val="000000"/>
                <w:sz w:val="16"/>
                <w:szCs w:val="16"/>
              </w:rPr>
              <w:t>P-ZLTC-AI-WLPHGY-102-07-001</w:t>
            </w:r>
          </w:p>
        </w:tc>
      </w:tr>
      <w:tr w14:paraId="03F6B18C">
        <w:trPr>
          <w:cantSplit/>
          <w:jc w:val="center"/>
        </w:trPr>
        <w:tc>
          <w:tcPr>
            <w:tcW w:w="650" w:type="dxa"/>
            <w:shd w:val="clear" w:color="auto" w:fill="FFFFFF"/>
            <w:vAlign w:val="center"/>
          </w:tcPr>
          <w:p w14:paraId="5951D162">
            <w:pPr>
              <w:spacing w:before="0" w:after="0" w:line="240" w:lineRule="auto"/>
              <w:ind w:left="0" w:right="0" w:firstLine="0" w:firstLineChars="0"/>
              <w:jc w:val="center"/>
            </w:pPr>
            <w:r>
              <w:rPr>
                <w:rFonts w:ascii="宋体" w:hAnsi="宋体" w:eastAsia="宋体" w:cs="宋体"/>
                <w:b w:val="0"/>
                <w:bCs w:val="0"/>
                <w:color w:val="000000"/>
                <w:sz w:val="16"/>
                <w:szCs w:val="16"/>
              </w:rPr>
              <w:t>09</w:t>
            </w:r>
          </w:p>
        </w:tc>
        <w:tc>
          <w:tcPr>
            <w:tcW w:w="1050" w:type="dxa"/>
            <w:shd w:val="clear" w:color="auto" w:fill="FFFFFF"/>
            <w:vAlign w:val="center"/>
          </w:tcPr>
          <w:p w14:paraId="05F747A1">
            <w:pPr>
              <w:spacing w:before="0" w:after="0" w:line="240" w:lineRule="auto"/>
              <w:ind w:left="0" w:right="0" w:firstLine="0" w:firstLineChars="0"/>
              <w:jc w:val="center"/>
            </w:pPr>
            <w:r>
              <w:rPr>
                <w:rFonts w:ascii="宋体" w:hAnsi="宋体" w:eastAsia="宋体" w:cs="宋体"/>
                <w:b w:val="0"/>
                <w:bCs w:val="0"/>
                <w:color w:val="000000"/>
                <w:sz w:val="16"/>
                <w:szCs w:val="16"/>
              </w:rPr>
              <w:t>生成并归档分析报告</w:t>
            </w:r>
          </w:p>
        </w:tc>
        <w:tc>
          <w:tcPr>
            <w:tcW w:w="950" w:type="dxa"/>
            <w:shd w:val="clear" w:color="auto" w:fill="FFFFFF"/>
            <w:vAlign w:val="center"/>
          </w:tcPr>
          <w:p w14:paraId="77C4B316">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2B44D0FC">
            <w:pPr>
              <w:spacing w:before="0" w:after="0" w:line="240" w:lineRule="auto"/>
              <w:ind w:left="0" w:right="0" w:firstLine="0" w:firstLineChars="0"/>
              <w:jc w:val="left"/>
            </w:pPr>
            <w:r>
              <w:rPr>
                <w:rFonts w:ascii="宋体" w:hAnsi="宋体" w:eastAsia="宋体" w:cs="宋体"/>
                <w:b w:val="0"/>
                <w:bCs w:val="0"/>
                <w:color w:val="000000"/>
                <w:sz w:val="16"/>
                <w:szCs w:val="16"/>
              </w:rPr>
              <w:t>输入：分级结论与证据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输出：可追溯报告</w:t>
            </w:r>
          </w:p>
        </w:tc>
        <w:tc>
          <w:tcPr>
            <w:tcW w:w="2000" w:type="dxa"/>
            <w:shd w:val="clear" w:color="auto" w:fill="FFFFFF"/>
            <w:vAlign w:val="center"/>
          </w:tcPr>
          <w:p w14:paraId="1EE07671">
            <w:pPr>
              <w:spacing w:before="0" w:after="0" w:line="240" w:lineRule="auto"/>
              <w:ind w:left="0" w:right="0" w:firstLine="0" w:firstLineChars="0"/>
              <w:jc w:val="left"/>
            </w:pPr>
            <w:r>
              <w:rPr>
                <w:rFonts w:ascii="宋体" w:hAnsi="宋体" w:eastAsia="宋体" w:cs="宋体"/>
                <w:b w:val="0"/>
                <w:bCs w:val="0"/>
                <w:color w:val="000000"/>
                <w:sz w:val="16"/>
                <w:szCs w:val="16"/>
              </w:rPr>
              <w:t>归档分级结论、证据与处置建议，支持后续引用。</w:t>
            </w:r>
          </w:p>
        </w:tc>
        <w:tc>
          <w:tcPr>
            <w:tcW w:w="1072" w:type="dxa"/>
            <w:shd w:val="clear" w:color="auto" w:fill="FFFFFF"/>
            <w:vAlign w:val="center"/>
          </w:tcPr>
          <w:p w14:paraId="10D289BE">
            <w:pPr>
              <w:spacing w:before="0" w:after="0" w:line="240" w:lineRule="auto"/>
              <w:ind w:left="0" w:right="0" w:firstLine="0" w:firstLineChars="0"/>
              <w:jc w:val="left"/>
            </w:pPr>
            <w:r>
              <w:rPr>
                <w:rFonts w:ascii="宋体" w:hAnsi="宋体" w:eastAsia="宋体" w:cs="宋体"/>
                <w:b w:val="0"/>
                <w:bCs w:val="0"/>
                <w:color w:val="000000"/>
                <w:sz w:val="16"/>
                <w:szCs w:val="16"/>
              </w:rPr>
              <w:t>→10</w:t>
            </w:r>
          </w:p>
        </w:tc>
        <w:tc>
          <w:tcPr>
            <w:tcW w:w="2000" w:type="dxa"/>
            <w:shd w:val="clear" w:color="auto" w:fill="FFFFFF"/>
            <w:vAlign w:val="center"/>
          </w:tcPr>
          <w:p w14:paraId="21F7AAED">
            <w:pPr>
              <w:spacing w:before="0" w:after="0" w:line="240" w:lineRule="auto"/>
              <w:ind w:left="0" w:right="0" w:firstLine="0" w:firstLineChars="0"/>
              <w:jc w:val="left"/>
            </w:pPr>
            <w:r>
              <w:rPr>
                <w:rFonts w:ascii="宋体" w:hAnsi="宋体" w:eastAsia="宋体" w:cs="宋体"/>
                <w:b w:val="0"/>
                <w:bCs w:val="0"/>
                <w:color w:val="000000"/>
                <w:sz w:val="16"/>
                <w:szCs w:val="16"/>
              </w:rPr>
              <w:t>P-ZLTC-AI-WLPHGY-102-07-001</w:t>
            </w:r>
          </w:p>
        </w:tc>
      </w:tr>
      <w:tr w14:paraId="5E76E067">
        <w:trPr>
          <w:cantSplit/>
          <w:jc w:val="center"/>
        </w:trPr>
        <w:tc>
          <w:tcPr>
            <w:tcW w:w="650" w:type="dxa"/>
            <w:shd w:val="clear" w:color="auto" w:fill="FFFFFF"/>
            <w:vAlign w:val="center"/>
          </w:tcPr>
          <w:p w14:paraId="57168275">
            <w:pPr>
              <w:spacing w:before="0" w:after="0" w:line="240" w:lineRule="auto"/>
              <w:ind w:left="0" w:right="0" w:firstLine="0" w:firstLineChars="0"/>
              <w:jc w:val="center"/>
            </w:pPr>
            <w:r>
              <w:rPr>
                <w:rFonts w:ascii="宋体" w:hAnsi="宋体" w:eastAsia="宋体" w:cs="宋体"/>
                <w:b w:val="0"/>
                <w:bCs w:val="0"/>
                <w:color w:val="000000"/>
                <w:sz w:val="16"/>
                <w:szCs w:val="16"/>
              </w:rPr>
              <w:t>10</w:t>
            </w:r>
          </w:p>
        </w:tc>
        <w:tc>
          <w:tcPr>
            <w:tcW w:w="1050" w:type="dxa"/>
            <w:shd w:val="clear" w:color="auto" w:fill="FFFFFF"/>
            <w:vAlign w:val="center"/>
          </w:tcPr>
          <w:p w14:paraId="54E0F70A">
            <w:pPr>
              <w:spacing w:before="0" w:after="0" w:line="240" w:lineRule="auto"/>
              <w:ind w:left="0" w:right="0" w:firstLine="0" w:firstLineChars="0"/>
              <w:jc w:val="center"/>
            </w:pPr>
            <w:r>
              <w:rPr>
                <w:rFonts w:ascii="宋体" w:hAnsi="宋体" w:eastAsia="宋体" w:cs="宋体"/>
                <w:b w:val="0"/>
                <w:bCs w:val="0"/>
                <w:color w:val="000000"/>
                <w:sz w:val="16"/>
                <w:szCs w:val="16"/>
              </w:rPr>
              <w:t>呈现报告与确认状态</w:t>
            </w:r>
          </w:p>
        </w:tc>
        <w:tc>
          <w:tcPr>
            <w:tcW w:w="950" w:type="dxa"/>
            <w:shd w:val="clear" w:color="auto" w:fill="FFFFFF"/>
            <w:vAlign w:val="center"/>
          </w:tcPr>
          <w:p w14:paraId="08322726">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1EE79D59">
            <w:pPr>
              <w:spacing w:before="0" w:after="0" w:line="240" w:lineRule="auto"/>
              <w:ind w:left="0" w:right="0" w:firstLine="0" w:firstLineChars="0"/>
              <w:jc w:val="left"/>
            </w:pPr>
            <w:r>
              <w:rPr>
                <w:rFonts w:ascii="宋体" w:hAnsi="宋体" w:eastAsia="宋体" w:cs="宋体"/>
                <w:b w:val="0"/>
                <w:bCs w:val="0"/>
                <w:color w:val="000000"/>
                <w:sz w:val="16"/>
                <w:szCs w:val="16"/>
              </w:rPr>
              <w:t>输入：原报告或新报告</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输出：用户可查看的报告</w:t>
            </w:r>
          </w:p>
        </w:tc>
        <w:tc>
          <w:tcPr>
            <w:tcW w:w="2000" w:type="dxa"/>
            <w:shd w:val="clear" w:color="auto" w:fill="FFFFFF"/>
            <w:vAlign w:val="center"/>
          </w:tcPr>
          <w:p w14:paraId="4314F3F2">
            <w:pPr>
              <w:spacing w:before="0" w:after="0" w:line="240" w:lineRule="auto"/>
              <w:ind w:left="0" w:right="0" w:firstLine="0" w:firstLineChars="0"/>
              <w:jc w:val="left"/>
            </w:pPr>
            <w:r>
              <w:rPr>
                <w:rFonts w:ascii="宋体" w:hAnsi="宋体" w:eastAsia="宋体" w:cs="宋体"/>
                <w:b w:val="0"/>
                <w:bCs w:val="0"/>
                <w:color w:val="000000"/>
                <w:sz w:val="16"/>
                <w:szCs w:val="16"/>
              </w:rPr>
              <w:t>展示报告及确认状态，支持后续按对象、时间范围或事件编号引用和追问。</w:t>
            </w:r>
          </w:p>
        </w:tc>
        <w:tc>
          <w:tcPr>
            <w:tcW w:w="1072" w:type="dxa"/>
            <w:shd w:val="clear" w:color="auto" w:fill="FFFFFF"/>
            <w:vAlign w:val="center"/>
          </w:tcPr>
          <w:p w14:paraId="0DA20611">
            <w:pPr>
              <w:spacing w:before="0" w:after="0" w:line="240" w:lineRule="auto"/>
              <w:ind w:left="0" w:right="0" w:firstLine="0" w:firstLineChars="0"/>
              <w:jc w:val="left"/>
            </w:pPr>
            <w:r>
              <w:rPr>
                <w:rFonts w:ascii="宋体" w:hAnsi="宋体" w:eastAsia="宋体" w:cs="宋体"/>
                <w:b w:val="0"/>
                <w:bCs w:val="0"/>
                <w:color w:val="000000"/>
                <w:sz w:val="16"/>
                <w:szCs w:val="16"/>
              </w:rPr>
              <w:t>事件推送→11；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会话查看完成→结束</w:t>
            </w:r>
          </w:p>
        </w:tc>
        <w:tc>
          <w:tcPr>
            <w:tcW w:w="2000" w:type="dxa"/>
            <w:shd w:val="clear" w:color="auto" w:fill="FFFFFF"/>
            <w:vAlign w:val="center"/>
          </w:tcPr>
          <w:p w14:paraId="728B5259">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p>
        </w:tc>
      </w:tr>
      <w:tr w14:paraId="630948C2">
        <w:trPr>
          <w:cantSplit/>
          <w:jc w:val="center"/>
        </w:trPr>
        <w:tc>
          <w:tcPr>
            <w:tcW w:w="650" w:type="dxa"/>
            <w:shd w:val="clear" w:color="auto" w:fill="FFFFFF"/>
            <w:vAlign w:val="center"/>
          </w:tcPr>
          <w:p w14:paraId="1F5F1D19">
            <w:pPr>
              <w:spacing w:before="0" w:after="0" w:line="240" w:lineRule="auto"/>
              <w:ind w:left="0" w:right="0" w:firstLine="0" w:firstLineChars="0"/>
              <w:jc w:val="center"/>
            </w:pPr>
            <w:r>
              <w:rPr>
                <w:rFonts w:ascii="宋体" w:hAnsi="宋体" w:eastAsia="宋体" w:cs="宋体"/>
                <w:b w:val="0"/>
                <w:bCs w:val="0"/>
                <w:color w:val="000000"/>
                <w:sz w:val="16"/>
                <w:szCs w:val="16"/>
              </w:rPr>
              <w:t>11</w:t>
            </w:r>
          </w:p>
        </w:tc>
        <w:tc>
          <w:tcPr>
            <w:tcW w:w="1050" w:type="dxa"/>
            <w:shd w:val="clear" w:color="auto" w:fill="FFFFFF"/>
            <w:vAlign w:val="center"/>
          </w:tcPr>
          <w:p w14:paraId="7E40B67F">
            <w:pPr>
              <w:spacing w:before="0" w:after="0" w:line="240" w:lineRule="auto"/>
              <w:ind w:left="0" w:right="0" w:firstLine="0" w:firstLineChars="0"/>
              <w:jc w:val="center"/>
            </w:pPr>
            <w:r>
              <w:rPr>
                <w:rFonts w:ascii="宋体" w:hAnsi="宋体" w:eastAsia="宋体" w:cs="宋体"/>
                <w:b w:val="0"/>
                <w:bCs w:val="0"/>
                <w:color w:val="000000"/>
                <w:sz w:val="16"/>
                <w:szCs w:val="16"/>
              </w:rPr>
              <w:t>确认责任人与权限</w:t>
            </w:r>
          </w:p>
        </w:tc>
        <w:tc>
          <w:tcPr>
            <w:tcW w:w="950" w:type="dxa"/>
            <w:shd w:val="clear" w:color="auto" w:fill="FFFFFF"/>
            <w:vAlign w:val="center"/>
          </w:tcPr>
          <w:p w14:paraId="2D444BC1">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36CF8B54">
            <w:pPr>
              <w:spacing w:before="0" w:after="0" w:line="240" w:lineRule="auto"/>
              <w:ind w:left="0" w:right="0" w:firstLine="0" w:firstLineChars="0"/>
              <w:jc w:val="left"/>
            </w:pPr>
            <w:r>
              <w:rPr>
                <w:rFonts w:ascii="宋体" w:hAnsi="宋体" w:eastAsia="宋体" w:cs="宋体"/>
                <w:b w:val="0"/>
                <w:bCs w:val="0"/>
                <w:color w:val="000000"/>
                <w:sz w:val="16"/>
                <w:szCs w:val="16"/>
              </w:rPr>
              <w:t>输入：事件卡、主数据及业务身份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输出：责任人和授权状态</w:t>
            </w:r>
          </w:p>
        </w:tc>
        <w:tc>
          <w:tcPr>
            <w:tcW w:w="2000" w:type="dxa"/>
            <w:shd w:val="clear" w:color="auto" w:fill="FFFFFF"/>
            <w:vAlign w:val="center"/>
          </w:tcPr>
          <w:p w14:paraId="7530EBA9">
            <w:pPr>
              <w:spacing w:before="0" w:after="0" w:line="240" w:lineRule="auto"/>
              <w:ind w:left="0" w:right="0" w:firstLine="0" w:firstLineChars="0"/>
              <w:jc w:val="left"/>
            </w:pPr>
            <w:r>
              <w:rPr>
                <w:rFonts w:ascii="宋体" w:hAnsi="宋体" w:eastAsia="宋体" w:cs="宋体"/>
                <w:b w:val="0"/>
                <w:bCs w:val="0"/>
                <w:color w:val="000000"/>
                <w:sz w:val="16"/>
                <w:szCs w:val="16"/>
              </w:rPr>
              <w:t>依据事件责任与推送规则解析唯一确认人并校验业务身份和授权。</w:t>
            </w:r>
          </w:p>
        </w:tc>
        <w:tc>
          <w:tcPr>
            <w:tcW w:w="1072" w:type="dxa"/>
            <w:shd w:val="clear" w:color="auto" w:fill="FFFFFF"/>
            <w:vAlign w:val="center"/>
          </w:tcPr>
          <w:p w14:paraId="0454CE8E">
            <w:pPr>
              <w:spacing w:before="0" w:after="0" w:line="240" w:lineRule="auto"/>
              <w:ind w:left="0" w:right="0" w:firstLine="0" w:firstLineChars="0"/>
              <w:jc w:val="left"/>
            </w:pPr>
            <w:r>
              <w:rPr>
                <w:rFonts w:ascii="宋体" w:hAnsi="宋体" w:eastAsia="宋体" w:cs="宋体"/>
                <w:b w:val="0"/>
                <w:bCs w:val="0"/>
                <w:color w:val="000000"/>
                <w:sz w:val="16"/>
                <w:szCs w:val="16"/>
              </w:rPr>
              <w:t>条件满足→12；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责任信息待核→15</w:t>
            </w:r>
          </w:p>
        </w:tc>
        <w:tc>
          <w:tcPr>
            <w:tcW w:w="2000" w:type="dxa"/>
            <w:shd w:val="clear" w:color="auto" w:fill="FFFFFF"/>
            <w:vAlign w:val="center"/>
          </w:tcPr>
          <w:p w14:paraId="15335463">
            <w:pPr>
              <w:spacing w:before="0" w:after="0" w:line="240" w:lineRule="auto"/>
              <w:ind w:left="0" w:right="0" w:firstLine="0" w:firstLineChars="0"/>
              <w:jc w:val="left"/>
            </w:pPr>
            <w:r>
              <w:rPr>
                <w:rFonts w:ascii="宋体" w:hAnsi="宋体" w:eastAsia="宋体" w:cs="宋体"/>
                <w:b w:val="0"/>
                <w:bCs w:val="0"/>
                <w:color w:val="000000"/>
                <w:sz w:val="16"/>
                <w:szCs w:val="16"/>
              </w:rPr>
              <w:t>P-ZLTC-AI-WLPHGY-102-11-001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11B00E2D">
        <w:trPr>
          <w:cantSplit/>
          <w:jc w:val="center"/>
        </w:trPr>
        <w:tc>
          <w:tcPr>
            <w:tcW w:w="650" w:type="dxa"/>
            <w:shd w:val="clear" w:color="auto" w:fill="FFFFFF"/>
            <w:vAlign w:val="center"/>
          </w:tcPr>
          <w:p w14:paraId="08194610">
            <w:pPr>
              <w:spacing w:before="0" w:after="0" w:line="240" w:lineRule="auto"/>
              <w:ind w:left="0" w:right="0" w:firstLine="0" w:firstLineChars="0"/>
              <w:jc w:val="center"/>
            </w:pPr>
            <w:r>
              <w:rPr>
                <w:rFonts w:ascii="宋体" w:hAnsi="宋体" w:eastAsia="宋体" w:cs="宋体"/>
                <w:b w:val="0"/>
                <w:bCs w:val="0"/>
                <w:color w:val="000000"/>
                <w:sz w:val="16"/>
                <w:szCs w:val="16"/>
              </w:rPr>
              <w:t>12</w:t>
            </w:r>
          </w:p>
        </w:tc>
        <w:tc>
          <w:tcPr>
            <w:tcW w:w="1050" w:type="dxa"/>
            <w:shd w:val="clear" w:color="auto" w:fill="FFFFFF"/>
            <w:vAlign w:val="center"/>
          </w:tcPr>
          <w:p w14:paraId="6AE0A710">
            <w:pPr>
              <w:spacing w:before="0" w:after="0" w:line="240" w:lineRule="auto"/>
              <w:ind w:left="0" w:right="0" w:firstLine="0" w:firstLineChars="0"/>
              <w:jc w:val="center"/>
            </w:pPr>
            <w:r>
              <w:rPr>
                <w:rFonts w:ascii="宋体" w:hAnsi="宋体" w:eastAsia="宋体" w:cs="宋体"/>
                <w:b w:val="0"/>
                <w:bCs w:val="0"/>
                <w:color w:val="000000"/>
                <w:sz w:val="16"/>
                <w:szCs w:val="16"/>
              </w:rPr>
              <w:t>按授权送达责任人</w:t>
            </w:r>
          </w:p>
        </w:tc>
        <w:tc>
          <w:tcPr>
            <w:tcW w:w="950" w:type="dxa"/>
            <w:shd w:val="clear" w:color="auto" w:fill="FFFFFF"/>
            <w:vAlign w:val="center"/>
          </w:tcPr>
          <w:p w14:paraId="1E68CD38">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7DF9B8AB">
            <w:pPr>
              <w:spacing w:before="0" w:after="0" w:line="240" w:lineRule="auto"/>
              <w:ind w:left="0" w:right="0" w:firstLine="0" w:firstLineChars="0"/>
              <w:jc w:val="left"/>
            </w:pPr>
            <w:r>
              <w:rPr>
                <w:rFonts w:ascii="宋体" w:hAnsi="宋体" w:eastAsia="宋体" w:cs="宋体"/>
                <w:b w:val="0"/>
                <w:bCs w:val="0"/>
                <w:color w:val="000000"/>
                <w:sz w:val="16"/>
                <w:szCs w:val="16"/>
              </w:rPr>
              <w:t>输入：报告与接收范围</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输出：送达及已读状态</w:t>
            </w:r>
          </w:p>
        </w:tc>
        <w:tc>
          <w:tcPr>
            <w:tcW w:w="2000" w:type="dxa"/>
            <w:shd w:val="clear" w:color="auto" w:fill="FFFFFF"/>
            <w:vAlign w:val="center"/>
          </w:tcPr>
          <w:p w14:paraId="100BA178">
            <w:pPr>
              <w:spacing w:before="0" w:after="0" w:line="240" w:lineRule="auto"/>
              <w:ind w:left="0" w:right="0" w:firstLine="0" w:firstLineChars="0"/>
              <w:jc w:val="left"/>
            </w:pPr>
            <w:r>
              <w:rPr>
                <w:rFonts w:ascii="宋体" w:hAnsi="宋体" w:eastAsia="宋体" w:cs="宋体"/>
                <w:b w:val="0"/>
                <w:bCs w:val="0"/>
                <w:color w:val="000000"/>
                <w:sz w:val="16"/>
                <w:szCs w:val="16"/>
              </w:rPr>
              <w:t>依据事件责任与推送规则推送报告并记录送达、已读状态。</w:t>
            </w:r>
          </w:p>
        </w:tc>
        <w:tc>
          <w:tcPr>
            <w:tcW w:w="1072" w:type="dxa"/>
            <w:shd w:val="clear" w:color="auto" w:fill="FFFFFF"/>
            <w:vAlign w:val="center"/>
          </w:tcPr>
          <w:p w14:paraId="04C45770">
            <w:pPr>
              <w:spacing w:before="0" w:after="0" w:line="240" w:lineRule="auto"/>
              <w:ind w:left="0" w:right="0" w:firstLine="0" w:firstLineChars="0"/>
              <w:jc w:val="left"/>
            </w:pPr>
            <w:r>
              <w:rPr>
                <w:rFonts w:ascii="宋体" w:hAnsi="宋体" w:eastAsia="宋体" w:cs="宋体"/>
                <w:b w:val="0"/>
                <w:bCs w:val="0"/>
                <w:color w:val="000000"/>
                <w:sz w:val="16"/>
                <w:szCs w:val="16"/>
              </w:rPr>
              <w:t>确认反馈→13；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查看完成→结束</w:t>
            </w:r>
          </w:p>
        </w:tc>
        <w:tc>
          <w:tcPr>
            <w:tcW w:w="2000" w:type="dxa"/>
            <w:shd w:val="clear" w:color="auto" w:fill="FFFFFF"/>
            <w:vAlign w:val="center"/>
          </w:tcPr>
          <w:p w14:paraId="56CB90A9">
            <w:pPr>
              <w:spacing w:before="0" w:after="0" w:line="240" w:lineRule="auto"/>
              <w:ind w:left="0" w:right="0" w:firstLine="0" w:firstLineChars="0"/>
              <w:jc w:val="left"/>
            </w:pPr>
            <w:r>
              <w:rPr>
                <w:rFonts w:ascii="宋体" w:hAnsi="宋体" w:eastAsia="宋体" w:cs="宋体"/>
                <w:b w:val="0"/>
                <w:bCs w:val="0"/>
                <w:color w:val="000000"/>
                <w:sz w:val="16"/>
                <w:szCs w:val="16"/>
              </w:rPr>
              <w:t>P-ZLTC-AI-WLPHGY-102-11-001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10DD1C27">
        <w:trPr>
          <w:cantSplit/>
          <w:jc w:val="center"/>
        </w:trPr>
        <w:tc>
          <w:tcPr>
            <w:tcW w:w="650" w:type="dxa"/>
            <w:shd w:val="clear" w:color="auto" w:fill="FFFFFF"/>
            <w:vAlign w:val="center"/>
          </w:tcPr>
          <w:p w14:paraId="47D22DB6">
            <w:pPr>
              <w:spacing w:before="0" w:after="0" w:line="240" w:lineRule="auto"/>
              <w:ind w:left="0" w:right="0" w:firstLine="0" w:firstLineChars="0"/>
              <w:jc w:val="center"/>
            </w:pPr>
            <w:r>
              <w:rPr>
                <w:rFonts w:ascii="宋体" w:hAnsi="宋体" w:eastAsia="宋体" w:cs="宋体"/>
                <w:b w:val="0"/>
                <w:bCs w:val="0"/>
                <w:color w:val="000000"/>
                <w:sz w:val="16"/>
                <w:szCs w:val="16"/>
              </w:rPr>
              <w:t>13</w:t>
            </w:r>
          </w:p>
        </w:tc>
        <w:tc>
          <w:tcPr>
            <w:tcW w:w="1050" w:type="dxa"/>
            <w:shd w:val="clear" w:color="auto" w:fill="FFFFFF"/>
            <w:vAlign w:val="center"/>
          </w:tcPr>
          <w:p w14:paraId="655CFF5F">
            <w:pPr>
              <w:spacing w:before="0" w:after="0" w:line="240" w:lineRule="auto"/>
              <w:ind w:left="0" w:right="0" w:firstLine="0" w:firstLineChars="0"/>
              <w:jc w:val="center"/>
            </w:pPr>
            <w:r>
              <w:rPr>
                <w:rFonts w:ascii="宋体" w:hAnsi="宋体" w:eastAsia="宋体" w:cs="宋体"/>
                <w:b w:val="0"/>
                <w:bCs w:val="0"/>
                <w:color w:val="000000"/>
                <w:sz w:val="16"/>
                <w:szCs w:val="16"/>
              </w:rPr>
              <w:t>责任人确认结论</w:t>
            </w:r>
          </w:p>
        </w:tc>
        <w:tc>
          <w:tcPr>
            <w:tcW w:w="950" w:type="dxa"/>
            <w:shd w:val="clear" w:color="auto" w:fill="FFFFFF"/>
            <w:vAlign w:val="center"/>
          </w:tcPr>
          <w:p w14:paraId="19DB2D02">
            <w:pPr>
              <w:spacing w:before="0" w:after="0" w:line="240" w:lineRule="auto"/>
              <w:ind w:left="0" w:right="0" w:firstLine="0" w:firstLineChars="0"/>
              <w:jc w:val="center"/>
            </w:pPr>
            <w:r>
              <w:rPr>
                <w:rFonts w:ascii="宋体" w:hAnsi="宋体" w:eastAsia="宋体" w:cs="宋体"/>
                <w:b w:val="0"/>
                <w:bCs w:val="0"/>
                <w:color w:val="000000"/>
                <w:sz w:val="16"/>
                <w:szCs w:val="16"/>
              </w:rPr>
              <w:t>责任人</w:t>
            </w:r>
          </w:p>
        </w:tc>
        <w:tc>
          <w:tcPr>
            <w:tcW w:w="1350" w:type="dxa"/>
            <w:shd w:val="clear" w:color="auto" w:fill="FFFFFF"/>
            <w:vAlign w:val="center"/>
          </w:tcPr>
          <w:p w14:paraId="1DCDA64E">
            <w:pPr>
              <w:spacing w:before="0" w:after="0" w:line="240" w:lineRule="auto"/>
              <w:ind w:left="0" w:right="0" w:firstLine="0" w:firstLineChars="0"/>
              <w:jc w:val="left"/>
            </w:pPr>
            <w:r>
              <w:rPr>
                <w:rFonts w:ascii="宋体" w:hAnsi="宋体" w:eastAsia="宋体" w:cs="宋体"/>
                <w:b w:val="0"/>
                <w:bCs w:val="0"/>
                <w:color w:val="000000"/>
                <w:sz w:val="16"/>
                <w:szCs w:val="16"/>
              </w:rPr>
              <w:t>输入：分析报告</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输出：确认或不符反馈</w:t>
            </w:r>
          </w:p>
        </w:tc>
        <w:tc>
          <w:tcPr>
            <w:tcW w:w="2000" w:type="dxa"/>
            <w:shd w:val="clear" w:color="auto" w:fill="FFFFFF"/>
            <w:vAlign w:val="center"/>
          </w:tcPr>
          <w:p w14:paraId="0E07C56E">
            <w:pPr>
              <w:spacing w:before="0" w:after="0" w:line="240" w:lineRule="auto"/>
              <w:ind w:left="0" w:right="0" w:firstLine="0" w:firstLineChars="0"/>
              <w:jc w:val="left"/>
            </w:pPr>
            <w:r>
              <w:rPr>
                <w:rFonts w:ascii="宋体" w:hAnsi="宋体" w:eastAsia="宋体" w:cs="宋体"/>
                <w:b w:val="0"/>
                <w:bCs w:val="0"/>
                <w:color w:val="000000"/>
                <w:sz w:val="16"/>
                <w:szCs w:val="16"/>
              </w:rPr>
              <w:t>指定责任人选择结论确认或与实际不符，并可补充实际原因；保留报告、反馈人和确认状态，暂未确认的报告继续可供查看与追问。</w:t>
            </w:r>
          </w:p>
        </w:tc>
        <w:tc>
          <w:tcPr>
            <w:tcW w:w="1072" w:type="dxa"/>
            <w:shd w:val="clear" w:color="auto" w:fill="FFFFFF"/>
            <w:vAlign w:val="center"/>
          </w:tcPr>
          <w:p w14:paraId="1153E339">
            <w:pPr>
              <w:spacing w:before="0" w:after="0" w:line="240" w:lineRule="auto"/>
              <w:ind w:left="0" w:right="0" w:firstLine="0" w:firstLineChars="0"/>
              <w:jc w:val="left"/>
            </w:pPr>
            <w:r>
              <w:rPr>
                <w:rFonts w:ascii="宋体" w:hAnsi="宋体" w:eastAsia="宋体" w:cs="宋体"/>
                <w:b w:val="0"/>
                <w:bCs w:val="0"/>
                <w:color w:val="000000"/>
                <w:sz w:val="16"/>
                <w:szCs w:val="16"/>
              </w:rPr>
              <w:t>提交反馈→14；</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暂未确认→结束</w:t>
            </w:r>
          </w:p>
        </w:tc>
        <w:tc>
          <w:tcPr>
            <w:tcW w:w="2000" w:type="dxa"/>
            <w:shd w:val="clear" w:color="auto" w:fill="FFFFFF"/>
            <w:vAlign w:val="center"/>
          </w:tcPr>
          <w:p w14:paraId="38203979">
            <w:pPr>
              <w:spacing w:before="0" w:after="0" w:line="240" w:lineRule="auto"/>
              <w:ind w:left="0" w:right="0" w:firstLine="0" w:firstLineChars="0"/>
              <w:jc w:val="left"/>
            </w:pPr>
            <w:r>
              <w:rPr>
                <w:rFonts w:ascii="宋体" w:hAnsi="宋体" w:eastAsia="宋体" w:cs="宋体"/>
                <w:b w:val="0"/>
                <w:bCs w:val="0"/>
                <w:color w:val="000000"/>
                <w:sz w:val="16"/>
                <w:szCs w:val="16"/>
              </w:rPr>
              <w:t>P-ZLTC-AI-WLPHGY-102-13-001</w:t>
            </w:r>
          </w:p>
        </w:tc>
      </w:tr>
      <w:tr w14:paraId="6F1E61A3">
        <w:trPr>
          <w:cantSplit/>
          <w:jc w:val="center"/>
        </w:trPr>
        <w:tc>
          <w:tcPr>
            <w:tcW w:w="650" w:type="dxa"/>
            <w:shd w:val="clear" w:color="auto" w:fill="FFFFFF"/>
            <w:vAlign w:val="center"/>
          </w:tcPr>
          <w:p w14:paraId="4F5AA383">
            <w:pPr>
              <w:spacing w:before="0" w:after="0" w:line="240" w:lineRule="auto"/>
              <w:ind w:left="0" w:right="0" w:firstLine="0" w:firstLineChars="0"/>
              <w:jc w:val="center"/>
            </w:pPr>
            <w:r>
              <w:rPr>
                <w:rFonts w:ascii="宋体" w:hAnsi="宋体" w:eastAsia="宋体" w:cs="宋体"/>
                <w:b w:val="0"/>
                <w:bCs w:val="0"/>
                <w:color w:val="000000"/>
                <w:sz w:val="16"/>
                <w:szCs w:val="16"/>
              </w:rPr>
              <w:t>14</w:t>
            </w:r>
          </w:p>
        </w:tc>
        <w:tc>
          <w:tcPr>
            <w:tcW w:w="1050" w:type="dxa"/>
            <w:shd w:val="clear" w:color="auto" w:fill="FFFFFF"/>
            <w:vAlign w:val="center"/>
          </w:tcPr>
          <w:p w14:paraId="37E26F16">
            <w:pPr>
              <w:spacing w:before="0" w:after="0" w:line="240" w:lineRule="auto"/>
              <w:ind w:left="0" w:right="0" w:firstLine="0" w:firstLineChars="0"/>
              <w:jc w:val="center"/>
            </w:pPr>
            <w:r>
              <w:rPr>
                <w:rFonts w:ascii="宋体" w:hAnsi="宋体" w:eastAsia="宋体" w:cs="宋体"/>
                <w:b w:val="0"/>
                <w:bCs w:val="0"/>
                <w:color w:val="000000"/>
                <w:sz w:val="16"/>
                <w:szCs w:val="16"/>
              </w:rPr>
              <w:t>分流案例与纠正线索</w:t>
            </w:r>
          </w:p>
        </w:tc>
        <w:tc>
          <w:tcPr>
            <w:tcW w:w="950" w:type="dxa"/>
            <w:shd w:val="clear" w:color="auto" w:fill="FFFFFF"/>
            <w:vAlign w:val="center"/>
          </w:tcPr>
          <w:p w14:paraId="6B27A396">
            <w:pPr>
              <w:spacing w:before="0" w:after="0" w:line="240" w:lineRule="auto"/>
              <w:ind w:left="0" w:right="0" w:firstLine="0" w:firstLineChars="0"/>
              <w:jc w:val="center"/>
            </w:pPr>
            <w:r>
              <w:rPr>
                <w:rFonts w:ascii="宋体" w:hAnsi="宋体" w:eastAsia="宋体" w:cs="宋体"/>
                <w:b w:val="0"/>
                <w:bCs w:val="0"/>
                <w:color w:val="000000"/>
                <w:sz w:val="16"/>
                <w:szCs w:val="16"/>
              </w:rPr>
              <w:t>知识工作台</w:t>
            </w:r>
          </w:p>
        </w:tc>
        <w:tc>
          <w:tcPr>
            <w:tcW w:w="1350" w:type="dxa"/>
            <w:shd w:val="clear" w:color="auto" w:fill="FFFFFF"/>
            <w:vAlign w:val="center"/>
          </w:tcPr>
          <w:p w14:paraId="63DE8CDE">
            <w:pPr>
              <w:spacing w:before="0" w:after="0" w:line="240" w:lineRule="auto"/>
              <w:ind w:left="0" w:right="0" w:firstLine="0" w:firstLineChars="0"/>
              <w:jc w:val="left"/>
            </w:pPr>
            <w:r>
              <w:rPr>
                <w:rFonts w:ascii="宋体" w:hAnsi="宋体" w:eastAsia="宋体" w:cs="宋体"/>
                <w:b w:val="0"/>
                <w:bCs w:val="0"/>
                <w:color w:val="000000"/>
                <w:sz w:val="16"/>
                <w:szCs w:val="16"/>
              </w:rPr>
              <w:t>输入：责任人反馈</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输出：知识草稿或运营线索</w:t>
            </w:r>
          </w:p>
        </w:tc>
        <w:tc>
          <w:tcPr>
            <w:tcW w:w="2000" w:type="dxa"/>
            <w:shd w:val="clear" w:color="auto" w:fill="FFFFFF"/>
            <w:vAlign w:val="center"/>
          </w:tcPr>
          <w:p w14:paraId="57928735">
            <w:pPr>
              <w:spacing w:before="0" w:after="0" w:line="240" w:lineRule="auto"/>
              <w:ind w:left="0" w:right="0" w:firstLine="0" w:firstLineChars="0"/>
              <w:jc w:val="left"/>
            </w:pPr>
            <w:r>
              <w:rPr>
                <w:rFonts w:ascii="宋体" w:hAnsi="宋体" w:eastAsia="宋体" w:cs="宋体"/>
                <w:b w:val="0"/>
                <w:bCs w:val="0"/>
                <w:color w:val="000000"/>
                <w:sz w:val="16"/>
                <w:szCs w:val="16"/>
              </w:rPr>
              <w:t>确认案例和补充实际原因的纠正线索按5.5.4及6.7审核验证；与实际不符且未补原因的反馈按5.4.2及6.7运营跟进。审核生效后更新对应影响因素知识。</w:t>
            </w:r>
          </w:p>
        </w:tc>
        <w:tc>
          <w:tcPr>
            <w:tcW w:w="1072" w:type="dxa"/>
            <w:shd w:val="clear" w:color="auto" w:fill="FFFFFF"/>
            <w:vAlign w:val="center"/>
          </w:tcPr>
          <w:p w14:paraId="610EE961">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048F5077">
            <w:pPr>
              <w:spacing w:before="0" w:after="0" w:line="240" w:lineRule="auto"/>
              <w:ind w:left="0" w:right="0" w:firstLine="0" w:firstLineChars="0"/>
              <w:jc w:val="left"/>
            </w:pPr>
            <w:r>
              <w:rPr>
                <w:rFonts w:ascii="宋体" w:hAnsi="宋体" w:eastAsia="宋体" w:cs="宋体"/>
                <w:b w:val="0"/>
                <w:bCs w:val="0"/>
                <w:color w:val="000000"/>
                <w:sz w:val="16"/>
                <w:szCs w:val="16"/>
              </w:rPr>
              <w:t>P-ZLTC-AI-WLPHGY-102-14-001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P-ZLTC-AI-ZNWS-101-06-001</w:t>
            </w:r>
          </w:p>
        </w:tc>
      </w:tr>
      <w:tr w14:paraId="31EC8B88">
        <w:trPr>
          <w:cantSplit/>
          <w:jc w:val="center"/>
        </w:trPr>
        <w:tc>
          <w:tcPr>
            <w:tcW w:w="650" w:type="dxa"/>
            <w:shd w:val="clear" w:color="auto" w:fill="FFFFFF"/>
            <w:vAlign w:val="center"/>
          </w:tcPr>
          <w:p w14:paraId="32FA03AB">
            <w:pPr>
              <w:spacing w:before="0" w:after="0" w:line="240" w:lineRule="auto"/>
              <w:ind w:left="0" w:right="0" w:firstLine="0" w:firstLineChars="0"/>
              <w:jc w:val="center"/>
            </w:pPr>
            <w:r>
              <w:rPr>
                <w:rFonts w:ascii="宋体" w:hAnsi="宋体" w:eastAsia="宋体" w:cs="宋体"/>
                <w:b w:val="0"/>
                <w:bCs w:val="0"/>
                <w:color w:val="000000"/>
                <w:sz w:val="16"/>
                <w:szCs w:val="16"/>
              </w:rPr>
              <w:t>15</w:t>
            </w:r>
          </w:p>
        </w:tc>
        <w:tc>
          <w:tcPr>
            <w:tcW w:w="1050" w:type="dxa"/>
            <w:shd w:val="clear" w:color="auto" w:fill="FFFFFF"/>
            <w:vAlign w:val="center"/>
          </w:tcPr>
          <w:p w14:paraId="72DD9E67">
            <w:pPr>
              <w:spacing w:before="0" w:after="0" w:line="240" w:lineRule="auto"/>
              <w:ind w:left="0" w:right="0" w:firstLine="0" w:firstLineChars="0"/>
              <w:jc w:val="center"/>
            </w:pPr>
            <w:r>
              <w:rPr>
                <w:rFonts w:ascii="宋体" w:hAnsi="宋体" w:eastAsia="宋体" w:cs="宋体"/>
                <w:b w:val="0"/>
                <w:bCs w:val="0"/>
                <w:color w:val="000000"/>
                <w:sz w:val="16"/>
                <w:szCs w:val="16"/>
              </w:rPr>
              <w:t>记录待补责任信息</w:t>
            </w:r>
          </w:p>
        </w:tc>
        <w:tc>
          <w:tcPr>
            <w:tcW w:w="950" w:type="dxa"/>
            <w:shd w:val="clear" w:color="auto" w:fill="FFFFFF"/>
            <w:vAlign w:val="center"/>
          </w:tcPr>
          <w:p w14:paraId="02E803DB">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05992A57">
            <w:pPr>
              <w:spacing w:before="0" w:after="0" w:line="240" w:lineRule="auto"/>
              <w:ind w:left="0" w:right="0" w:firstLine="0" w:firstLineChars="0"/>
              <w:jc w:val="left"/>
            </w:pPr>
            <w:r>
              <w:rPr>
                <w:rFonts w:ascii="宋体" w:hAnsi="宋体" w:eastAsia="宋体" w:cs="宋体"/>
                <w:b w:val="0"/>
                <w:bCs w:val="0"/>
                <w:color w:val="000000"/>
                <w:sz w:val="16"/>
                <w:szCs w:val="16"/>
              </w:rPr>
              <w:t>输入：责任人、身份或授权不满足</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输出：运营提醒</w:t>
            </w:r>
          </w:p>
        </w:tc>
        <w:tc>
          <w:tcPr>
            <w:tcW w:w="2000" w:type="dxa"/>
            <w:shd w:val="clear" w:color="auto" w:fill="FFFFFF"/>
            <w:vAlign w:val="center"/>
          </w:tcPr>
          <w:p w14:paraId="0948731E">
            <w:pPr>
              <w:spacing w:before="0" w:after="0" w:line="240" w:lineRule="auto"/>
              <w:ind w:left="0" w:right="0" w:firstLine="0" w:firstLineChars="0"/>
              <w:jc w:val="left"/>
            </w:pPr>
            <w:r>
              <w:rPr>
                <w:rFonts w:ascii="宋体" w:hAnsi="宋体" w:eastAsia="宋体" w:cs="宋体"/>
                <w:b w:val="0"/>
                <w:bCs w:val="0"/>
                <w:color w:val="000000"/>
                <w:sz w:val="16"/>
                <w:szCs w:val="16"/>
              </w:rPr>
              <w:t>保持报告归档，提醒运营补录责任人、核实业务身份或维护授权，记录责任信息核实过程。</w:t>
            </w:r>
          </w:p>
        </w:tc>
        <w:tc>
          <w:tcPr>
            <w:tcW w:w="1072" w:type="dxa"/>
            <w:shd w:val="clear" w:color="auto" w:fill="FFFFFF"/>
            <w:vAlign w:val="center"/>
          </w:tcPr>
          <w:p w14:paraId="1C7D9D5F">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2972D00A">
            <w:pPr>
              <w:spacing w:before="0" w:after="0" w:line="240" w:lineRule="auto"/>
              <w:ind w:left="0" w:right="0" w:firstLine="0" w:firstLineChars="0"/>
              <w:jc w:val="left"/>
            </w:pPr>
            <w:r>
              <w:rPr>
                <w:rFonts w:ascii="宋体" w:hAnsi="宋体" w:eastAsia="宋体" w:cs="宋体"/>
                <w:b w:val="0"/>
                <w:bCs w:val="0"/>
                <w:color w:val="000000"/>
                <w:sz w:val="16"/>
                <w:szCs w:val="16"/>
              </w:rPr>
              <w:t>P-ZLTC-AI-WLPHGY-102-11-001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bl>
    <w:p w14:paraId="72000008">
      <w:pPr>
        <w:pStyle w:val="4"/>
        <w:snapToGrid w:val="0"/>
      </w:pPr>
      <w:bookmarkStart w:id="14" w:name="s3_2_2"/>
      <w:r>
        <w:rPr>
          <w:rFonts w:ascii="黑体" w:hAnsi="黑体" w:eastAsia="黑体" w:cs="黑体"/>
          <w:b/>
          <w:color w:val="000000"/>
        </w:rPr>
        <w:t>3.2.2　实时能量平衡根因分析</w:t>
      </w:r>
      <w:bookmarkEnd w:id="14"/>
    </w:p>
    <w:p w14:paraId="3343E94F">
      <w:pPr>
        <w:pStyle w:val="12"/>
        <w:keepNext/>
        <w:snapToGrid w:val="0"/>
        <w:spacing w:before="0" w:after="40" w:line="240" w:lineRule="auto"/>
        <w:ind w:left="0" w:right="0" w:firstLine="0" w:firstLineChars="0"/>
        <w:jc w:val="center"/>
      </w:pPr>
      <w:r>
        <w:drawing>
          <wp:inline distT="0" distB="0" distL="0" distR="0">
            <wp:extent cx="5759450" cy="6313170"/>
            <wp:effectExtent l="0" t="0" r="0" b="0"/>
            <wp:docPr id="5" name="P-ZLTC-AI-NLPHGY-103 实时能量平衡根因分析业务流程" descr="P-ZLTC-AI-NLPHGY-103 实时能量平衡根因分析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ZLTC-AI-NLPHGY-103 实时能量平衡根因分析业务流程" descr="P-ZLTC-AI-NLPHGY-103 实时能量平衡根因分析业务流程"/>
                    <pic:cNvPicPr>
                      <a:picLocks noChangeAspect="1"/>
                    </pic:cNvPicPr>
                  </pic:nvPicPr>
                  <pic:blipFill>
                    <a:blip r:embed="rId13"/>
                    <a:stretch>
                      <a:fillRect/>
                    </a:stretch>
                  </pic:blipFill>
                  <pic:spPr>
                    <a:xfrm>
                      <a:off x="0" y="0"/>
                      <a:ext cx="5759450" cy="6313797"/>
                    </a:xfrm>
                    <a:prstGeom prst="rect">
                      <a:avLst/>
                    </a:prstGeom>
                  </pic:spPr>
                </pic:pic>
              </a:graphicData>
            </a:graphic>
          </wp:inline>
        </w:drawing>
      </w:r>
    </w:p>
    <w:p w14:paraId="2DB79A20">
      <w:pPr>
        <w:pStyle w:val="15"/>
        <w:keepNext w:val="0"/>
        <w:snapToGrid w:val="0"/>
        <w:jc w:val="center"/>
      </w:pPr>
      <w:r>
        <w:t>图3-3　实时能量平衡根因分析业务流程图</w:t>
      </w:r>
    </w:p>
    <w:p w14:paraId="1308D88E">
      <w:pPr>
        <w:pStyle w:val="15"/>
        <w:keepNext/>
        <w:snapToGrid w:val="0"/>
        <w:jc w:val="center"/>
      </w:pPr>
      <w:r>
        <w:t>表3-3　实时能量平衡根因分析业务流程说明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10E94122">
        <w:trPr>
          <w:cantSplit/>
          <w:tblHeader/>
          <w:jc w:val="center"/>
        </w:trPr>
        <w:tc>
          <w:tcPr>
            <w:tcW w:w="650" w:type="dxa"/>
            <w:shd w:val="clear" w:color="auto" w:fill="FFFFFF"/>
            <w:vAlign w:val="center"/>
          </w:tcPr>
          <w:p w14:paraId="56DC943B">
            <w:pPr>
              <w:keepNext/>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3C974E43">
            <w:pPr>
              <w:keepNext/>
              <w:spacing w:before="0" w:after="0" w:line="240" w:lineRule="auto"/>
              <w:ind w:left="0" w:right="0" w:firstLine="0" w:firstLineChars="0"/>
              <w:jc w:val="center"/>
            </w:pPr>
            <w:r>
              <w:rPr>
                <w:rFonts w:ascii="宋体" w:hAnsi="宋体" w:eastAsia="宋体" w:cs="宋体"/>
                <w:b/>
                <w:bCs/>
                <w:color w:val="000000"/>
                <w:sz w:val="16"/>
                <w:szCs w:val="16"/>
              </w:rPr>
              <w:t>节点名称</w:t>
            </w:r>
          </w:p>
        </w:tc>
        <w:tc>
          <w:tcPr>
            <w:tcW w:w="950" w:type="dxa"/>
            <w:shd w:val="clear" w:color="auto" w:fill="FFFFFF"/>
            <w:vAlign w:val="center"/>
          </w:tcPr>
          <w:p w14:paraId="1B81317F">
            <w:pPr>
              <w:keepNext/>
              <w:spacing w:before="0" w:after="0" w:line="240" w:lineRule="auto"/>
              <w:ind w:left="0" w:right="0" w:firstLine="0" w:firstLineChars="0"/>
              <w:jc w:val="center"/>
            </w:pPr>
            <w:r>
              <w:rPr>
                <w:rFonts w:ascii="宋体" w:hAnsi="宋体" w:eastAsia="宋体" w:cs="宋体"/>
                <w:b/>
                <w:bCs/>
                <w:color w:val="000000"/>
                <w:sz w:val="16"/>
                <w:szCs w:val="16"/>
              </w:rPr>
              <w:t>责任节点</w:t>
            </w:r>
          </w:p>
        </w:tc>
        <w:tc>
          <w:tcPr>
            <w:tcW w:w="1350" w:type="dxa"/>
            <w:shd w:val="clear" w:color="auto" w:fill="FFFFFF"/>
            <w:vAlign w:val="center"/>
          </w:tcPr>
          <w:p w14:paraId="04754946">
            <w:pPr>
              <w:keepNext/>
              <w:spacing w:before="0" w:after="0" w:line="240" w:lineRule="auto"/>
              <w:ind w:left="0" w:right="0" w:firstLine="0" w:firstLineChars="0"/>
              <w:jc w:val="center"/>
            </w:pPr>
            <w:r>
              <w:rPr>
                <w:rFonts w:ascii="宋体" w:hAnsi="宋体" w:eastAsia="宋体" w:cs="宋体"/>
                <w:b/>
                <w:bCs/>
                <w:color w:val="000000"/>
                <w:sz w:val="16"/>
                <w:szCs w:val="16"/>
              </w:rPr>
              <w:t>输入/输出</w:t>
            </w:r>
          </w:p>
        </w:tc>
        <w:tc>
          <w:tcPr>
            <w:tcW w:w="2000" w:type="dxa"/>
            <w:shd w:val="clear" w:color="auto" w:fill="FFFFFF"/>
            <w:vAlign w:val="center"/>
          </w:tcPr>
          <w:p w14:paraId="7B1F9DE0">
            <w:pPr>
              <w:keepNext/>
              <w:spacing w:before="0" w:after="0" w:line="240" w:lineRule="auto"/>
              <w:ind w:left="0" w:right="0" w:firstLine="0" w:firstLineChars="0"/>
              <w:jc w:val="center"/>
            </w:pPr>
            <w:r>
              <w:rPr>
                <w:rFonts w:ascii="宋体" w:hAnsi="宋体" w:eastAsia="宋体" w:cs="宋体"/>
                <w:b/>
                <w:bCs/>
                <w:color w:val="000000"/>
                <w:sz w:val="16"/>
                <w:szCs w:val="16"/>
              </w:rPr>
              <w:t>处理说明</w:t>
            </w:r>
          </w:p>
        </w:tc>
        <w:tc>
          <w:tcPr>
            <w:tcW w:w="1072" w:type="dxa"/>
            <w:shd w:val="clear" w:color="auto" w:fill="FFFFFF"/>
            <w:vAlign w:val="center"/>
          </w:tcPr>
          <w:p w14:paraId="71C0E600">
            <w:pPr>
              <w:keepNext/>
              <w:spacing w:before="0" w:after="0" w:line="240" w:lineRule="auto"/>
              <w:ind w:left="0" w:right="0" w:firstLine="0" w:firstLineChars="0"/>
              <w:jc w:val="center"/>
            </w:pPr>
            <w:r>
              <w:rPr>
                <w:rFonts w:ascii="宋体" w:hAnsi="宋体" w:eastAsia="宋体" w:cs="宋体"/>
                <w:b/>
                <w:bCs/>
                <w:color w:val="000000"/>
                <w:sz w:val="16"/>
                <w:szCs w:val="16"/>
              </w:rPr>
              <w:t>异常/分支</w:t>
            </w:r>
          </w:p>
        </w:tc>
        <w:tc>
          <w:tcPr>
            <w:tcW w:w="2000" w:type="dxa"/>
            <w:shd w:val="clear" w:color="auto" w:fill="FFFFFF"/>
            <w:vAlign w:val="center"/>
          </w:tcPr>
          <w:p w14:paraId="7C43CA98">
            <w:pPr>
              <w:keepNext/>
              <w:spacing w:before="0" w:after="0" w:line="240" w:lineRule="auto"/>
              <w:ind w:left="0" w:right="0" w:firstLine="0" w:firstLineChars="0"/>
              <w:jc w:val="center"/>
            </w:pPr>
            <w:r>
              <w:rPr>
                <w:rFonts w:ascii="宋体" w:hAnsi="宋体" w:eastAsia="宋体" w:cs="宋体"/>
                <w:b/>
                <w:bCs/>
                <w:color w:val="000000"/>
                <w:sz w:val="16"/>
                <w:szCs w:val="16"/>
              </w:rPr>
              <w:t>关联规则</w:t>
            </w:r>
          </w:p>
        </w:tc>
      </w:tr>
      <w:tr w14:paraId="2A627989">
        <w:trPr>
          <w:cantSplit/>
          <w:jc w:val="center"/>
        </w:trPr>
        <w:tc>
          <w:tcPr>
            <w:tcW w:w="650" w:type="dxa"/>
            <w:shd w:val="clear" w:color="auto" w:fill="FFFFFF"/>
            <w:vAlign w:val="center"/>
          </w:tcPr>
          <w:p w14:paraId="45633804">
            <w:pPr>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185EF0E9">
            <w:pPr>
              <w:spacing w:before="0" w:after="0" w:line="240" w:lineRule="auto"/>
              <w:ind w:left="0" w:right="0" w:firstLine="0" w:firstLineChars="0"/>
              <w:jc w:val="center"/>
            </w:pPr>
            <w:r>
              <w:rPr>
                <w:rFonts w:ascii="宋体" w:hAnsi="宋体" w:eastAsia="宋体" w:cs="宋体"/>
                <w:b w:val="0"/>
                <w:bCs w:val="0"/>
                <w:color w:val="000000"/>
                <w:sz w:val="16"/>
                <w:szCs w:val="16"/>
              </w:rPr>
              <w:t>接收偏差或主动分析</w:t>
            </w:r>
          </w:p>
        </w:tc>
        <w:tc>
          <w:tcPr>
            <w:tcW w:w="950" w:type="dxa"/>
            <w:shd w:val="clear" w:color="auto" w:fill="FFFFFF"/>
            <w:vAlign w:val="center"/>
          </w:tcPr>
          <w:p w14:paraId="1855D520">
            <w:pPr>
              <w:spacing w:before="0" w:after="0" w:line="240" w:lineRule="auto"/>
              <w:ind w:left="0" w:right="0" w:firstLine="0" w:firstLineChars="0"/>
              <w:jc w:val="center"/>
            </w:pPr>
            <w:r>
              <w:rPr>
                <w:rFonts w:ascii="宋体" w:hAnsi="宋体" w:eastAsia="宋体" w:cs="宋体"/>
                <w:b w:val="0"/>
                <w:bCs w:val="0"/>
                <w:color w:val="000000"/>
                <w:sz w:val="16"/>
                <w:szCs w:val="16"/>
              </w:rPr>
              <w:t>事件源与用户</w:t>
            </w:r>
          </w:p>
        </w:tc>
        <w:tc>
          <w:tcPr>
            <w:tcW w:w="1350" w:type="dxa"/>
            <w:shd w:val="clear" w:color="auto" w:fill="FFFFFF"/>
            <w:vAlign w:val="center"/>
          </w:tcPr>
          <w:p w14:paraId="7D3E1846">
            <w:pPr>
              <w:spacing w:before="0" w:after="0" w:line="240" w:lineRule="auto"/>
              <w:ind w:left="0" w:right="0" w:firstLine="0" w:firstLineChars="0"/>
              <w:jc w:val="left"/>
            </w:pPr>
            <w:r>
              <w:rPr>
                <w:rFonts w:ascii="宋体" w:hAnsi="宋体" w:eastAsia="宋体" w:cs="宋体"/>
                <w:b w:val="0"/>
                <w:bCs w:val="0"/>
                <w:color w:val="000000"/>
                <w:sz w:val="16"/>
                <w:szCs w:val="16"/>
              </w:rPr>
              <w:t>输入：按实时热量数据与确认规则形成的热平衡偏差事件或主动提问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输出：分析请求</w:t>
            </w:r>
          </w:p>
        </w:tc>
        <w:tc>
          <w:tcPr>
            <w:tcW w:w="2000" w:type="dxa"/>
            <w:shd w:val="clear" w:color="auto" w:fill="FFFFFF"/>
            <w:vAlign w:val="center"/>
          </w:tcPr>
          <w:p w14:paraId="6C768107">
            <w:pPr>
              <w:spacing w:before="0" w:after="0" w:line="240" w:lineRule="auto"/>
              <w:ind w:left="0" w:right="0" w:firstLine="0" w:firstLineChars="0"/>
              <w:jc w:val="left"/>
            </w:pPr>
            <w:r>
              <w:rPr>
                <w:rFonts w:ascii="宋体" w:hAnsi="宋体" w:eastAsia="宋体" w:cs="宋体"/>
                <w:b w:val="0"/>
                <w:bCs w:val="0"/>
                <w:color w:val="000000"/>
                <w:sz w:val="16"/>
                <w:szCs w:val="16"/>
              </w:rPr>
              <w:t>按已确认的工序边界和动态时间切片组织温度、流量、蒸汽压力等数据，依据确认规则计算热量差额或利用率偏差，满足触发条件时发起分析；也可按对象和时间范围主动分析。保留触发阈值、数据时间窗及来源。</w:t>
            </w:r>
          </w:p>
        </w:tc>
        <w:tc>
          <w:tcPr>
            <w:tcW w:w="1072" w:type="dxa"/>
            <w:shd w:val="clear" w:color="auto" w:fill="FFFFFF"/>
            <w:vAlign w:val="center"/>
          </w:tcPr>
          <w:p w14:paraId="09B6824F">
            <w:pPr>
              <w:spacing w:before="0" w:after="0" w:line="240" w:lineRule="auto"/>
              <w:ind w:left="0" w:right="0" w:firstLine="0" w:firstLineChars="0"/>
              <w:jc w:val="left"/>
            </w:pPr>
            <w:r>
              <w:rPr>
                <w:rFonts w:ascii="宋体" w:hAnsi="宋体" w:eastAsia="宋体" w:cs="宋体"/>
                <w:b w:val="0"/>
                <w:bCs w:val="0"/>
                <w:color w:val="000000"/>
                <w:sz w:val="16"/>
                <w:szCs w:val="16"/>
              </w:rPr>
              <w:t>→02</w:t>
            </w:r>
          </w:p>
        </w:tc>
        <w:tc>
          <w:tcPr>
            <w:tcW w:w="2000" w:type="dxa"/>
            <w:shd w:val="clear" w:color="auto" w:fill="FFFFFF"/>
            <w:vAlign w:val="center"/>
          </w:tcPr>
          <w:p w14:paraId="11DA1C16">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p>
        </w:tc>
      </w:tr>
      <w:tr w14:paraId="42BFDD8B">
        <w:trPr>
          <w:cantSplit/>
          <w:jc w:val="center"/>
        </w:trPr>
        <w:tc>
          <w:tcPr>
            <w:tcW w:w="650" w:type="dxa"/>
            <w:shd w:val="clear" w:color="auto" w:fill="FFFFFF"/>
            <w:vAlign w:val="center"/>
          </w:tcPr>
          <w:p w14:paraId="30CB38C2">
            <w:pPr>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2014DCF4">
            <w:pPr>
              <w:spacing w:before="0" w:after="0" w:line="240" w:lineRule="auto"/>
              <w:ind w:left="0" w:right="0" w:firstLine="0" w:firstLineChars="0"/>
              <w:jc w:val="center"/>
            </w:pPr>
            <w:r>
              <w:rPr>
                <w:rFonts w:ascii="宋体" w:hAnsi="宋体" w:eastAsia="宋体" w:cs="宋体"/>
                <w:b w:val="0"/>
                <w:bCs w:val="0"/>
                <w:color w:val="000000"/>
                <w:sz w:val="16"/>
                <w:szCs w:val="16"/>
              </w:rPr>
              <w:t>识别对象并合并任务</w:t>
            </w:r>
          </w:p>
        </w:tc>
        <w:tc>
          <w:tcPr>
            <w:tcW w:w="950" w:type="dxa"/>
            <w:shd w:val="clear" w:color="auto" w:fill="FFFFFF"/>
            <w:vAlign w:val="center"/>
          </w:tcPr>
          <w:p w14:paraId="0EFC964A">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155F96CA">
            <w:pPr>
              <w:spacing w:before="0" w:after="0" w:line="240" w:lineRule="auto"/>
              <w:ind w:left="0" w:right="0" w:firstLine="0" w:firstLineChars="0"/>
              <w:jc w:val="left"/>
            </w:pPr>
            <w:r>
              <w:rPr>
                <w:rFonts w:ascii="宋体" w:hAnsi="宋体" w:eastAsia="宋体" w:cs="宋体"/>
                <w:b w:val="0"/>
                <w:bCs w:val="0"/>
                <w:color w:val="000000"/>
                <w:sz w:val="16"/>
                <w:szCs w:val="16"/>
              </w:rPr>
              <w:t>输入：事件或提问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输出：对象与时间窗</w:t>
            </w:r>
          </w:p>
        </w:tc>
        <w:tc>
          <w:tcPr>
            <w:tcW w:w="2000" w:type="dxa"/>
            <w:shd w:val="clear" w:color="auto" w:fill="FFFFFF"/>
            <w:vAlign w:val="center"/>
          </w:tcPr>
          <w:p w14:paraId="7FDEE04F">
            <w:pPr>
              <w:spacing w:before="0" w:after="0" w:line="240" w:lineRule="auto"/>
              <w:ind w:left="0" w:right="0" w:firstLine="0" w:firstLineChars="0"/>
              <w:jc w:val="left"/>
            </w:pPr>
            <w:r>
              <w:rPr>
                <w:rFonts w:ascii="宋体" w:hAnsi="宋体" w:eastAsia="宋体" w:cs="宋体"/>
                <w:b w:val="0"/>
                <w:bCs w:val="0"/>
                <w:color w:val="000000"/>
                <w:sz w:val="16"/>
                <w:szCs w:val="16"/>
              </w:rPr>
              <w:t>与实时物料平衡分析按已确认规则使用对应的动态时间切片；同一蒸汽超耗触发多类判定时依据事件责任与推送规则同源归一。</w:t>
            </w:r>
          </w:p>
        </w:tc>
        <w:tc>
          <w:tcPr>
            <w:tcW w:w="1072" w:type="dxa"/>
            <w:shd w:val="clear" w:color="auto" w:fill="FFFFFF"/>
            <w:vAlign w:val="center"/>
          </w:tcPr>
          <w:p w14:paraId="0DB89D13">
            <w:pPr>
              <w:spacing w:before="0" w:after="0" w:line="240" w:lineRule="auto"/>
              <w:ind w:left="0" w:right="0" w:firstLine="0" w:firstLineChars="0"/>
              <w:jc w:val="left"/>
            </w:pPr>
            <w:r>
              <w:rPr>
                <w:rFonts w:ascii="宋体" w:hAnsi="宋体" w:eastAsia="宋体" w:cs="宋体"/>
                <w:b w:val="0"/>
                <w:bCs w:val="0"/>
                <w:color w:val="000000"/>
                <w:sz w:val="16"/>
                <w:szCs w:val="16"/>
              </w:rPr>
              <w:t>→03</w:t>
            </w:r>
          </w:p>
        </w:tc>
        <w:tc>
          <w:tcPr>
            <w:tcW w:w="2000" w:type="dxa"/>
            <w:shd w:val="clear" w:color="auto" w:fill="FFFFFF"/>
            <w:vAlign w:val="center"/>
          </w:tcPr>
          <w:p w14:paraId="0A23950B">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P-ZLTC-AI-WLPHGY-102-01-001</w:t>
            </w:r>
          </w:p>
        </w:tc>
      </w:tr>
      <w:tr w14:paraId="212A44A4">
        <w:trPr>
          <w:cantSplit/>
          <w:jc w:val="center"/>
        </w:trPr>
        <w:tc>
          <w:tcPr>
            <w:tcW w:w="650" w:type="dxa"/>
            <w:shd w:val="clear" w:color="auto" w:fill="FFFFFF"/>
            <w:vAlign w:val="center"/>
          </w:tcPr>
          <w:p w14:paraId="57A81648">
            <w:pPr>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62EA8D47">
            <w:pPr>
              <w:spacing w:before="0" w:after="0" w:line="240" w:lineRule="auto"/>
              <w:ind w:left="0" w:right="0" w:firstLine="0" w:firstLineChars="0"/>
              <w:jc w:val="center"/>
            </w:pPr>
            <w:r>
              <w:rPr>
                <w:rFonts w:ascii="宋体" w:hAnsi="宋体" w:eastAsia="宋体" w:cs="宋体"/>
                <w:b w:val="0"/>
                <w:bCs w:val="0"/>
                <w:color w:val="000000"/>
                <w:sz w:val="16"/>
                <w:szCs w:val="16"/>
              </w:rPr>
              <w:t>查询既有分析结论</w:t>
            </w:r>
          </w:p>
        </w:tc>
        <w:tc>
          <w:tcPr>
            <w:tcW w:w="950" w:type="dxa"/>
            <w:shd w:val="clear" w:color="auto" w:fill="FFFFFF"/>
            <w:vAlign w:val="center"/>
          </w:tcPr>
          <w:p w14:paraId="0DB678C4">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784E5E53">
            <w:pPr>
              <w:spacing w:before="0" w:after="0" w:line="240" w:lineRule="auto"/>
              <w:ind w:left="0" w:right="0" w:firstLine="0" w:firstLineChars="0"/>
              <w:jc w:val="left"/>
            </w:pPr>
            <w:r>
              <w:rPr>
                <w:rFonts w:ascii="宋体" w:hAnsi="宋体" w:eastAsia="宋体" w:cs="宋体"/>
                <w:b w:val="0"/>
                <w:bCs w:val="0"/>
                <w:color w:val="000000"/>
                <w:sz w:val="16"/>
                <w:szCs w:val="16"/>
              </w:rPr>
              <w:t>输入：对象、时间窗、业务身份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输出：既有报告或新分析要求</w:t>
            </w:r>
          </w:p>
        </w:tc>
        <w:tc>
          <w:tcPr>
            <w:tcW w:w="2000" w:type="dxa"/>
            <w:shd w:val="clear" w:color="auto" w:fill="FFFFFF"/>
            <w:vAlign w:val="center"/>
          </w:tcPr>
          <w:p w14:paraId="3B0AC20D">
            <w:pPr>
              <w:spacing w:before="0" w:after="0" w:line="240" w:lineRule="auto"/>
              <w:ind w:left="0" w:right="0" w:firstLine="0" w:firstLineChars="0"/>
              <w:jc w:val="left"/>
            </w:pPr>
            <w:r>
              <w:rPr>
                <w:rFonts w:ascii="宋体" w:hAnsi="宋体" w:eastAsia="宋体" w:cs="宋体"/>
                <w:b w:val="0"/>
                <w:bCs w:val="0"/>
                <w:color w:val="000000"/>
                <w:sz w:val="16"/>
                <w:szCs w:val="16"/>
              </w:rPr>
              <w:t>按对象、时间窗与业务授权查台账，复用原报告及确认状态。</w:t>
            </w:r>
          </w:p>
        </w:tc>
        <w:tc>
          <w:tcPr>
            <w:tcW w:w="1072" w:type="dxa"/>
            <w:shd w:val="clear" w:color="auto" w:fill="FFFFFF"/>
            <w:vAlign w:val="center"/>
          </w:tcPr>
          <w:p w14:paraId="27A2FBA8">
            <w:pPr>
              <w:spacing w:before="0" w:after="0" w:line="240" w:lineRule="auto"/>
              <w:ind w:left="0" w:right="0" w:firstLine="0" w:firstLineChars="0"/>
              <w:jc w:val="left"/>
            </w:pPr>
            <w:r>
              <w:rPr>
                <w:rFonts w:ascii="宋体" w:hAnsi="宋体" w:eastAsia="宋体" w:cs="宋体"/>
                <w:b w:val="0"/>
                <w:bCs w:val="0"/>
                <w:color w:val="000000"/>
                <w:sz w:val="16"/>
                <w:szCs w:val="16"/>
              </w:rPr>
              <w:t>报告命中→10；</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新分析→04</w:t>
            </w:r>
          </w:p>
        </w:tc>
        <w:tc>
          <w:tcPr>
            <w:tcW w:w="2000" w:type="dxa"/>
            <w:shd w:val="clear" w:color="auto" w:fill="FFFFFF"/>
            <w:vAlign w:val="center"/>
          </w:tcPr>
          <w:p w14:paraId="69824D8B">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P-ZLTC-AI-WLPHGY-102-03-001</w:t>
            </w:r>
          </w:p>
        </w:tc>
      </w:tr>
      <w:tr w14:paraId="2B29068E">
        <w:trPr>
          <w:cantSplit/>
          <w:jc w:val="center"/>
        </w:trPr>
        <w:tc>
          <w:tcPr>
            <w:tcW w:w="650" w:type="dxa"/>
            <w:shd w:val="clear" w:color="auto" w:fill="FFFFFF"/>
            <w:vAlign w:val="center"/>
          </w:tcPr>
          <w:p w14:paraId="70CD3AD3">
            <w:pPr>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3095DE26">
            <w:pPr>
              <w:spacing w:before="0" w:after="0" w:line="240" w:lineRule="auto"/>
              <w:ind w:left="0" w:right="0" w:firstLine="0" w:firstLineChars="0"/>
              <w:jc w:val="center"/>
            </w:pPr>
            <w:r>
              <w:rPr>
                <w:rFonts w:ascii="宋体" w:hAnsi="宋体" w:eastAsia="宋体" w:cs="宋体"/>
                <w:b w:val="0"/>
                <w:bCs w:val="0"/>
                <w:color w:val="000000"/>
                <w:sz w:val="16"/>
                <w:szCs w:val="16"/>
              </w:rPr>
              <w:t>按工艺关系查询数据</w:t>
            </w:r>
          </w:p>
        </w:tc>
        <w:tc>
          <w:tcPr>
            <w:tcW w:w="950" w:type="dxa"/>
            <w:shd w:val="clear" w:color="auto" w:fill="FFFFFF"/>
            <w:vAlign w:val="center"/>
          </w:tcPr>
          <w:p w14:paraId="0A1EFF7B">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6FFF4C5F">
            <w:pPr>
              <w:spacing w:before="0" w:after="0" w:line="240" w:lineRule="auto"/>
              <w:ind w:left="0" w:right="0" w:firstLine="0" w:firstLineChars="0"/>
              <w:jc w:val="left"/>
            </w:pPr>
            <w:r>
              <w:rPr>
                <w:rFonts w:ascii="宋体" w:hAnsi="宋体" w:eastAsia="宋体" w:cs="宋体"/>
                <w:b w:val="0"/>
                <w:bCs w:val="0"/>
                <w:color w:val="000000"/>
                <w:sz w:val="16"/>
                <w:szCs w:val="16"/>
              </w:rPr>
              <w:t>输入：对象、时间窗与取证路线</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输出：证据包或失败状态</w:t>
            </w:r>
          </w:p>
        </w:tc>
        <w:tc>
          <w:tcPr>
            <w:tcW w:w="2000" w:type="dxa"/>
            <w:shd w:val="clear" w:color="auto" w:fill="FFFFFF"/>
            <w:vAlign w:val="center"/>
          </w:tcPr>
          <w:p w14:paraId="6AD2AB10">
            <w:pPr>
              <w:spacing w:before="0" w:after="0" w:line="240" w:lineRule="auto"/>
              <w:ind w:left="0" w:right="0" w:firstLine="0" w:firstLineChars="0"/>
              <w:jc w:val="left"/>
            </w:pPr>
            <w:r>
              <w:rPr>
                <w:rFonts w:ascii="宋体" w:hAnsi="宋体" w:eastAsia="宋体" w:cs="宋体"/>
                <w:b w:val="0"/>
                <w:bCs w:val="0"/>
                <w:color w:val="000000"/>
                <w:sz w:val="16"/>
                <w:szCs w:val="16"/>
              </w:rPr>
              <w:t>沿热力网络拓扑圈定范围，联查工艺参数、换热设备、疏水阀状态、真空度、上下游设备及检修历史。携带最终业务用户身份，按平台授权校验后由AI数据治理供数。其中DCS提供温度、压力、真空度等工艺时序，EMS提供相关能源计量，EAM提供设备与检修记录；疏水阀等对象的状态按已接入测点或设备记录关联。</w:t>
            </w:r>
          </w:p>
        </w:tc>
        <w:tc>
          <w:tcPr>
            <w:tcW w:w="1072" w:type="dxa"/>
            <w:shd w:val="clear" w:color="auto" w:fill="FFFFFF"/>
            <w:vAlign w:val="center"/>
          </w:tcPr>
          <w:p w14:paraId="510D3522">
            <w:pPr>
              <w:spacing w:before="0" w:after="0" w:line="240" w:lineRule="auto"/>
              <w:ind w:left="0" w:right="0" w:firstLine="0" w:firstLineChars="0"/>
              <w:jc w:val="left"/>
            </w:pPr>
            <w:r>
              <w:rPr>
                <w:rFonts w:ascii="宋体" w:hAnsi="宋体" w:eastAsia="宋体" w:cs="宋体"/>
                <w:b w:val="0"/>
                <w:bCs w:val="0"/>
                <w:color w:val="000000"/>
                <w:sz w:val="16"/>
                <w:szCs w:val="16"/>
              </w:rPr>
              <w:t>必需证据缺失→05；</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证据可用→06</w:t>
            </w:r>
          </w:p>
        </w:tc>
        <w:tc>
          <w:tcPr>
            <w:tcW w:w="2000" w:type="dxa"/>
            <w:shd w:val="clear" w:color="auto" w:fill="FFFFFF"/>
            <w:vAlign w:val="center"/>
          </w:tcPr>
          <w:p w14:paraId="237A07B2">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p>
        </w:tc>
      </w:tr>
      <w:tr w14:paraId="78DE44B2">
        <w:trPr>
          <w:cantSplit/>
          <w:jc w:val="center"/>
        </w:trPr>
        <w:tc>
          <w:tcPr>
            <w:tcW w:w="650" w:type="dxa"/>
            <w:shd w:val="clear" w:color="auto" w:fill="FFFFFF"/>
            <w:vAlign w:val="center"/>
          </w:tcPr>
          <w:p w14:paraId="3041EDD0">
            <w:pPr>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48C84765">
            <w:pPr>
              <w:spacing w:before="0" w:after="0" w:line="240" w:lineRule="auto"/>
              <w:ind w:left="0" w:right="0" w:firstLine="0" w:firstLineChars="0"/>
              <w:jc w:val="center"/>
            </w:pPr>
            <w:r>
              <w:rPr>
                <w:rFonts w:ascii="宋体" w:hAnsi="宋体" w:eastAsia="宋体" w:cs="宋体"/>
                <w:b w:val="0"/>
                <w:bCs w:val="0"/>
                <w:color w:val="000000"/>
                <w:sz w:val="16"/>
                <w:szCs w:val="16"/>
              </w:rPr>
              <w:t>说明必需证据失败</w:t>
            </w:r>
          </w:p>
        </w:tc>
        <w:tc>
          <w:tcPr>
            <w:tcW w:w="950" w:type="dxa"/>
            <w:shd w:val="clear" w:color="auto" w:fill="FFFFFF"/>
            <w:vAlign w:val="center"/>
          </w:tcPr>
          <w:p w14:paraId="33135E77">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2CCC9F0A">
            <w:pPr>
              <w:spacing w:before="0" w:after="0" w:line="240" w:lineRule="auto"/>
              <w:ind w:left="0" w:right="0" w:firstLine="0" w:firstLineChars="0"/>
              <w:jc w:val="left"/>
            </w:pPr>
            <w:r>
              <w:rPr>
                <w:rFonts w:ascii="宋体" w:hAnsi="宋体" w:eastAsia="宋体" w:cs="宋体"/>
                <w:b w:val="0"/>
                <w:bCs w:val="0"/>
                <w:color w:val="000000"/>
                <w:sz w:val="16"/>
                <w:szCs w:val="16"/>
              </w:rPr>
              <w:t>输入：必需证据失败</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输出：终止说明</w:t>
            </w:r>
          </w:p>
        </w:tc>
        <w:tc>
          <w:tcPr>
            <w:tcW w:w="2000" w:type="dxa"/>
            <w:shd w:val="clear" w:color="auto" w:fill="FFFFFF"/>
            <w:vAlign w:val="center"/>
          </w:tcPr>
          <w:p w14:paraId="6EB32DAE">
            <w:pPr>
              <w:spacing w:before="0" w:after="0" w:line="240" w:lineRule="auto"/>
              <w:ind w:left="0" w:right="0" w:firstLine="0" w:firstLineChars="0"/>
              <w:jc w:val="left"/>
            </w:pPr>
            <w:r>
              <w:rPr>
                <w:rFonts w:ascii="宋体" w:hAnsi="宋体" w:eastAsia="宋体" w:cs="宋体"/>
                <w:b w:val="0"/>
                <w:bCs w:val="0"/>
                <w:color w:val="000000"/>
                <w:sz w:val="16"/>
                <w:szCs w:val="16"/>
              </w:rPr>
              <w:t>说明必需证据的权限、缺失或执行失败状态，保留对应调用和证据记录，本次分析以原因说明结束。</w:t>
            </w:r>
          </w:p>
        </w:tc>
        <w:tc>
          <w:tcPr>
            <w:tcW w:w="1072" w:type="dxa"/>
            <w:shd w:val="clear" w:color="auto" w:fill="FFFFFF"/>
            <w:vAlign w:val="center"/>
          </w:tcPr>
          <w:p w14:paraId="4BF24CB1">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5D050A9C">
            <w:pPr>
              <w:spacing w:before="0" w:after="0" w:line="240" w:lineRule="auto"/>
              <w:ind w:left="0" w:right="0" w:firstLine="0" w:firstLineChars="0"/>
              <w:jc w:val="left"/>
            </w:pPr>
            <w:r>
              <w:rPr>
                <w:rFonts w:ascii="宋体" w:hAnsi="宋体" w:eastAsia="宋体" w:cs="宋体"/>
                <w:b w:val="0"/>
                <w:bCs w:val="0"/>
                <w:color w:val="000000"/>
                <w:sz w:val="16"/>
                <w:szCs w:val="16"/>
              </w:rPr>
              <w:t>P-ZLTC-AI-ZNWS-101-08-003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7A33F225">
        <w:trPr>
          <w:cantSplit/>
          <w:jc w:val="center"/>
        </w:trPr>
        <w:tc>
          <w:tcPr>
            <w:tcW w:w="650" w:type="dxa"/>
            <w:shd w:val="clear" w:color="auto" w:fill="FFFFFF"/>
            <w:vAlign w:val="center"/>
          </w:tcPr>
          <w:p w14:paraId="642C0893">
            <w:pPr>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68F11168">
            <w:pPr>
              <w:spacing w:before="0" w:after="0" w:line="240" w:lineRule="auto"/>
              <w:ind w:left="0" w:right="0" w:firstLine="0" w:firstLineChars="0"/>
              <w:jc w:val="center"/>
            </w:pPr>
            <w:r>
              <w:rPr>
                <w:rFonts w:ascii="宋体" w:hAnsi="宋体" w:eastAsia="宋体" w:cs="宋体"/>
                <w:b w:val="0"/>
                <w:bCs w:val="0"/>
                <w:color w:val="000000"/>
                <w:sz w:val="16"/>
                <w:szCs w:val="16"/>
              </w:rPr>
              <w:t>核对实时平衡结果</w:t>
            </w:r>
          </w:p>
        </w:tc>
        <w:tc>
          <w:tcPr>
            <w:tcW w:w="950" w:type="dxa"/>
            <w:shd w:val="clear" w:color="auto" w:fill="FFFFFF"/>
            <w:vAlign w:val="center"/>
          </w:tcPr>
          <w:p w14:paraId="64F794B3">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44BCCA94">
            <w:pPr>
              <w:spacing w:before="0" w:after="0" w:line="240" w:lineRule="auto"/>
              <w:ind w:left="0" w:right="0" w:firstLine="0" w:firstLineChars="0"/>
              <w:jc w:val="left"/>
            </w:pPr>
            <w:r>
              <w:rPr>
                <w:rFonts w:ascii="宋体" w:hAnsi="宋体" w:eastAsia="宋体" w:cs="宋体"/>
                <w:b w:val="0"/>
                <w:bCs w:val="0"/>
                <w:color w:val="000000"/>
                <w:sz w:val="16"/>
                <w:szCs w:val="16"/>
              </w:rPr>
              <w:t>输入：程序按实时数据与确认规则计算的热量核算及偏差、设计基准和取证包</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输出：热量核算、偏差与关键差异判断</w:t>
            </w:r>
          </w:p>
        </w:tc>
        <w:tc>
          <w:tcPr>
            <w:tcW w:w="2000" w:type="dxa"/>
            <w:shd w:val="clear" w:color="auto" w:fill="FFFFFF"/>
            <w:vAlign w:val="center"/>
          </w:tcPr>
          <w:p w14:paraId="27F109D8">
            <w:pPr>
              <w:spacing w:before="0" w:after="0" w:line="240" w:lineRule="auto"/>
              <w:ind w:left="0" w:right="0" w:firstLine="0" w:firstLineChars="0"/>
              <w:jc w:val="left"/>
            </w:pPr>
            <w:r>
              <w:rPr>
                <w:rFonts w:ascii="宋体" w:hAnsi="宋体" w:eastAsia="宋体" w:cs="宋体"/>
                <w:b w:val="0"/>
                <w:bCs w:val="0"/>
                <w:color w:val="000000"/>
                <w:sz w:val="16"/>
                <w:szCs w:val="16"/>
              </w:rPr>
              <w:t>核对由温度、流量、蒸汽压力等实时数据按已确认的动态时间切片和热量计算规则，经程序计算形成的热量输入、输出、散热、利用率及差额；与设计值对照，核证热损失区段与工况。保留计算公式、时间窗和因子，关联DCS工艺测点及EMS能源计量的原始记录，并保留已确认的设计值依据。</w:t>
            </w:r>
          </w:p>
        </w:tc>
        <w:tc>
          <w:tcPr>
            <w:tcW w:w="1072" w:type="dxa"/>
            <w:shd w:val="clear" w:color="auto" w:fill="FFFFFF"/>
            <w:vAlign w:val="center"/>
          </w:tcPr>
          <w:p w14:paraId="56301F84">
            <w:pPr>
              <w:spacing w:before="0" w:after="0" w:line="240" w:lineRule="auto"/>
              <w:ind w:left="0" w:right="0" w:firstLine="0" w:firstLineChars="0"/>
              <w:jc w:val="left"/>
            </w:pPr>
            <w:r>
              <w:rPr>
                <w:rFonts w:ascii="宋体" w:hAnsi="宋体" w:eastAsia="宋体" w:cs="宋体"/>
                <w:b w:val="0"/>
                <w:bCs w:val="0"/>
                <w:color w:val="000000"/>
                <w:sz w:val="16"/>
                <w:szCs w:val="16"/>
              </w:rPr>
              <w:t>→07</w:t>
            </w:r>
          </w:p>
        </w:tc>
        <w:tc>
          <w:tcPr>
            <w:tcW w:w="2000" w:type="dxa"/>
            <w:shd w:val="clear" w:color="auto" w:fill="FFFFFF"/>
            <w:vAlign w:val="center"/>
          </w:tcPr>
          <w:p w14:paraId="58A97A08">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P-ZLTC-AI-WLPHGY-102-07-001</w:t>
            </w:r>
          </w:p>
        </w:tc>
      </w:tr>
      <w:tr w14:paraId="4EF56D70">
        <w:trPr>
          <w:cantSplit/>
          <w:jc w:val="center"/>
        </w:trPr>
        <w:tc>
          <w:tcPr>
            <w:tcW w:w="650" w:type="dxa"/>
            <w:shd w:val="clear" w:color="auto" w:fill="FFFFFF"/>
            <w:vAlign w:val="center"/>
          </w:tcPr>
          <w:p w14:paraId="11051E10">
            <w:pPr>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3C6524B5">
            <w:pPr>
              <w:spacing w:before="0" w:after="0" w:line="240" w:lineRule="auto"/>
              <w:ind w:left="0" w:right="0" w:firstLine="0" w:firstLineChars="0"/>
              <w:jc w:val="center"/>
            </w:pPr>
            <w:r>
              <w:rPr>
                <w:rFonts w:ascii="宋体" w:hAnsi="宋体" w:eastAsia="宋体" w:cs="宋体"/>
                <w:b w:val="0"/>
                <w:bCs w:val="0"/>
                <w:color w:val="000000"/>
                <w:sz w:val="16"/>
                <w:szCs w:val="16"/>
              </w:rPr>
              <w:t>逐项核查影响因素</w:t>
            </w:r>
          </w:p>
        </w:tc>
        <w:tc>
          <w:tcPr>
            <w:tcW w:w="950" w:type="dxa"/>
            <w:shd w:val="clear" w:color="auto" w:fill="FFFFFF"/>
            <w:vAlign w:val="center"/>
          </w:tcPr>
          <w:p w14:paraId="121A9CF1">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4F183BFB">
            <w:pPr>
              <w:spacing w:before="0" w:after="0" w:line="240" w:lineRule="auto"/>
              <w:ind w:left="0" w:right="0" w:firstLine="0" w:firstLineChars="0"/>
              <w:jc w:val="left"/>
            </w:pPr>
            <w:r>
              <w:rPr>
                <w:rFonts w:ascii="宋体" w:hAnsi="宋体" w:eastAsia="宋体" w:cs="宋体"/>
                <w:b w:val="0"/>
                <w:bCs w:val="0"/>
                <w:color w:val="000000"/>
                <w:sz w:val="16"/>
                <w:szCs w:val="16"/>
              </w:rPr>
              <w:t>输入：证据包、影响因素清单</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输出：逐项核证结果</w:t>
            </w:r>
          </w:p>
        </w:tc>
        <w:tc>
          <w:tcPr>
            <w:tcW w:w="2000" w:type="dxa"/>
            <w:shd w:val="clear" w:color="auto" w:fill="FFFFFF"/>
            <w:vAlign w:val="center"/>
          </w:tcPr>
          <w:p w14:paraId="0DBA3BF1">
            <w:pPr>
              <w:spacing w:before="0" w:after="0" w:line="240" w:lineRule="auto"/>
              <w:ind w:left="0" w:right="0" w:firstLine="0" w:firstLineChars="0"/>
              <w:jc w:val="left"/>
            </w:pPr>
            <w:r>
              <w:rPr>
                <w:rFonts w:ascii="宋体" w:hAnsi="宋体" w:eastAsia="宋体" w:cs="宋体"/>
                <w:b w:val="0"/>
                <w:bCs w:val="0"/>
                <w:color w:val="000000"/>
                <w:sz w:val="16"/>
                <w:szCs w:val="16"/>
              </w:rPr>
              <w:t>依据本场景影响因素清单逐项核对；未取证的因素不写成已验证结论。</w:t>
            </w:r>
          </w:p>
        </w:tc>
        <w:tc>
          <w:tcPr>
            <w:tcW w:w="1072" w:type="dxa"/>
            <w:shd w:val="clear" w:color="auto" w:fill="FFFFFF"/>
            <w:vAlign w:val="center"/>
          </w:tcPr>
          <w:p w14:paraId="17E181D2">
            <w:pPr>
              <w:spacing w:before="0" w:after="0" w:line="240" w:lineRule="auto"/>
              <w:ind w:left="0" w:right="0" w:firstLine="0" w:firstLineChars="0"/>
              <w:jc w:val="left"/>
            </w:pPr>
            <w:r>
              <w:rPr>
                <w:rFonts w:ascii="宋体" w:hAnsi="宋体" w:eastAsia="宋体" w:cs="宋体"/>
                <w:b w:val="0"/>
                <w:bCs w:val="0"/>
                <w:color w:val="000000"/>
                <w:sz w:val="16"/>
                <w:szCs w:val="16"/>
              </w:rPr>
              <w:t>→08</w:t>
            </w:r>
          </w:p>
        </w:tc>
        <w:tc>
          <w:tcPr>
            <w:tcW w:w="2000" w:type="dxa"/>
            <w:shd w:val="clear" w:color="auto" w:fill="FFFFFF"/>
            <w:vAlign w:val="center"/>
          </w:tcPr>
          <w:p w14:paraId="12311083">
            <w:pPr>
              <w:spacing w:before="0" w:after="0" w:line="240" w:lineRule="auto"/>
              <w:ind w:left="0" w:right="0" w:firstLine="0" w:firstLineChars="0"/>
              <w:jc w:val="left"/>
            </w:pPr>
            <w:r>
              <w:rPr>
                <w:rFonts w:ascii="宋体" w:hAnsi="宋体" w:eastAsia="宋体" w:cs="宋体"/>
                <w:b w:val="0"/>
                <w:bCs w:val="0"/>
                <w:color w:val="000000"/>
                <w:sz w:val="16"/>
                <w:szCs w:val="16"/>
              </w:rPr>
              <w:t>P-ZLTC-AI-WLPHGY-102-07-001</w:t>
            </w:r>
          </w:p>
        </w:tc>
      </w:tr>
      <w:tr w14:paraId="5151CBE3">
        <w:trPr>
          <w:cantSplit/>
          <w:jc w:val="center"/>
        </w:trPr>
        <w:tc>
          <w:tcPr>
            <w:tcW w:w="650" w:type="dxa"/>
            <w:shd w:val="clear" w:color="auto" w:fill="FFFFFF"/>
            <w:vAlign w:val="center"/>
          </w:tcPr>
          <w:p w14:paraId="1ABF21EB">
            <w:pPr>
              <w:spacing w:before="0" w:after="0" w:line="240" w:lineRule="auto"/>
              <w:ind w:left="0" w:right="0" w:firstLine="0" w:firstLineChars="0"/>
              <w:jc w:val="center"/>
            </w:pPr>
            <w:r>
              <w:rPr>
                <w:rFonts w:ascii="宋体" w:hAnsi="宋体" w:eastAsia="宋体" w:cs="宋体"/>
                <w:b w:val="0"/>
                <w:bCs w:val="0"/>
                <w:color w:val="000000"/>
                <w:sz w:val="16"/>
                <w:szCs w:val="16"/>
              </w:rPr>
              <w:t>08</w:t>
            </w:r>
          </w:p>
        </w:tc>
        <w:tc>
          <w:tcPr>
            <w:tcW w:w="1050" w:type="dxa"/>
            <w:shd w:val="clear" w:color="auto" w:fill="FFFFFF"/>
            <w:vAlign w:val="center"/>
          </w:tcPr>
          <w:p w14:paraId="272140CA">
            <w:pPr>
              <w:spacing w:before="0" w:after="0" w:line="240" w:lineRule="auto"/>
              <w:ind w:left="0" w:right="0" w:firstLine="0" w:firstLineChars="0"/>
              <w:jc w:val="center"/>
            </w:pPr>
            <w:r>
              <w:rPr>
                <w:rFonts w:ascii="宋体" w:hAnsi="宋体" w:eastAsia="宋体" w:cs="宋体"/>
                <w:b w:val="0"/>
                <w:bCs w:val="0"/>
                <w:color w:val="000000"/>
                <w:sz w:val="16"/>
                <w:szCs w:val="16"/>
              </w:rPr>
              <w:t>形成分级分析结论</w:t>
            </w:r>
          </w:p>
        </w:tc>
        <w:tc>
          <w:tcPr>
            <w:tcW w:w="950" w:type="dxa"/>
            <w:shd w:val="clear" w:color="auto" w:fill="FFFFFF"/>
            <w:vAlign w:val="center"/>
          </w:tcPr>
          <w:p w14:paraId="32421054">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2F686D81">
            <w:pPr>
              <w:spacing w:before="0" w:after="0" w:line="240" w:lineRule="auto"/>
              <w:ind w:left="0" w:right="0" w:firstLine="0" w:firstLineChars="0"/>
              <w:jc w:val="left"/>
            </w:pPr>
            <w:r>
              <w:rPr>
                <w:rFonts w:ascii="宋体" w:hAnsi="宋体" w:eastAsia="宋体" w:cs="宋体"/>
                <w:b w:val="0"/>
                <w:bCs w:val="0"/>
                <w:color w:val="000000"/>
                <w:sz w:val="16"/>
                <w:szCs w:val="16"/>
              </w:rPr>
              <w:t>输入：核证结果</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输出：分级结论及建议</w:t>
            </w:r>
          </w:p>
        </w:tc>
        <w:tc>
          <w:tcPr>
            <w:tcW w:w="2000" w:type="dxa"/>
            <w:shd w:val="clear" w:color="auto" w:fill="FFFFFF"/>
            <w:vAlign w:val="center"/>
          </w:tcPr>
          <w:p w14:paraId="6E847200">
            <w:pPr>
              <w:spacing w:before="0" w:after="0" w:line="240" w:lineRule="auto"/>
              <w:ind w:left="0" w:right="0" w:firstLine="0" w:firstLineChars="0"/>
              <w:jc w:val="left"/>
            </w:pPr>
            <w:r>
              <w:rPr>
                <w:rFonts w:ascii="宋体" w:hAnsi="宋体" w:eastAsia="宋体" w:cs="宋体"/>
                <w:b w:val="0"/>
                <w:bCs w:val="0"/>
                <w:color w:val="000000"/>
                <w:sz w:val="16"/>
                <w:szCs w:val="16"/>
              </w:rPr>
              <w:t>说明热量损失的区段、涉及设备或工况，形成分级归因报告及温控、换热改进建议。</w:t>
            </w:r>
          </w:p>
        </w:tc>
        <w:tc>
          <w:tcPr>
            <w:tcW w:w="1072" w:type="dxa"/>
            <w:shd w:val="clear" w:color="auto" w:fill="FFFFFF"/>
            <w:vAlign w:val="center"/>
          </w:tcPr>
          <w:p w14:paraId="146C3F26">
            <w:pPr>
              <w:spacing w:before="0" w:after="0" w:line="240" w:lineRule="auto"/>
              <w:ind w:left="0" w:right="0" w:firstLine="0" w:firstLineChars="0"/>
              <w:jc w:val="left"/>
            </w:pPr>
            <w:r>
              <w:rPr>
                <w:rFonts w:ascii="宋体" w:hAnsi="宋体" w:eastAsia="宋体" w:cs="宋体"/>
                <w:b w:val="0"/>
                <w:bCs w:val="0"/>
                <w:color w:val="000000"/>
                <w:sz w:val="16"/>
                <w:szCs w:val="16"/>
              </w:rPr>
              <w:t>→09</w:t>
            </w:r>
          </w:p>
        </w:tc>
        <w:tc>
          <w:tcPr>
            <w:tcW w:w="2000" w:type="dxa"/>
            <w:shd w:val="clear" w:color="auto" w:fill="FFFFFF"/>
            <w:vAlign w:val="center"/>
          </w:tcPr>
          <w:p w14:paraId="38E65A2D">
            <w:pPr>
              <w:spacing w:before="0" w:after="0" w:line="240" w:lineRule="auto"/>
              <w:ind w:left="0" w:right="0" w:firstLine="0" w:firstLineChars="0"/>
              <w:jc w:val="left"/>
            </w:pPr>
            <w:r>
              <w:rPr>
                <w:rFonts w:ascii="宋体" w:hAnsi="宋体" w:eastAsia="宋体" w:cs="宋体"/>
                <w:b w:val="0"/>
                <w:bCs w:val="0"/>
                <w:color w:val="000000"/>
                <w:sz w:val="16"/>
                <w:szCs w:val="16"/>
              </w:rPr>
              <w:t>P-ZLTC-AI-WLPHGY-102-07-001</w:t>
            </w:r>
          </w:p>
        </w:tc>
      </w:tr>
      <w:tr w14:paraId="01B6037D">
        <w:trPr>
          <w:cantSplit/>
          <w:jc w:val="center"/>
        </w:trPr>
        <w:tc>
          <w:tcPr>
            <w:tcW w:w="650" w:type="dxa"/>
            <w:shd w:val="clear" w:color="auto" w:fill="FFFFFF"/>
            <w:vAlign w:val="center"/>
          </w:tcPr>
          <w:p w14:paraId="426EA7D2">
            <w:pPr>
              <w:spacing w:before="0" w:after="0" w:line="240" w:lineRule="auto"/>
              <w:ind w:left="0" w:right="0" w:firstLine="0" w:firstLineChars="0"/>
              <w:jc w:val="center"/>
            </w:pPr>
            <w:r>
              <w:rPr>
                <w:rFonts w:ascii="宋体" w:hAnsi="宋体" w:eastAsia="宋体" w:cs="宋体"/>
                <w:b w:val="0"/>
                <w:bCs w:val="0"/>
                <w:color w:val="000000"/>
                <w:sz w:val="16"/>
                <w:szCs w:val="16"/>
              </w:rPr>
              <w:t>09</w:t>
            </w:r>
          </w:p>
        </w:tc>
        <w:tc>
          <w:tcPr>
            <w:tcW w:w="1050" w:type="dxa"/>
            <w:shd w:val="clear" w:color="auto" w:fill="FFFFFF"/>
            <w:vAlign w:val="center"/>
          </w:tcPr>
          <w:p w14:paraId="0BC0FF76">
            <w:pPr>
              <w:spacing w:before="0" w:after="0" w:line="240" w:lineRule="auto"/>
              <w:ind w:left="0" w:right="0" w:firstLine="0" w:firstLineChars="0"/>
              <w:jc w:val="center"/>
            </w:pPr>
            <w:r>
              <w:rPr>
                <w:rFonts w:ascii="宋体" w:hAnsi="宋体" w:eastAsia="宋体" w:cs="宋体"/>
                <w:b w:val="0"/>
                <w:bCs w:val="0"/>
                <w:color w:val="000000"/>
                <w:sz w:val="16"/>
                <w:szCs w:val="16"/>
              </w:rPr>
              <w:t>生成并归档分析报告</w:t>
            </w:r>
          </w:p>
        </w:tc>
        <w:tc>
          <w:tcPr>
            <w:tcW w:w="950" w:type="dxa"/>
            <w:shd w:val="clear" w:color="auto" w:fill="FFFFFF"/>
            <w:vAlign w:val="center"/>
          </w:tcPr>
          <w:p w14:paraId="413B022A">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02CB9A5F">
            <w:pPr>
              <w:spacing w:before="0" w:after="0" w:line="240" w:lineRule="auto"/>
              <w:ind w:left="0" w:right="0" w:firstLine="0" w:firstLineChars="0"/>
              <w:jc w:val="left"/>
            </w:pPr>
            <w:r>
              <w:rPr>
                <w:rFonts w:ascii="宋体" w:hAnsi="宋体" w:eastAsia="宋体" w:cs="宋体"/>
                <w:b w:val="0"/>
                <w:bCs w:val="0"/>
                <w:color w:val="000000"/>
                <w:sz w:val="16"/>
                <w:szCs w:val="16"/>
              </w:rPr>
              <w:t>输入：分级结论与证据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输出：可追溯报告</w:t>
            </w:r>
          </w:p>
        </w:tc>
        <w:tc>
          <w:tcPr>
            <w:tcW w:w="2000" w:type="dxa"/>
            <w:shd w:val="clear" w:color="auto" w:fill="FFFFFF"/>
            <w:vAlign w:val="center"/>
          </w:tcPr>
          <w:p w14:paraId="0F58F471">
            <w:pPr>
              <w:spacing w:before="0" w:after="0" w:line="240" w:lineRule="auto"/>
              <w:ind w:left="0" w:right="0" w:firstLine="0" w:firstLineChars="0"/>
              <w:jc w:val="left"/>
            </w:pPr>
            <w:r>
              <w:rPr>
                <w:rFonts w:ascii="宋体" w:hAnsi="宋体" w:eastAsia="宋体" w:cs="宋体"/>
                <w:b w:val="0"/>
                <w:bCs w:val="0"/>
                <w:color w:val="000000"/>
                <w:sz w:val="16"/>
                <w:szCs w:val="16"/>
              </w:rPr>
              <w:t>归档分级结论、证据与处置建议，支持后续引用。</w:t>
            </w:r>
          </w:p>
        </w:tc>
        <w:tc>
          <w:tcPr>
            <w:tcW w:w="1072" w:type="dxa"/>
            <w:shd w:val="clear" w:color="auto" w:fill="FFFFFF"/>
            <w:vAlign w:val="center"/>
          </w:tcPr>
          <w:p w14:paraId="4ECE081D">
            <w:pPr>
              <w:spacing w:before="0" w:after="0" w:line="240" w:lineRule="auto"/>
              <w:ind w:left="0" w:right="0" w:firstLine="0" w:firstLineChars="0"/>
              <w:jc w:val="left"/>
            </w:pPr>
            <w:r>
              <w:rPr>
                <w:rFonts w:ascii="宋体" w:hAnsi="宋体" w:eastAsia="宋体" w:cs="宋体"/>
                <w:b w:val="0"/>
                <w:bCs w:val="0"/>
                <w:color w:val="000000"/>
                <w:sz w:val="16"/>
                <w:szCs w:val="16"/>
              </w:rPr>
              <w:t>→10</w:t>
            </w:r>
          </w:p>
        </w:tc>
        <w:tc>
          <w:tcPr>
            <w:tcW w:w="2000" w:type="dxa"/>
            <w:shd w:val="clear" w:color="auto" w:fill="FFFFFF"/>
            <w:vAlign w:val="center"/>
          </w:tcPr>
          <w:p w14:paraId="5020ABA2">
            <w:pPr>
              <w:spacing w:before="0" w:after="0" w:line="240" w:lineRule="auto"/>
              <w:ind w:left="0" w:right="0" w:firstLine="0" w:firstLineChars="0"/>
              <w:jc w:val="left"/>
            </w:pPr>
            <w:r>
              <w:rPr>
                <w:rFonts w:ascii="宋体" w:hAnsi="宋体" w:eastAsia="宋体" w:cs="宋体"/>
                <w:b w:val="0"/>
                <w:bCs w:val="0"/>
                <w:color w:val="000000"/>
                <w:sz w:val="16"/>
                <w:szCs w:val="16"/>
              </w:rPr>
              <w:t>P-ZLTC-AI-WLPHGY-102-07-001</w:t>
            </w:r>
          </w:p>
        </w:tc>
      </w:tr>
      <w:tr w14:paraId="0FD23D2C">
        <w:trPr>
          <w:cantSplit/>
          <w:jc w:val="center"/>
        </w:trPr>
        <w:tc>
          <w:tcPr>
            <w:tcW w:w="650" w:type="dxa"/>
            <w:shd w:val="clear" w:color="auto" w:fill="FFFFFF"/>
            <w:vAlign w:val="center"/>
          </w:tcPr>
          <w:p w14:paraId="1385854D">
            <w:pPr>
              <w:spacing w:before="0" w:after="0" w:line="240" w:lineRule="auto"/>
              <w:ind w:left="0" w:right="0" w:firstLine="0" w:firstLineChars="0"/>
              <w:jc w:val="center"/>
            </w:pPr>
            <w:r>
              <w:rPr>
                <w:rFonts w:ascii="宋体" w:hAnsi="宋体" w:eastAsia="宋体" w:cs="宋体"/>
                <w:b w:val="0"/>
                <w:bCs w:val="0"/>
                <w:color w:val="000000"/>
                <w:sz w:val="16"/>
                <w:szCs w:val="16"/>
              </w:rPr>
              <w:t>10</w:t>
            </w:r>
          </w:p>
        </w:tc>
        <w:tc>
          <w:tcPr>
            <w:tcW w:w="1050" w:type="dxa"/>
            <w:shd w:val="clear" w:color="auto" w:fill="FFFFFF"/>
            <w:vAlign w:val="center"/>
          </w:tcPr>
          <w:p w14:paraId="3B60D437">
            <w:pPr>
              <w:spacing w:before="0" w:after="0" w:line="240" w:lineRule="auto"/>
              <w:ind w:left="0" w:right="0" w:firstLine="0" w:firstLineChars="0"/>
              <w:jc w:val="center"/>
            </w:pPr>
            <w:r>
              <w:rPr>
                <w:rFonts w:ascii="宋体" w:hAnsi="宋体" w:eastAsia="宋体" w:cs="宋体"/>
                <w:b w:val="0"/>
                <w:bCs w:val="0"/>
                <w:color w:val="000000"/>
                <w:sz w:val="16"/>
                <w:szCs w:val="16"/>
              </w:rPr>
              <w:t>呈现报告与确认状态</w:t>
            </w:r>
          </w:p>
        </w:tc>
        <w:tc>
          <w:tcPr>
            <w:tcW w:w="950" w:type="dxa"/>
            <w:shd w:val="clear" w:color="auto" w:fill="FFFFFF"/>
            <w:vAlign w:val="center"/>
          </w:tcPr>
          <w:p w14:paraId="246CEAE6">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22DDBE47">
            <w:pPr>
              <w:spacing w:before="0" w:after="0" w:line="240" w:lineRule="auto"/>
              <w:ind w:left="0" w:right="0" w:firstLine="0" w:firstLineChars="0"/>
              <w:jc w:val="left"/>
            </w:pPr>
            <w:r>
              <w:rPr>
                <w:rFonts w:ascii="宋体" w:hAnsi="宋体" w:eastAsia="宋体" w:cs="宋体"/>
                <w:b w:val="0"/>
                <w:bCs w:val="0"/>
                <w:color w:val="000000"/>
                <w:sz w:val="16"/>
                <w:szCs w:val="16"/>
              </w:rPr>
              <w:t>输入：原报告或新报告</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输出：用户可查看的报告</w:t>
            </w:r>
          </w:p>
        </w:tc>
        <w:tc>
          <w:tcPr>
            <w:tcW w:w="2000" w:type="dxa"/>
            <w:shd w:val="clear" w:color="auto" w:fill="FFFFFF"/>
            <w:vAlign w:val="center"/>
          </w:tcPr>
          <w:p w14:paraId="200762F4">
            <w:pPr>
              <w:spacing w:before="0" w:after="0" w:line="240" w:lineRule="auto"/>
              <w:ind w:left="0" w:right="0" w:firstLine="0" w:firstLineChars="0"/>
              <w:jc w:val="left"/>
            </w:pPr>
            <w:r>
              <w:rPr>
                <w:rFonts w:ascii="宋体" w:hAnsi="宋体" w:eastAsia="宋体" w:cs="宋体"/>
                <w:b w:val="0"/>
                <w:bCs w:val="0"/>
                <w:color w:val="000000"/>
                <w:sz w:val="16"/>
                <w:szCs w:val="16"/>
              </w:rPr>
              <w:t>展示报告及确认状态，支持后续按对象、时间范围或事件编号引用和追问。</w:t>
            </w:r>
          </w:p>
        </w:tc>
        <w:tc>
          <w:tcPr>
            <w:tcW w:w="1072" w:type="dxa"/>
            <w:shd w:val="clear" w:color="auto" w:fill="FFFFFF"/>
            <w:vAlign w:val="center"/>
          </w:tcPr>
          <w:p w14:paraId="0A747623">
            <w:pPr>
              <w:spacing w:before="0" w:after="0" w:line="240" w:lineRule="auto"/>
              <w:ind w:left="0" w:right="0" w:firstLine="0" w:firstLineChars="0"/>
              <w:jc w:val="left"/>
            </w:pPr>
            <w:r>
              <w:rPr>
                <w:rFonts w:ascii="宋体" w:hAnsi="宋体" w:eastAsia="宋体" w:cs="宋体"/>
                <w:b w:val="0"/>
                <w:bCs w:val="0"/>
                <w:color w:val="000000"/>
                <w:sz w:val="16"/>
                <w:szCs w:val="16"/>
              </w:rPr>
              <w:t>事件推送→11；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会话查看完成→结束</w:t>
            </w:r>
          </w:p>
        </w:tc>
        <w:tc>
          <w:tcPr>
            <w:tcW w:w="2000" w:type="dxa"/>
            <w:shd w:val="clear" w:color="auto" w:fill="FFFFFF"/>
            <w:vAlign w:val="center"/>
          </w:tcPr>
          <w:p w14:paraId="21F7A4AF">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p>
        </w:tc>
      </w:tr>
      <w:tr w14:paraId="616B3DD6">
        <w:trPr>
          <w:cantSplit/>
          <w:jc w:val="center"/>
        </w:trPr>
        <w:tc>
          <w:tcPr>
            <w:tcW w:w="650" w:type="dxa"/>
            <w:shd w:val="clear" w:color="auto" w:fill="FFFFFF"/>
            <w:vAlign w:val="center"/>
          </w:tcPr>
          <w:p w14:paraId="66C9CD99">
            <w:pPr>
              <w:spacing w:before="0" w:after="0" w:line="240" w:lineRule="auto"/>
              <w:ind w:left="0" w:right="0" w:firstLine="0" w:firstLineChars="0"/>
              <w:jc w:val="center"/>
            </w:pPr>
            <w:r>
              <w:rPr>
                <w:rFonts w:ascii="宋体" w:hAnsi="宋体" w:eastAsia="宋体" w:cs="宋体"/>
                <w:b w:val="0"/>
                <w:bCs w:val="0"/>
                <w:color w:val="000000"/>
                <w:sz w:val="16"/>
                <w:szCs w:val="16"/>
              </w:rPr>
              <w:t>11</w:t>
            </w:r>
          </w:p>
        </w:tc>
        <w:tc>
          <w:tcPr>
            <w:tcW w:w="1050" w:type="dxa"/>
            <w:shd w:val="clear" w:color="auto" w:fill="FFFFFF"/>
            <w:vAlign w:val="center"/>
          </w:tcPr>
          <w:p w14:paraId="466DEB69">
            <w:pPr>
              <w:spacing w:before="0" w:after="0" w:line="240" w:lineRule="auto"/>
              <w:ind w:left="0" w:right="0" w:firstLine="0" w:firstLineChars="0"/>
              <w:jc w:val="center"/>
            </w:pPr>
            <w:r>
              <w:rPr>
                <w:rFonts w:ascii="宋体" w:hAnsi="宋体" w:eastAsia="宋体" w:cs="宋体"/>
                <w:b w:val="0"/>
                <w:bCs w:val="0"/>
                <w:color w:val="000000"/>
                <w:sz w:val="16"/>
                <w:szCs w:val="16"/>
              </w:rPr>
              <w:t>确认责任人与权限</w:t>
            </w:r>
          </w:p>
        </w:tc>
        <w:tc>
          <w:tcPr>
            <w:tcW w:w="950" w:type="dxa"/>
            <w:shd w:val="clear" w:color="auto" w:fill="FFFFFF"/>
            <w:vAlign w:val="center"/>
          </w:tcPr>
          <w:p w14:paraId="0BB51954">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070CA9C6">
            <w:pPr>
              <w:spacing w:before="0" w:after="0" w:line="240" w:lineRule="auto"/>
              <w:ind w:left="0" w:right="0" w:firstLine="0" w:firstLineChars="0"/>
              <w:jc w:val="left"/>
            </w:pPr>
            <w:r>
              <w:rPr>
                <w:rFonts w:ascii="宋体" w:hAnsi="宋体" w:eastAsia="宋体" w:cs="宋体"/>
                <w:b w:val="0"/>
                <w:bCs w:val="0"/>
                <w:color w:val="000000"/>
                <w:sz w:val="16"/>
                <w:szCs w:val="16"/>
              </w:rPr>
              <w:t>输入：事件卡、主数据及业务身份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输出：责任人和授权状态</w:t>
            </w:r>
          </w:p>
        </w:tc>
        <w:tc>
          <w:tcPr>
            <w:tcW w:w="2000" w:type="dxa"/>
            <w:shd w:val="clear" w:color="auto" w:fill="FFFFFF"/>
            <w:vAlign w:val="center"/>
          </w:tcPr>
          <w:p w14:paraId="47FE02A4">
            <w:pPr>
              <w:spacing w:before="0" w:after="0" w:line="240" w:lineRule="auto"/>
              <w:ind w:left="0" w:right="0" w:firstLine="0" w:firstLineChars="0"/>
              <w:jc w:val="left"/>
            </w:pPr>
            <w:r>
              <w:rPr>
                <w:rFonts w:ascii="宋体" w:hAnsi="宋体" w:eastAsia="宋体" w:cs="宋体"/>
                <w:b w:val="0"/>
                <w:bCs w:val="0"/>
                <w:color w:val="000000"/>
                <w:sz w:val="16"/>
                <w:szCs w:val="16"/>
              </w:rPr>
              <w:t>依据事件责任与推送规则解析唯一确认人并校验业务身份和授权。</w:t>
            </w:r>
          </w:p>
        </w:tc>
        <w:tc>
          <w:tcPr>
            <w:tcW w:w="1072" w:type="dxa"/>
            <w:shd w:val="clear" w:color="auto" w:fill="FFFFFF"/>
            <w:vAlign w:val="center"/>
          </w:tcPr>
          <w:p w14:paraId="7EE13344">
            <w:pPr>
              <w:spacing w:before="0" w:after="0" w:line="240" w:lineRule="auto"/>
              <w:ind w:left="0" w:right="0" w:firstLine="0" w:firstLineChars="0"/>
              <w:jc w:val="left"/>
            </w:pPr>
            <w:r>
              <w:rPr>
                <w:rFonts w:ascii="宋体" w:hAnsi="宋体" w:eastAsia="宋体" w:cs="宋体"/>
                <w:b w:val="0"/>
                <w:bCs w:val="0"/>
                <w:color w:val="000000"/>
                <w:sz w:val="16"/>
                <w:szCs w:val="16"/>
              </w:rPr>
              <w:t>条件满足→12；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责任信息待核→15</w:t>
            </w:r>
          </w:p>
        </w:tc>
        <w:tc>
          <w:tcPr>
            <w:tcW w:w="2000" w:type="dxa"/>
            <w:shd w:val="clear" w:color="auto" w:fill="FFFFFF"/>
            <w:vAlign w:val="center"/>
          </w:tcPr>
          <w:p w14:paraId="6950FD23">
            <w:pPr>
              <w:spacing w:before="0" w:after="0" w:line="240" w:lineRule="auto"/>
              <w:ind w:left="0" w:right="0" w:firstLine="0" w:firstLineChars="0"/>
              <w:jc w:val="left"/>
            </w:pPr>
            <w:r>
              <w:rPr>
                <w:rFonts w:ascii="宋体" w:hAnsi="宋体" w:eastAsia="宋体" w:cs="宋体"/>
                <w:b w:val="0"/>
                <w:bCs w:val="0"/>
                <w:color w:val="000000"/>
                <w:sz w:val="16"/>
                <w:szCs w:val="16"/>
              </w:rPr>
              <w:t>P-ZLTC-AI-WLPHGY-102-11-001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01B9C7AA">
        <w:trPr>
          <w:cantSplit/>
          <w:jc w:val="center"/>
        </w:trPr>
        <w:tc>
          <w:tcPr>
            <w:tcW w:w="650" w:type="dxa"/>
            <w:shd w:val="clear" w:color="auto" w:fill="FFFFFF"/>
            <w:vAlign w:val="center"/>
          </w:tcPr>
          <w:p w14:paraId="608DC06A">
            <w:pPr>
              <w:spacing w:before="0" w:after="0" w:line="240" w:lineRule="auto"/>
              <w:ind w:left="0" w:right="0" w:firstLine="0" w:firstLineChars="0"/>
              <w:jc w:val="center"/>
            </w:pPr>
            <w:r>
              <w:rPr>
                <w:rFonts w:ascii="宋体" w:hAnsi="宋体" w:eastAsia="宋体" w:cs="宋体"/>
                <w:b w:val="0"/>
                <w:bCs w:val="0"/>
                <w:color w:val="000000"/>
                <w:sz w:val="16"/>
                <w:szCs w:val="16"/>
              </w:rPr>
              <w:t>12</w:t>
            </w:r>
          </w:p>
        </w:tc>
        <w:tc>
          <w:tcPr>
            <w:tcW w:w="1050" w:type="dxa"/>
            <w:shd w:val="clear" w:color="auto" w:fill="FFFFFF"/>
            <w:vAlign w:val="center"/>
          </w:tcPr>
          <w:p w14:paraId="1A7A2DC2">
            <w:pPr>
              <w:spacing w:before="0" w:after="0" w:line="240" w:lineRule="auto"/>
              <w:ind w:left="0" w:right="0" w:firstLine="0" w:firstLineChars="0"/>
              <w:jc w:val="center"/>
            </w:pPr>
            <w:r>
              <w:rPr>
                <w:rFonts w:ascii="宋体" w:hAnsi="宋体" w:eastAsia="宋体" w:cs="宋体"/>
                <w:b w:val="0"/>
                <w:bCs w:val="0"/>
                <w:color w:val="000000"/>
                <w:sz w:val="16"/>
                <w:szCs w:val="16"/>
              </w:rPr>
              <w:t>按授权送达责任人</w:t>
            </w:r>
          </w:p>
        </w:tc>
        <w:tc>
          <w:tcPr>
            <w:tcW w:w="950" w:type="dxa"/>
            <w:shd w:val="clear" w:color="auto" w:fill="FFFFFF"/>
            <w:vAlign w:val="center"/>
          </w:tcPr>
          <w:p w14:paraId="652B5B7C">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3FEC6DDC">
            <w:pPr>
              <w:spacing w:before="0" w:after="0" w:line="240" w:lineRule="auto"/>
              <w:ind w:left="0" w:right="0" w:firstLine="0" w:firstLineChars="0"/>
              <w:jc w:val="left"/>
            </w:pPr>
            <w:r>
              <w:rPr>
                <w:rFonts w:ascii="宋体" w:hAnsi="宋体" w:eastAsia="宋体" w:cs="宋体"/>
                <w:b w:val="0"/>
                <w:bCs w:val="0"/>
                <w:color w:val="000000"/>
                <w:sz w:val="16"/>
                <w:szCs w:val="16"/>
              </w:rPr>
              <w:t>输入：报告与接收范围</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输出：送达及已读状态</w:t>
            </w:r>
          </w:p>
        </w:tc>
        <w:tc>
          <w:tcPr>
            <w:tcW w:w="2000" w:type="dxa"/>
            <w:shd w:val="clear" w:color="auto" w:fill="FFFFFF"/>
            <w:vAlign w:val="center"/>
          </w:tcPr>
          <w:p w14:paraId="3E0F5C79">
            <w:pPr>
              <w:spacing w:before="0" w:after="0" w:line="240" w:lineRule="auto"/>
              <w:ind w:left="0" w:right="0" w:firstLine="0" w:firstLineChars="0"/>
              <w:jc w:val="left"/>
            </w:pPr>
            <w:r>
              <w:rPr>
                <w:rFonts w:ascii="宋体" w:hAnsi="宋体" w:eastAsia="宋体" w:cs="宋体"/>
                <w:b w:val="0"/>
                <w:bCs w:val="0"/>
                <w:color w:val="000000"/>
                <w:sz w:val="16"/>
                <w:szCs w:val="16"/>
              </w:rPr>
              <w:t>依据事件责任与推送规则推送报告并记录送达、已读状态。</w:t>
            </w:r>
          </w:p>
        </w:tc>
        <w:tc>
          <w:tcPr>
            <w:tcW w:w="1072" w:type="dxa"/>
            <w:shd w:val="clear" w:color="auto" w:fill="FFFFFF"/>
            <w:vAlign w:val="center"/>
          </w:tcPr>
          <w:p w14:paraId="04D6E921">
            <w:pPr>
              <w:spacing w:before="0" w:after="0" w:line="240" w:lineRule="auto"/>
              <w:ind w:left="0" w:right="0" w:firstLine="0" w:firstLineChars="0"/>
              <w:jc w:val="left"/>
            </w:pPr>
            <w:r>
              <w:rPr>
                <w:rFonts w:ascii="宋体" w:hAnsi="宋体" w:eastAsia="宋体" w:cs="宋体"/>
                <w:b w:val="0"/>
                <w:bCs w:val="0"/>
                <w:color w:val="000000"/>
                <w:sz w:val="16"/>
                <w:szCs w:val="16"/>
              </w:rPr>
              <w:t>确认反馈→13；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查看完成→结束</w:t>
            </w:r>
          </w:p>
        </w:tc>
        <w:tc>
          <w:tcPr>
            <w:tcW w:w="2000" w:type="dxa"/>
            <w:shd w:val="clear" w:color="auto" w:fill="FFFFFF"/>
            <w:vAlign w:val="center"/>
          </w:tcPr>
          <w:p w14:paraId="13D09BA6">
            <w:pPr>
              <w:spacing w:before="0" w:after="0" w:line="240" w:lineRule="auto"/>
              <w:ind w:left="0" w:right="0" w:firstLine="0" w:firstLineChars="0"/>
              <w:jc w:val="left"/>
            </w:pPr>
            <w:r>
              <w:rPr>
                <w:rFonts w:ascii="宋体" w:hAnsi="宋体" w:eastAsia="宋体" w:cs="宋体"/>
                <w:b w:val="0"/>
                <w:bCs w:val="0"/>
                <w:color w:val="000000"/>
                <w:sz w:val="16"/>
                <w:szCs w:val="16"/>
              </w:rPr>
              <w:t>P-ZLTC-AI-WLPHGY-102-11-001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7ABF6D1E">
        <w:trPr>
          <w:cantSplit/>
          <w:jc w:val="center"/>
        </w:trPr>
        <w:tc>
          <w:tcPr>
            <w:tcW w:w="650" w:type="dxa"/>
            <w:shd w:val="clear" w:color="auto" w:fill="FFFFFF"/>
            <w:vAlign w:val="center"/>
          </w:tcPr>
          <w:p w14:paraId="7223B3D2">
            <w:pPr>
              <w:spacing w:before="0" w:after="0" w:line="240" w:lineRule="auto"/>
              <w:ind w:left="0" w:right="0" w:firstLine="0" w:firstLineChars="0"/>
              <w:jc w:val="center"/>
            </w:pPr>
            <w:r>
              <w:rPr>
                <w:rFonts w:ascii="宋体" w:hAnsi="宋体" w:eastAsia="宋体" w:cs="宋体"/>
                <w:b w:val="0"/>
                <w:bCs w:val="0"/>
                <w:color w:val="000000"/>
                <w:sz w:val="16"/>
                <w:szCs w:val="16"/>
              </w:rPr>
              <w:t>13</w:t>
            </w:r>
          </w:p>
        </w:tc>
        <w:tc>
          <w:tcPr>
            <w:tcW w:w="1050" w:type="dxa"/>
            <w:shd w:val="clear" w:color="auto" w:fill="FFFFFF"/>
            <w:vAlign w:val="center"/>
          </w:tcPr>
          <w:p w14:paraId="54A672E1">
            <w:pPr>
              <w:spacing w:before="0" w:after="0" w:line="240" w:lineRule="auto"/>
              <w:ind w:left="0" w:right="0" w:firstLine="0" w:firstLineChars="0"/>
              <w:jc w:val="center"/>
            </w:pPr>
            <w:r>
              <w:rPr>
                <w:rFonts w:ascii="宋体" w:hAnsi="宋体" w:eastAsia="宋体" w:cs="宋体"/>
                <w:b w:val="0"/>
                <w:bCs w:val="0"/>
                <w:color w:val="000000"/>
                <w:sz w:val="16"/>
                <w:szCs w:val="16"/>
              </w:rPr>
              <w:t>责任人确认结论</w:t>
            </w:r>
          </w:p>
        </w:tc>
        <w:tc>
          <w:tcPr>
            <w:tcW w:w="950" w:type="dxa"/>
            <w:shd w:val="clear" w:color="auto" w:fill="FFFFFF"/>
            <w:vAlign w:val="center"/>
          </w:tcPr>
          <w:p w14:paraId="1DC0DA68">
            <w:pPr>
              <w:spacing w:before="0" w:after="0" w:line="240" w:lineRule="auto"/>
              <w:ind w:left="0" w:right="0" w:firstLine="0" w:firstLineChars="0"/>
              <w:jc w:val="center"/>
            </w:pPr>
            <w:r>
              <w:rPr>
                <w:rFonts w:ascii="宋体" w:hAnsi="宋体" w:eastAsia="宋体" w:cs="宋体"/>
                <w:b w:val="0"/>
                <w:bCs w:val="0"/>
                <w:color w:val="000000"/>
                <w:sz w:val="16"/>
                <w:szCs w:val="16"/>
              </w:rPr>
              <w:t>责任人</w:t>
            </w:r>
          </w:p>
        </w:tc>
        <w:tc>
          <w:tcPr>
            <w:tcW w:w="1350" w:type="dxa"/>
            <w:shd w:val="clear" w:color="auto" w:fill="FFFFFF"/>
            <w:vAlign w:val="center"/>
          </w:tcPr>
          <w:p w14:paraId="49688A9F">
            <w:pPr>
              <w:spacing w:before="0" w:after="0" w:line="240" w:lineRule="auto"/>
              <w:ind w:left="0" w:right="0" w:firstLine="0" w:firstLineChars="0"/>
              <w:jc w:val="left"/>
            </w:pPr>
            <w:r>
              <w:rPr>
                <w:rFonts w:ascii="宋体" w:hAnsi="宋体" w:eastAsia="宋体" w:cs="宋体"/>
                <w:b w:val="0"/>
                <w:bCs w:val="0"/>
                <w:color w:val="000000"/>
                <w:sz w:val="16"/>
                <w:szCs w:val="16"/>
              </w:rPr>
              <w:t>输入：分析报告</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输出：确认或不符反馈</w:t>
            </w:r>
          </w:p>
        </w:tc>
        <w:tc>
          <w:tcPr>
            <w:tcW w:w="2000" w:type="dxa"/>
            <w:shd w:val="clear" w:color="auto" w:fill="FFFFFF"/>
            <w:vAlign w:val="center"/>
          </w:tcPr>
          <w:p w14:paraId="44104840">
            <w:pPr>
              <w:spacing w:before="0" w:after="0" w:line="240" w:lineRule="auto"/>
              <w:ind w:left="0" w:right="0" w:firstLine="0" w:firstLineChars="0"/>
              <w:jc w:val="left"/>
            </w:pPr>
            <w:r>
              <w:rPr>
                <w:rFonts w:ascii="宋体" w:hAnsi="宋体" w:eastAsia="宋体" w:cs="宋体"/>
                <w:b w:val="0"/>
                <w:bCs w:val="0"/>
                <w:color w:val="000000"/>
                <w:sz w:val="16"/>
                <w:szCs w:val="16"/>
              </w:rPr>
              <w:t>指定责任人选择结论确认或与实际不符，并可补充实际原因；保留报告、反馈人和确认状态，暂未确认的报告继续可供查看与追问。</w:t>
            </w:r>
          </w:p>
        </w:tc>
        <w:tc>
          <w:tcPr>
            <w:tcW w:w="1072" w:type="dxa"/>
            <w:shd w:val="clear" w:color="auto" w:fill="FFFFFF"/>
            <w:vAlign w:val="center"/>
          </w:tcPr>
          <w:p w14:paraId="2870CDB7">
            <w:pPr>
              <w:spacing w:before="0" w:after="0" w:line="240" w:lineRule="auto"/>
              <w:ind w:left="0" w:right="0" w:firstLine="0" w:firstLineChars="0"/>
              <w:jc w:val="left"/>
            </w:pPr>
            <w:r>
              <w:rPr>
                <w:rFonts w:ascii="宋体" w:hAnsi="宋体" w:eastAsia="宋体" w:cs="宋体"/>
                <w:b w:val="0"/>
                <w:bCs w:val="0"/>
                <w:color w:val="000000"/>
                <w:sz w:val="16"/>
                <w:szCs w:val="16"/>
              </w:rPr>
              <w:t>提交反馈→14；</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暂未确认→结束</w:t>
            </w:r>
          </w:p>
        </w:tc>
        <w:tc>
          <w:tcPr>
            <w:tcW w:w="2000" w:type="dxa"/>
            <w:shd w:val="clear" w:color="auto" w:fill="FFFFFF"/>
            <w:vAlign w:val="center"/>
          </w:tcPr>
          <w:p w14:paraId="6B4D62E9">
            <w:pPr>
              <w:spacing w:before="0" w:after="0" w:line="240" w:lineRule="auto"/>
              <w:ind w:left="0" w:right="0" w:firstLine="0" w:firstLineChars="0"/>
              <w:jc w:val="left"/>
            </w:pPr>
            <w:r>
              <w:rPr>
                <w:rFonts w:ascii="宋体" w:hAnsi="宋体" w:eastAsia="宋体" w:cs="宋体"/>
                <w:b w:val="0"/>
                <w:bCs w:val="0"/>
                <w:color w:val="000000"/>
                <w:sz w:val="16"/>
                <w:szCs w:val="16"/>
              </w:rPr>
              <w:t>P-ZLTC-AI-WLPHGY-102-13-001</w:t>
            </w:r>
          </w:p>
        </w:tc>
      </w:tr>
      <w:tr w14:paraId="71CCD3A1">
        <w:trPr>
          <w:cantSplit/>
          <w:jc w:val="center"/>
        </w:trPr>
        <w:tc>
          <w:tcPr>
            <w:tcW w:w="650" w:type="dxa"/>
            <w:shd w:val="clear" w:color="auto" w:fill="FFFFFF"/>
            <w:vAlign w:val="center"/>
          </w:tcPr>
          <w:p w14:paraId="3E047357">
            <w:pPr>
              <w:spacing w:before="0" w:after="0" w:line="240" w:lineRule="auto"/>
              <w:ind w:left="0" w:right="0" w:firstLine="0" w:firstLineChars="0"/>
              <w:jc w:val="center"/>
            </w:pPr>
            <w:r>
              <w:rPr>
                <w:rFonts w:ascii="宋体" w:hAnsi="宋体" w:eastAsia="宋体" w:cs="宋体"/>
                <w:b w:val="0"/>
                <w:bCs w:val="0"/>
                <w:color w:val="000000"/>
                <w:sz w:val="16"/>
                <w:szCs w:val="16"/>
              </w:rPr>
              <w:t>14</w:t>
            </w:r>
          </w:p>
        </w:tc>
        <w:tc>
          <w:tcPr>
            <w:tcW w:w="1050" w:type="dxa"/>
            <w:shd w:val="clear" w:color="auto" w:fill="FFFFFF"/>
            <w:vAlign w:val="center"/>
          </w:tcPr>
          <w:p w14:paraId="5EDC4AE2">
            <w:pPr>
              <w:spacing w:before="0" w:after="0" w:line="240" w:lineRule="auto"/>
              <w:ind w:left="0" w:right="0" w:firstLine="0" w:firstLineChars="0"/>
              <w:jc w:val="center"/>
            </w:pPr>
            <w:r>
              <w:rPr>
                <w:rFonts w:ascii="宋体" w:hAnsi="宋体" w:eastAsia="宋体" w:cs="宋体"/>
                <w:b w:val="0"/>
                <w:bCs w:val="0"/>
                <w:color w:val="000000"/>
                <w:sz w:val="16"/>
                <w:szCs w:val="16"/>
              </w:rPr>
              <w:t>分流案例与纠正线索</w:t>
            </w:r>
          </w:p>
        </w:tc>
        <w:tc>
          <w:tcPr>
            <w:tcW w:w="950" w:type="dxa"/>
            <w:shd w:val="clear" w:color="auto" w:fill="FFFFFF"/>
            <w:vAlign w:val="center"/>
          </w:tcPr>
          <w:p w14:paraId="165BC73E">
            <w:pPr>
              <w:spacing w:before="0" w:after="0" w:line="240" w:lineRule="auto"/>
              <w:ind w:left="0" w:right="0" w:firstLine="0" w:firstLineChars="0"/>
              <w:jc w:val="center"/>
            </w:pPr>
            <w:r>
              <w:rPr>
                <w:rFonts w:ascii="宋体" w:hAnsi="宋体" w:eastAsia="宋体" w:cs="宋体"/>
                <w:b w:val="0"/>
                <w:bCs w:val="0"/>
                <w:color w:val="000000"/>
                <w:sz w:val="16"/>
                <w:szCs w:val="16"/>
              </w:rPr>
              <w:t>知识工作台</w:t>
            </w:r>
          </w:p>
        </w:tc>
        <w:tc>
          <w:tcPr>
            <w:tcW w:w="1350" w:type="dxa"/>
            <w:shd w:val="clear" w:color="auto" w:fill="FFFFFF"/>
            <w:vAlign w:val="center"/>
          </w:tcPr>
          <w:p w14:paraId="6B3B19F8">
            <w:pPr>
              <w:spacing w:before="0" w:after="0" w:line="240" w:lineRule="auto"/>
              <w:ind w:left="0" w:right="0" w:firstLine="0" w:firstLineChars="0"/>
              <w:jc w:val="left"/>
            </w:pPr>
            <w:r>
              <w:rPr>
                <w:rFonts w:ascii="宋体" w:hAnsi="宋体" w:eastAsia="宋体" w:cs="宋体"/>
                <w:b w:val="0"/>
                <w:bCs w:val="0"/>
                <w:color w:val="000000"/>
                <w:sz w:val="16"/>
                <w:szCs w:val="16"/>
              </w:rPr>
              <w:t>输入：责任人反馈</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输出：知识草稿或运营线索</w:t>
            </w:r>
          </w:p>
        </w:tc>
        <w:tc>
          <w:tcPr>
            <w:tcW w:w="2000" w:type="dxa"/>
            <w:shd w:val="clear" w:color="auto" w:fill="FFFFFF"/>
            <w:vAlign w:val="center"/>
          </w:tcPr>
          <w:p w14:paraId="6F790E80">
            <w:pPr>
              <w:spacing w:before="0" w:after="0" w:line="240" w:lineRule="auto"/>
              <w:ind w:left="0" w:right="0" w:firstLine="0" w:firstLineChars="0"/>
              <w:jc w:val="left"/>
            </w:pPr>
            <w:r>
              <w:rPr>
                <w:rFonts w:ascii="宋体" w:hAnsi="宋体" w:eastAsia="宋体" w:cs="宋体"/>
                <w:b w:val="0"/>
                <w:bCs w:val="0"/>
                <w:color w:val="000000"/>
                <w:sz w:val="16"/>
                <w:szCs w:val="16"/>
              </w:rPr>
              <w:t>确认案例和补充实际原因的纠正线索按5.5.4及6.7审核验证；与实际不符且未补原因的反馈按5.4.2及6.7运营跟进。审核生效后更新对应影响因素知识。</w:t>
            </w:r>
          </w:p>
        </w:tc>
        <w:tc>
          <w:tcPr>
            <w:tcW w:w="1072" w:type="dxa"/>
            <w:shd w:val="clear" w:color="auto" w:fill="FFFFFF"/>
            <w:vAlign w:val="center"/>
          </w:tcPr>
          <w:p w14:paraId="53BBEEB4">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1F10FD80">
            <w:pPr>
              <w:spacing w:before="0" w:after="0" w:line="240" w:lineRule="auto"/>
              <w:ind w:left="0" w:right="0" w:firstLine="0" w:firstLineChars="0"/>
              <w:jc w:val="left"/>
            </w:pPr>
            <w:r>
              <w:rPr>
                <w:rFonts w:ascii="宋体" w:hAnsi="宋体" w:eastAsia="宋体" w:cs="宋体"/>
                <w:b w:val="0"/>
                <w:bCs w:val="0"/>
                <w:color w:val="000000"/>
                <w:sz w:val="16"/>
                <w:szCs w:val="16"/>
              </w:rPr>
              <w:t>P-ZLTC-AI-WLPHGY-102-14-001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P-ZLTC-AI-ZNWS-101-06-001</w:t>
            </w:r>
          </w:p>
        </w:tc>
      </w:tr>
      <w:tr w14:paraId="5D5585D8">
        <w:trPr>
          <w:cantSplit/>
          <w:jc w:val="center"/>
        </w:trPr>
        <w:tc>
          <w:tcPr>
            <w:tcW w:w="650" w:type="dxa"/>
            <w:shd w:val="clear" w:color="auto" w:fill="FFFFFF"/>
            <w:vAlign w:val="center"/>
          </w:tcPr>
          <w:p w14:paraId="7C12CBD4">
            <w:pPr>
              <w:spacing w:before="0" w:after="0" w:line="240" w:lineRule="auto"/>
              <w:ind w:left="0" w:right="0" w:firstLine="0" w:firstLineChars="0"/>
              <w:jc w:val="center"/>
            </w:pPr>
            <w:r>
              <w:rPr>
                <w:rFonts w:ascii="宋体" w:hAnsi="宋体" w:eastAsia="宋体" w:cs="宋体"/>
                <w:b w:val="0"/>
                <w:bCs w:val="0"/>
                <w:color w:val="000000"/>
                <w:sz w:val="16"/>
                <w:szCs w:val="16"/>
              </w:rPr>
              <w:t>15</w:t>
            </w:r>
          </w:p>
        </w:tc>
        <w:tc>
          <w:tcPr>
            <w:tcW w:w="1050" w:type="dxa"/>
            <w:shd w:val="clear" w:color="auto" w:fill="FFFFFF"/>
            <w:vAlign w:val="center"/>
          </w:tcPr>
          <w:p w14:paraId="7F739555">
            <w:pPr>
              <w:spacing w:before="0" w:after="0" w:line="240" w:lineRule="auto"/>
              <w:ind w:left="0" w:right="0" w:firstLine="0" w:firstLineChars="0"/>
              <w:jc w:val="center"/>
            </w:pPr>
            <w:r>
              <w:rPr>
                <w:rFonts w:ascii="宋体" w:hAnsi="宋体" w:eastAsia="宋体" w:cs="宋体"/>
                <w:b w:val="0"/>
                <w:bCs w:val="0"/>
                <w:color w:val="000000"/>
                <w:sz w:val="16"/>
                <w:szCs w:val="16"/>
              </w:rPr>
              <w:t>记录待补责任信息</w:t>
            </w:r>
          </w:p>
        </w:tc>
        <w:tc>
          <w:tcPr>
            <w:tcW w:w="950" w:type="dxa"/>
            <w:shd w:val="clear" w:color="auto" w:fill="FFFFFF"/>
            <w:vAlign w:val="center"/>
          </w:tcPr>
          <w:p w14:paraId="268CDA74">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5236ED4C">
            <w:pPr>
              <w:spacing w:before="0" w:after="0" w:line="240" w:lineRule="auto"/>
              <w:ind w:left="0" w:right="0" w:firstLine="0" w:firstLineChars="0"/>
              <w:jc w:val="left"/>
            </w:pPr>
            <w:r>
              <w:rPr>
                <w:rFonts w:ascii="宋体" w:hAnsi="宋体" w:eastAsia="宋体" w:cs="宋体"/>
                <w:b w:val="0"/>
                <w:bCs w:val="0"/>
                <w:color w:val="000000"/>
                <w:sz w:val="16"/>
                <w:szCs w:val="16"/>
              </w:rPr>
              <w:t>输入：责任人、身份或授权不满足</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输出：运营提醒</w:t>
            </w:r>
          </w:p>
        </w:tc>
        <w:tc>
          <w:tcPr>
            <w:tcW w:w="2000" w:type="dxa"/>
            <w:shd w:val="clear" w:color="auto" w:fill="FFFFFF"/>
            <w:vAlign w:val="center"/>
          </w:tcPr>
          <w:p w14:paraId="20E1DFAB">
            <w:pPr>
              <w:spacing w:before="0" w:after="0" w:line="240" w:lineRule="auto"/>
              <w:ind w:left="0" w:right="0" w:firstLine="0" w:firstLineChars="0"/>
              <w:jc w:val="left"/>
            </w:pPr>
            <w:r>
              <w:rPr>
                <w:rFonts w:ascii="宋体" w:hAnsi="宋体" w:eastAsia="宋体" w:cs="宋体"/>
                <w:b w:val="0"/>
                <w:bCs w:val="0"/>
                <w:color w:val="000000"/>
                <w:sz w:val="16"/>
                <w:szCs w:val="16"/>
              </w:rPr>
              <w:t>保持报告归档，提醒运营补录责任人、核实业务身份或维护授权，记录责任信息核实过程。</w:t>
            </w:r>
          </w:p>
        </w:tc>
        <w:tc>
          <w:tcPr>
            <w:tcW w:w="1072" w:type="dxa"/>
            <w:shd w:val="clear" w:color="auto" w:fill="FFFFFF"/>
            <w:vAlign w:val="center"/>
          </w:tcPr>
          <w:p w14:paraId="155D8369">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7EA92A5C">
            <w:pPr>
              <w:spacing w:before="0" w:after="0" w:line="240" w:lineRule="auto"/>
              <w:ind w:left="0" w:right="0" w:firstLine="0" w:firstLineChars="0"/>
              <w:jc w:val="left"/>
            </w:pPr>
            <w:r>
              <w:rPr>
                <w:rFonts w:ascii="宋体" w:hAnsi="宋体" w:eastAsia="宋体" w:cs="宋体"/>
                <w:b w:val="0"/>
                <w:bCs w:val="0"/>
                <w:color w:val="000000"/>
                <w:sz w:val="16"/>
                <w:szCs w:val="16"/>
              </w:rPr>
              <w:t>P-ZLTC-AI-WLPHGY-102-11-001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bl>
    <w:p w14:paraId="7200000A">
      <w:pPr>
        <w:pStyle w:val="4"/>
        <w:snapToGrid w:val="0"/>
      </w:pPr>
      <w:bookmarkStart w:id="15" w:name="s3_2_3"/>
      <w:r>
        <w:rPr>
          <w:rFonts w:ascii="黑体" w:hAnsi="黑体" w:eastAsia="黑体" w:cs="黑体"/>
          <w:b/>
          <w:color w:val="000000"/>
        </w:rPr>
        <w:t>3.2.3　实时能耗异常识别</w:t>
      </w:r>
      <w:bookmarkEnd w:id="15"/>
    </w:p>
    <w:p w14:paraId="7BBAA55C">
      <w:pPr>
        <w:pStyle w:val="12"/>
        <w:keepNext/>
        <w:snapToGrid w:val="0"/>
        <w:spacing w:before="0" w:after="40" w:line="240" w:lineRule="auto"/>
        <w:ind w:left="0" w:right="0" w:firstLine="0" w:firstLineChars="0"/>
        <w:jc w:val="center"/>
      </w:pPr>
      <w:r>
        <w:drawing>
          <wp:inline distT="0" distB="0" distL="0" distR="0">
            <wp:extent cx="5759450" cy="5636895"/>
            <wp:effectExtent l="0" t="0" r="0" b="0"/>
            <wp:docPr id="6" name="P-ZLTC-AI-NHYCSB-104 实时能耗异常识别业务流程" descr="P-ZLTC-AI-NHYCSB-104 实时能耗异常识别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ZLTC-AI-NHYCSB-104 实时能耗异常识别业务流程" descr="P-ZLTC-AI-NHYCSB-104 实时能耗异常识别业务流程"/>
                    <pic:cNvPicPr>
                      <a:picLocks noChangeAspect="1"/>
                    </pic:cNvPicPr>
                  </pic:nvPicPr>
                  <pic:blipFill>
                    <a:blip r:embed="rId14"/>
                    <a:stretch>
                      <a:fillRect/>
                    </a:stretch>
                  </pic:blipFill>
                  <pic:spPr>
                    <a:xfrm>
                      <a:off x="0" y="0"/>
                      <a:ext cx="5759450" cy="5637062"/>
                    </a:xfrm>
                    <a:prstGeom prst="rect">
                      <a:avLst/>
                    </a:prstGeom>
                  </pic:spPr>
                </pic:pic>
              </a:graphicData>
            </a:graphic>
          </wp:inline>
        </w:drawing>
      </w:r>
    </w:p>
    <w:p w14:paraId="673F49AD">
      <w:pPr>
        <w:pStyle w:val="15"/>
        <w:keepNext w:val="0"/>
        <w:snapToGrid w:val="0"/>
        <w:jc w:val="center"/>
      </w:pPr>
      <w:r>
        <w:t>图3-4　实时能耗异常识别业务流程图</w:t>
      </w:r>
    </w:p>
    <w:p w14:paraId="27E0B5E5">
      <w:pPr>
        <w:pStyle w:val="15"/>
        <w:keepNext/>
        <w:snapToGrid w:val="0"/>
        <w:jc w:val="center"/>
      </w:pPr>
      <w:r>
        <w:t>表3-4　实时能耗异常识别业务流程说明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370BCBC0">
        <w:trPr>
          <w:cantSplit/>
          <w:tblHeader/>
          <w:jc w:val="center"/>
        </w:trPr>
        <w:tc>
          <w:tcPr>
            <w:tcW w:w="650" w:type="dxa"/>
            <w:shd w:val="clear" w:color="auto" w:fill="FFFFFF"/>
            <w:vAlign w:val="center"/>
          </w:tcPr>
          <w:p w14:paraId="174978ED">
            <w:pPr>
              <w:keepNext/>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2C1D5A3F">
            <w:pPr>
              <w:keepNext/>
              <w:spacing w:before="0" w:after="0" w:line="240" w:lineRule="auto"/>
              <w:ind w:left="0" w:right="0" w:firstLine="0" w:firstLineChars="0"/>
              <w:jc w:val="center"/>
            </w:pPr>
            <w:r>
              <w:rPr>
                <w:rFonts w:ascii="宋体" w:hAnsi="宋体" w:eastAsia="宋体" w:cs="宋体"/>
                <w:b/>
                <w:bCs/>
                <w:color w:val="000000"/>
                <w:sz w:val="16"/>
                <w:szCs w:val="16"/>
              </w:rPr>
              <w:t>节点名称</w:t>
            </w:r>
          </w:p>
        </w:tc>
        <w:tc>
          <w:tcPr>
            <w:tcW w:w="950" w:type="dxa"/>
            <w:shd w:val="clear" w:color="auto" w:fill="FFFFFF"/>
            <w:vAlign w:val="center"/>
          </w:tcPr>
          <w:p w14:paraId="52036F70">
            <w:pPr>
              <w:keepNext/>
              <w:spacing w:before="0" w:after="0" w:line="240" w:lineRule="auto"/>
              <w:ind w:left="0" w:right="0" w:firstLine="0" w:firstLineChars="0"/>
              <w:jc w:val="center"/>
            </w:pPr>
            <w:r>
              <w:rPr>
                <w:rFonts w:ascii="宋体" w:hAnsi="宋体" w:eastAsia="宋体" w:cs="宋体"/>
                <w:b/>
                <w:bCs/>
                <w:color w:val="000000"/>
                <w:sz w:val="16"/>
                <w:szCs w:val="16"/>
              </w:rPr>
              <w:t>责任节点</w:t>
            </w:r>
          </w:p>
        </w:tc>
        <w:tc>
          <w:tcPr>
            <w:tcW w:w="1350" w:type="dxa"/>
            <w:shd w:val="clear" w:color="auto" w:fill="FFFFFF"/>
            <w:vAlign w:val="center"/>
          </w:tcPr>
          <w:p w14:paraId="7C8BBE0D">
            <w:pPr>
              <w:keepNext/>
              <w:spacing w:before="0" w:after="0" w:line="240" w:lineRule="auto"/>
              <w:ind w:left="0" w:right="0" w:firstLine="0" w:firstLineChars="0"/>
              <w:jc w:val="center"/>
            </w:pPr>
            <w:r>
              <w:rPr>
                <w:rFonts w:ascii="宋体" w:hAnsi="宋体" w:eastAsia="宋体" w:cs="宋体"/>
                <w:b/>
                <w:bCs/>
                <w:color w:val="000000"/>
                <w:sz w:val="16"/>
                <w:szCs w:val="16"/>
              </w:rPr>
              <w:t>输入/输出</w:t>
            </w:r>
          </w:p>
        </w:tc>
        <w:tc>
          <w:tcPr>
            <w:tcW w:w="2000" w:type="dxa"/>
            <w:shd w:val="clear" w:color="auto" w:fill="FFFFFF"/>
            <w:vAlign w:val="center"/>
          </w:tcPr>
          <w:p w14:paraId="0D58E2D6">
            <w:pPr>
              <w:keepNext/>
              <w:spacing w:before="0" w:after="0" w:line="240" w:lineRule="auto"/>
              <w:ind w:left="0" w:right="0" w:firstLine="0" w:firstLineChars="0"/>
              <w:jc w:val="center"/>
            </w:pPr>
            <w:r>
              <w:rPr>
                <w:rFonts w:ascii="宋体" w:hAnsi="宋体" w:eastAsia="宋体" w:cs="宋体"/>
                <w:b/>
                <w:bCs/>
                <w:color w:val="000000"/>
                <w:sz w:val="16"/>
                <w:szCs w:val="16"/>
              </w:rPr>
              <w:t>处理说明</w:t>
            </w:r>
          </w:p>
        </w:tc>
        <w:tc>
          <w:tcPr>
            <w:tcW w:w="1072" w:type="dxa"/>
            <w:shd w:val="clear" w:color="auto" w:fill="FFFFFF"/>
            <w:vAlign w:val="center"/>
          </w:tcPr>
          <w:p w14:paraId="5AE11E2E">
            <w:pPr>
              <w:keepNext/>
              <w:spacing w:before="0" w:after="0" w:line="240" w:lineRule="auto"/>
              <w:ind w:left="0" w:right="0" w:firstLine="0" w:firstLineChars="0"/>
              <w:jc w:val="center"/>
            </w:pPr>
            <w:r>
              <w:rPr>
                <w:rFonts w:ascii="宋体" w:hAnsi="宋体" w:eastAsia="宋体" w:cs="宋体"/>
                <w:b/>
                <w:bCs/>
                <w:color w:val="000000"/>
                <w:sz w:val="16"/>
                <w:szCs w:val="16"/>
              </w:rPr>
              <w:t>异常/分支</w:t>
            </w:r>
          </w:p>
        </w:tc>
        <w:tc>
          <w:tcPr>
            <w:tcW w:w="2000" w:type="dxa"/>
            <w:shd w:val="clear" w:color="auto" w:fill="FFFFFF"/>
            <w:vAlign w:val="center"/>
          </w:tcPr>
          <w:p w14:paraId="6CB571E0">
            <w:pPr>
              <w:keepNext/>
              <w:spacing w:before="0" w:after="0" w:line="240" w:lineRule="auto"/>
              <w:ind w:left="0" w:right="0" w:firstLine="0" w:firstLineChars="0"/>
              <w:jc w:val="center"/>
            </w:pPr>
            <w:r>
              <w:rPr>
                <w:rFonts w:ascii="宋体" w:hAnsi="宋体" w:eastAsia="宋体" w:cs="宋体"/>
                <w:b/>
                <w:bCs/>
                <w:color w:val="000000"/>
                <w:sz w:val="16"/>
                <w:szCs w:val="16"/>
              </w:rPr>
              <w:t>关联规则</w:t>
            </w:r>
          </w:p>
        </w:tc>
      </w:tr>
      <w:tr w14:paraId="65663374">
        <w:trPr>
          <w:cantSplit/>
          <w:jc w:val="center"/>
        </w:trPr>
        <w:tc>
          <w:tcPr>
            <w:tcW w:w="650" w:type="dxa"/>
            <w:shd w:val="clear" w:color="auto" w:fill="FFFFFF"/>
            <w:vAlign w:val="center"/>
          </w:tcPr>
          <w:p w14:paraId="47157685">
            <w:pPr>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302500F9">
            <w:pPr>
              <w:spacing w:before="0" w:after="0" w:line="240" w:lineRule="auto"/>
              <w:ind w:left="0" w:right="0" w:firstLine="0" w:firstLineChars="0"/>
              <w:jc w:val="center"/>
            </w:pPr>
            <w:r>
              <w:rPr>
                <w:rFonts w:ascii="宋体" w:hAnsi="宋体" w:eastAsia="宋体" w:cs="宋体"/>
                <w:b w:val="0"/>
                <w:bCs w:val="0"/>
                <w:color w:val="000000"/>
                <w:sz w:val="16"/>
                <w:szCs w:val="16"/>
              </w:rPr>
              <w:t>接收EMS报警或提问</w:t>
            </w:r>
          </w:p>
        </w:tc>
        <w:tc>
          <w:tcPr>
            <w:tcW w:w="950" w:type="dxa"/>
            <w:shd w:val="clear" w:color="auto" w:fill="FFFFFF"/>
            <w:vAlign w:val="center"/>
          </w:tcPr>
          <w:p w14:paraId="04495EBD">
            <w:pPr>
              <w:spacing w:before="0" w:after="0" w:line="240" w:lineRule="auto"/>
              <w:ind w:left="0" w:right="0" w:firstLine="0" w:firstLineChars="0"/>
              <w:jc w:val="center"/>
            </w:pPr>
            <w:r>
              <w:rPr>
                <w:rFonts w:ascii="宋体" w:hAnsi="宋体" w:eastAsia="宋体" w:cs="宋体"/>
                <w:b w:val="0"/>
                <w:bCs w:val="0"/>
                <w:color w:val="000000"/>
                <w:sz w:val="16"/>
                <w:szCs w:val="16"/>
              </w:rPr>
              <w:t>事件源与用户</w:t>
            </w:r>
          </w:p>
        </w:tc>
        <w:tc>
          <w:tcPr>
            <w:tcW w:w="1350" w:type="dxa"/>
            <w:shd w:val="clear" w:color="auto" w:fill="FFFFFF"/>
            <w:vAlign w:val="center"/>
          </w:tcPr>
          <w:p w14:paraId="53F5EE52">
            <w:pPr>
              <w:spacing w:before="0" w:after="0" w:line="240" w:lineRule="auto"/>
              <w:ind w:left="0" w:right="0" w:firstLine="0" w:firstLineChars="0"/>
              <w:jc w:val="left"/>
            </w:pPr>
            <w:r>
              <w:rPr>
                <w:rFonts w:ascii="宋体" w:hAnsi="宋体" w:eastAsia="宋体" w:cs="宋体"/>
                <w:b w:val="0"/>
                <w:bCs w:val="0"/>
                <w:color w:val="000000"/>
                <w:sz w:val="16"/>
                <w:szCs w:val="16"/>
              </w:rPr>
              <w:t>输入：EMS能耗异常报警或用户问题</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输出：分析请求</w:t>
            </w:r>
          </w:p>
        </w:tc>
        <w:tc>
          <w:tcPr>
            <w:tcW w:w="2000" w:type="dxa"/>
            <w:shd w:val="clear" w:color="auto" w:fill="FFFFFF"/>
            <w:vAlign w:val="center"/>
          </w:tcPr>
          <w:p w14:paraId="1C2C96C8">
            <w:pPr>
              <w:spacing w:before="0" w:after="0" w:line="240" w:lineRule="auto"/>
              <w:ind w:left="0" w:right="0" w:firstLine="0" w:firstLineChars="0"/>
              <w:jc w:val="left"/>
            </w:pPr>
            <w:r>
              <w:rPr>
                <w:rFonts w:ascii="宋体" w:hAnsi="宋体" w:eastAsia="宋体" w:cs="宋体"/>
                <w:b w:val="0"/>
                <w:bCs w:val="0"/>
                <w:color w:val="000000"/>
                <w:sz w:val="16"/>
                <w:szCs w:val="16"/>
              </w:rPr>
              <w:t>EMS开展能耗监测、标准值比对、超标报警及空转诊断，数据治理服务提供报警及相关业务数据；用户也可按对象和时段主动分析。</w:t>
            </w:r>
          </w:p>
        </w:tc>
        <w:tc>
          <w:tcPr>
            <w:tcW w:w="1072" w:type="dxa"/>
            <w:shd w:val="clear" w:color="auto" w:fill="FFFFFF"/>
            <w:vAlign w:val="center"/>
          </w:tcPr>
          <w:p w14:paraId="0D05D5DD">
            <w:pPr>
              <w:spacing w:before="0" w:after="0" w:line="240" w:lineRule="auto"/>
              <w:ind w:left="0" w:right="0" w:firstLine="0" w:firstLineChars="0"/>
              <w:jc w:val="left"/>
            </w:pPr>
            <w:r>
              <w:rPr>
                <w:rFonts w:ascii="宋体" w:hAnsi="宋体" w:eastAsia="宋体" w:cs="宋体"/>
                <w:b w:val="0"/>
                <w:bCs w:val="0"/>
                <w:color w:val="000000"/>
                <w:sz w:val="16"/>
                <w:szCs w:val="16"/>
              </w:rPr>
              <w:t>→02</w:t>
            </w:r>
          </w:p>
        </w:tc>
        <w:tc>
          <w:tcPr>
            <w:tcW w:w="2000" w:type="dxa"/>
            <w:shd w:val="clear" w:color="auto" w:fill="FFFFFF"/>
            <w:vAlign w:val="center"/>
          </w:tcPr>
          <w:p w14:paraId="0D8E4BEA">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p>
        </w:tc>
      </w:tr>
      <w:tr w14:paraId="2F0F9A66">
        <w:trPr>
          <w:cantSplit/>
          <w:jc w:val="center"/>
        </w:trPr>
        <w:tc>
          <w:tcPr>
            <w:tcW w:w="650" w:type="dxa"/>
            <w:shd w:val="clear" w:color="auto" w:fill="FFFFFF"/>
            <w:vAlign w:val="center"/>
          </w:tcPr>
          <w:p w14:paraId="0A0839F4">
            <w:pPr>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2B0C1DAF">
            <w:pPr>
              <w:spacing w:before="0" w:after="0" w:line="240" w:lineRule="auto"/>
              <w:ind w:left="0" w:right="0" w:firstLine="0" w:firstLineChars="0"/>
              <w:jc w:val="center"/>
            </w:pPr>
            <w:r>
              <w:rPr>
                <w:rFonts w:ascii="宋体" w:hAnsi="宋体" w:eastAsia="宋体" w:cs="宋体"/>
                <w:b w:val="0"/>
                <w:bCs w:val="0"/>
                <w:color w:val="000000"/>
                <w:sz w:val="16"/>
                <w:szCs w:val="16"/>
              </w:rPr>
              <w:t>识别对象并归一事件</w:t>
            </w:r>
          </w:p>
        </w:tc>
        <w:tc>
          <w:tcPr>
            <w:tcW w:w="950" w:type="dxa"/>
            <w:shd w:val="clear" w:color="auto" w:fill="FFFFFF"/>
            <w:vAlign w:val="center"/>
          </w:tcPr>
          <w:p w14:paraId="20B21542">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581DE838">
            <w:pPr>
              <w:spacing w:before="0" w:after="0" w:line="240" w:lineRule="auto"/>
              <w:ind w:left="0" w:right="0" w:firstLine="0" w:firstLineChars="0"/>
              <w:jc w:val="left"/>
            </w:pPr>
            <w:r>
              <w:rPr>
                <w:rFonts w:ascii="宋体" w:hAnsi="宋体" w:eastAsia="宋体" w:cs="宋体"/>
                <w:b w:val="0"/>
                <w:bCs w:val="0"/>
                <w:color w:val="000000"/>
                <w:sz w:val="16"/>
                <w:szCs w:val="16"/>
              </w:rPr>
              <w:t>输入：事件对象与时段</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输出：分析任务</w:t>
            </w:r>
          </w:p>
        </w:tc>
        <w:tc>
          <w:tcPr>
            <w:tcW w:w="2000" w:type="dxa"/>
            <w:shd w:val="clear" w:color="auto" w:fill="FFFFFF"/>
            <w:vAlign w:val="center"/>
          </w:tcPr>
          <w:p w14:paraId="0CA39B21">
            <w:pPr>
              <w:spacing w:before="0" w:after="0" w:line="240" w:lineRule="auto"/>
              <w:ind w:left="0" w:right="0" w:firstLine="0" w:firstLineChars="0"/>
              <w:jc w:val="left"/>
            </w:pPr>
            <w:r>
              <w:rPr>
                <w:rFonts w:ascii="宋体" w:hAnsi="宋体" w:eastAsia="宋体" w:cs="宋体"/>
                <w:b w:val="0"/>
                <w:bCs w:val="0"/>
                <w:color w:val="000000"/>
                <w:sz w:val="16"/>
                <w:szCs w:val="16"/>
              </w:rPr>
              <w:t>圈定工序、时段与涉及设备，同源事件合并，避免重复分析及推送。</w:t>
            </w:r>
          </w:p>
        </w:tc>
        <w:tc>
          <w:tcPr>
            <w:tcW w:w="1072" w:type="dxa"/>
            <w:shd w:val="clear" w:color="auto" w:fill="FFFFFF"/>
            <w:vAlign w:val="center"/>
          </w:tcPr>
          <w:p w14:paraId="3D2EC70C">
            <w:pPr>
              <w:spacing w:before="0" w:after="0" w:line="240" w:lineRule="auto"/>
              <w:ind w:left="0" w:right="0" w:firstLine="0" w:firstLineChars="0"/>
              <w:jc w:val="left"/>
            </w:pPr>
            <w:r>
              <w:rPr>
                <w:rFonts w:ascii="宋体" w:hAnsi="宋体" w:eastAsia="宋体" w:cs="宋体"/>
                <w:b w:val="0"/>
                <w:bCs w:val="0"/>
                <w:color w:val="000000"/>
                <w:sz w:val="16"/>
                <w:szCs w:val="16"/>
              </w:rPr>
              <w:t>→03</w:t>
            </w:r>
          </w:p>
        </w:tc>
        <w:tc>
          <w:tcPr>
            <w:tcW w:w="2000" w:type="dxa"/>
            <w:shd w:val="clear" w:color="auto" w:fill="FFFFFF"/>
            <w:vAlign w:val="center"/>
          </w:tcPr>
          <w:p w14:paraId="701C3337">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P-ZLTC-AI-WLPHGY-102-01-001</w:t>
            </w:r>
          </w:p>
        </w:tc>
      </w:tr>
      <w:tr w14:paraId="4402845E">
        <w:trPr>
          <w:cantSplit/>
          <w:jc w:val="center"/>
        </w:trPr>
        <w:tc>
          <w:tcPr>
            <w:tcW w:w="650" w:type="dxa"/>
            <w:shd w:val="clear" w:color="auto" w:fill="FFFFFF"/>
            <w:vAlign w:val="center"/>
          </w:tcPr>
          <w:p w14:paraId="290251F6">
            <w:pPr>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700EF097">
            <w:pPr>
              <w:spacing w:before="0" w:after="0" w:line="240" w:lineRule="auto"/>
              <w:ind w:left="0" w:right="0" w:firstLine="0" w:firstLineChars="0"/>
              <w:jc w:val="center"/>
            </w:pPr>
            <w:r>
              <w:rPr>
                <w:rFonts w:ascii="宋体" w:hAnsi="宋体" w:eastAsia="宋体" w:cs="宋体"/>
                <w:b w:val="0"/>
                <w:bCs w:val="0"/>
                <w:color w:val="000000"/>
                <w:sz w:val="16"/>
                <w:szCs w:val="16"/>
              </w:rPr>
              <w:t>查询已有分析报告</w:t>
            </w:r>
          </w:p>
        </w:tc>
        <w:tc>
          <w:tcPr>
            <w:tcW w:w="950" w:type="dxa"/>
            <w:shd w:val="clear" w:color="auto" w:fill="FFFFFF"/>
            <w:vAlign w:val="center"/>
          </w:tcPr>
          <w:p w14:paraId="312082E8">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263A6F4E">
            <w:pPr>
              <w:spacing w:before="0" w:after="0" w:line="240" w:lineRule="auto"/>
              <w:ind w:left="0" w:right="0" w:firstLine="0" w:firstLineChars="0"/>
              <w:jc w:val="left"/>
            </w:pPr>
            <w:r>
              <w:rPr>
                <w:rFonts w:ascii="宋体" w:hAnsi="宋体" w:eastAsia="宋体" w:cs="宋体"/>
                <w:b w:val="0"/>
                <w:bCs w:val="0"/>
                <w:color w:val="000000"/>
                <w:sz w:val="16"/>
                <w:szCs w:val="16"/>
              </w:rPr>
              <w:t>输入：对象、时间窗与授权</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输出：既有结论或取证要求</w:t>
            </w:r>
          </w:p>
        </w:tc>
        <w:tc>
          <w:tcPr>
            <w:tcW w:w="2000" w:type="dxa"/>
            <w:shd w:val="clear" w:color="auto" w:fill="FFFFFF"/>
            <w:vAlign w:val="center"/>
          </w:tcPr>
          <w:p w14:paraId="6953F4B2">
            <w:pPr>
              <w:spacing w:before="0" w:after="0" w:line="240" w:lineRule="auto"/>
              <w:ind w:left="0" w:right="0" w:firstLine="0" w:firstLineChars="0"/>
              <w:jc w:val="left"/>
            </w:pPr>
            <w:r>
              <w:rPr>
                <w:rFonts w:ascii="宋体" w:hAnsi="宋体" w:eastAsia="宋体" w:cs="宋体"/>
                <w:b w:val="0"/>
                <w:bCs w:val="0"/>
                <w:color w:val="000000"/>
                <w:sz w:val="16"/>
                <w:szCs w:val="16"/>
              </w:rPr>
              <w:t>按对象、时间窗与业务授权查台账，复用原报告及确认状态。</w:t>
            </w:r>
          </w:p>
        </w:tc>
        <w:tc>
          <w:tcPr>
            <w:tcW w:w="1072" w:type="dxa"/>
            <w:shd w:val="clear" w:color="auto" w:fill="FFFFFF"/>
            <w:vAlign w:val="center"/>
          </w:tcPr>
          <w:p w14:paraId="644C13BA">
            <w:pPr>
              <w:spacing w:before="0" w:after="0" w:line="240" w:lineRule="auto"/>
              <w:ind w:left="0" w:right="0" w:firstLine="0" w:firstLineChars="0"/>
              <w:jc w:val="left"/>
            </w:pPr>
            <w:r>
              <w:rPr>
                <w:rFonts w:ascii="宋体" w:hAnsi="宋体" w:eastAsia="宋体" w:cs="宋体"/>
                <w:b w:val="0"/>
                <w:bCs w:val="0"/>
                <w:color w:val="000000"/>
                <w:sz w:val="16"/>
                <w:szCs w:val="16"/>
              </w:rPr>
              <w:t>报告命中→10；</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新分析→04</w:t>
            </w:r>
          </w:p>
        </w:tc>
        <w:tc>
          <w:tcPr>
            <w:tcW w:w="2000" w:type="dxa"/>
            <w:shd w:val="clear" w:color="auto" w:fill="FFFFFF"/>
            <w:vAlign w:val="center"/>
          </w:tcPr>
          <w:p w14:paraId="31756842">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15FC4EBE">
        <w:trPr>
          <w:cantSplit/>
          <w:jc w:val="center"/>
        </w:trPr>
        <w:tc>
          <w:tcPr>
            <w:tcW w:w="650" w:type="dxa"/>
            <w:shd w:val="clear" w:color="auto" w:fill="FFFFFF"/>
            <w:vAlign w:val="center"/>
          </w:tcPr>
          <w:p w14:paraId="5956B6A8">
            <w:pPr>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71868E55">
            <w:pPr>
              <w:spacing w:before="0" w:after="0" w:line="240" w:lineRule="auto"/>
              <w:ind w:left="0" w:right="0" w:firstLine="0" w:firstLineChars="0"/>
              <w:jc w:val="center"/>
            </w:pPr>
            <w:r>
              <w:rPr>
                <w:rFonts w:ascii="宋体" w:hAnsi="宋体" w:eastAsia="宋体" w:cs="宋体"/>
                <w:b w:val="0"/>
                <w:bCs w:val="0"/>
                <w:color w:val="000000"/>
                <w:sz w:val="16"/>
                <w:szCs w:val="16"/>
              </w:rPr>
              <w:t>取得工况与运行证据</w:t>
            </w:r>
          </w:p>
        </w:tc>
        <w:tc>
          <w:tcPr>
            <w:tcW w:w="950" w:type="dxa"/>
            <w:shd w:val="clear" w:color="auto" w:fill="FFFFFF"/>
            <w:vAlign w:val="center"/>
          </w:tcPr>
          <w:p w14:paraId="020CB99F">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2209F8C5">
            <w:pPr>
              <w:spacing w:before="0" w:after="0" w:line="240" w:lineRule="auto"/>
              <w:ind w:left="0" w:right="0" w:firstLine="0" w:firstLineChars="0"/>
              <w:jc w:val="left"/>
            </w:pPr>
            <w:r>
              <w:rPr>
                <w:rFonts w:ascii="宋体" w:hAnsi="宋体" w:eastAsia="宋体" w:cs="宋体"/>
                <w:b w:val="0"/>
                <w:bCs w:val="0"/>
                <w:color w:val="000000"/>
                <w:sz w:val="16"/>
                <w:szCs w:val="16"/>
              </w:rPr>
              <w:t>输入：对象、时段与业务身份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输出：工况标签及运行证据</w:t>
            </w:r>
          </w:p>
        </w:tc>
        <w:tc>
          <w:tcPr>
            <w:tcW w:w="2000" w:type="dxa"/>
            <w:shd w:val="clear" w:color="auto" w:fill="FFFFFF"/>
            <w:vAlign w:val="center"/>
          </w:tcPr>
          <w:p w14:paraId="35B7591F">
            <w:pPr>
              <w:spacing w:before="0" w:after="0" w:line="240" w:lineRule="auto"/>
              <w:ind w:left="0" w:right="0" w:firstLine="0" w:firstLineChars="0"/>
              <w:jc w:val="left"/>
            </w:pPr>
            <w:r>
              <w:rPr>
                <w:rFonts w:ascii="宋体" w:hAnsi="宋体" w:eastAsia="宋体" w:cs="宋体"/>
                <w:b w:val="0"/>
                <w:bCs w:val="0"/>
                <w:color w:val="000000"/>
                <w:sz w:val="16"/>
                <w:szCs w:val="16"/>
              </w:rPr>
              <w:t>取得工况标签、设计单耗、额定参数和EMS空转诊断；汇集搅拌电机、压缩机、冷冻机、离心机等主要用能设备的运行、维修证据。经AI数据治理取得EMS能耗与空转诊断、DCS提供的对应对象与时段的工况分类及运行时序数据、EAM设备和维修资料；设计单耗与额定参数采用已确认的基准。</w:t>
            </w:r>
          </w:p>
        </w:tc>
        <w:tc>
          <w:tcPr>
            <w:tcW w:w="1072" w:type="dxa"/>
            <w:shd w:val="clear" w:color="auto" w:fill="FFFFFF"/>
            <w:vAlign w:val="center"/>
          </w:tcPr>
          <w:p w14:paraId="42E7DAB1">
            <w:pPr>
              <w:spacing w:before="0" w:after="0" w:line="240" w:lineRule="auto"/>
              <w:ind w:left="0" w:right="0" w:firstLine="0" w:firstLineChars="0"/>
              <w:jc w:val="left"/>
            </w:pPr>
            <w:r>
              <w:rPr>
                <w:rFonts w:ascii="宋体" w:hAnsi="宋体" w:eastAsia="宋体" w:cs="宋体"/>
                <w:b w:val="0"/>
                <w:bCs w:val="0"/>
                <w:color w:val="000000"/>
                <w:sz w:val="16"/>
                <w:szCs w:val="16"/>
              </w:rPr>
              <w:t>必需证据缺失→05；</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证据可用→06</w:t>
            </w:r>
          </w:p>
        </w:tc>
        <w:tc>
          <w:tcPr>
            <w:tcW w:w="2000" w:type="dxa"/>
            <w:shd w:val="clear" w:color="auto" w:fill="FFFFFF"/>
            <w:vAlign w:val="center"/>
          </w:tcPr>
          <w:p w14:paraId="67E417A3">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016644DE">
        <w:trPr>
          <w:cantSplit/>
          <w:jc w:val="center"/>
        </w:trPr>
        <w:tc>
          <w:tcPr>
            <w:tcW w:w="650" w:type="dxa"/>
            <w:shd w:val="clear" w:color="auto" w:fill="FFFFFF"/>
            <w:vAlign w:val="center"/>
          </w:tcPr>
          <w:p w14:paraId="00629026">
            <w:pPr>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727B137B">
            <w:pPr>
              <w:spacing w:before="0" w:after="0" w:line="240" w:lineRule="auto"/>
              <w:ind w:left="0" w:right="0" w:firstLine="0" w:firstLineChars="0"/>
              <w:jc w:val="center"/>
            </w:pPr>
            <w:r>
              <w:rPr>
                <w:rFonts w:ascii="宋体" w:hAnsi="宋体" w:eastAsia="宋体" w:cs="宋体"/>
                <w:b w:val="0"/>
                <w:bCs w:val="0"/>
                <w:color w:val="000000"/>
                <w:sz w:val="16"/>
                <w:szCs w:val="16"/>
              </w:rPr>
              <w:t>说明证据不足或失败</w:t>
            </w:r>
          </w:p>
        </w:tc>
        <w:tc>
          <w:tcPr>
            <w:tcW w:w="950" w:type="dxa"/>
            <w:shd w:val="clear" w:color="auto" w:fill="FFFFFF"/>
            <w:vAlign w:val="center"/>
          </w:tcPr>
          <w:p w14:paraId="18200889">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511B9129">
            <w:pPr>
              <w:spacing w:before="0" w:after="0" w:line="240" w:lineRule="auto"/>
              <w:ind w:left="0" w:right="0" w:firstLine="0" w:firstLineChars="0"/>
              <w:jc w:val="left"/>
            </w:pPr>
            <w:r>
              <w:rPr>
                <w:rFonts w:ascii="宋体" w:hAnsi="宋体" w:eastAsia="宋体" w:cs="宋体"/>
                <w:b w:val="0"/>
                <w:bCs w:val="0"/>
                <w:color w:val="000000"/>
                <w:sz w:val="16"/>
                <w:szCs w:val="16"/>
              </w:rPr>
              <w:t>输入：必需证据失败状态</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输出：终止说明</w:t>
            </w:r>
          </w:p>
        </w:tc>
        <w:tc>
          <w:tcPr>
            <w:tcW w:w="2000" w:type="dxa"/>
            <w:shd w:val="clear" w:color="auto" w:fill="FFFFFF"/>
            <w:vAlign w:val="center"/>
          </w:tcPr>
          <w:p w14:paraId="25B174A4">
            <w:pPr>
              <w:spacing w:before="0" w:after="0" w:line="240" w:lineRule="auto"/>
              <w:ind w:left="0" w:right="0" w:firstLine="0" w:firstLineChars="0"/>
              <w:jc w:val="left"/>
            </w:pPr>
            <w:r>
              <w:rPr>
                <w:rFonts w:ascii="宋体" w:hAnsi="宋体" w:eastAsia="宋体" w:cs="宋体"/>
                <w:b w:val="0"/>
                <w:bCs w:val="0"/>
                <w:color w:val="000000"/>
                <w:sz w:val="16"/>
                <w:szCs w:val="16"/>
              </w:rPr>
              <w:t>如实区分无权限、无数据和执行失败，说明必需证据缺口及处理状态，本次分析保留记录。</w:t>
            </w:r>
          </w:p>
        </w:tc>
        <w:tc>
          <w:tcPr>
            <w:tcW w:w="1072" w:type="dxa"/>
            <w:shd w:val="clear" w:color="auto" w:fill="FFFFFF"/>
            <w:vAlign w:val="center"/>
          </w:tcPr>
          <w:p w14:paraId="638FECEE">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3E188C70">
            <w:pPr>
              <w:spacing w:before="0" w:after="0" w:line="240" w:lineRule="auto"/>
              <w:ind w:left="0" w:right="0" w:firstLine="0" w:firstLineChars="0"/>
              <w:jc w:val="left"/>
            </w:pPr>
            <w:r>
              <w:rPr>
                <w:rFonts w:ascii="宋体" w:hAnsi="宋体" w:eastAsia="宋体" w:cs="宋体"/>
                <w:b w:val="0"/>
                <w:bCs w:val="0"/>
                <w:color w:val="000000"/>
                <w:sz w:val="16"/>
                <w:szCs w:val="16"/>
              </w:rPr>
              <w:t>P-ZLTC-AI-ZNWS-101-08-003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68499ED9">
        <w:trPr>
          <w:cantSplit/>
          <w:jc w:val="center"/>
        </w:trPr>
        <w:tc>
          <w:tcPr>
            <w:tcW w:w="650" w:type="dxa"/>
            <w:shd w:val="clear" w:color="auto" w:fill="FFFFFF"/>
            <w:vAlign w:val="center"/>
          </w:tcPr>
          <w:p w14:paraId="755735F2">
            <w:pPr>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2E11A78B">
            <w:pPr>
              <w:spacing w:before="0" w:after="0" w:line="240" w:lineRule="auto"/>
              <w:ind w:left="0" w:right="0" w:firstLine="0" w:firstLineChars="0"/>
              <w:jc w:val="center"/>
            </w:pPr>
            <w:r>
              <w:rPr>
                <w:rFonts w:ascii="宋体" w:hAnsi="宋体" w:eastAsia="宋体" w:cs="宋体"/>
                <w:b w:val="0"/>
                <w:bCs w:val="0"/>
                <w:color w:val="000000"/>
                <w:sz w:val="16"/>
                <w:szCs w:val="16"/>
              </w:rPr>
              <w:t>区分工况波动与异常</w:t>
            </w:r>
          </w:p>
        </w:tc>
        <w:tc>
          <w:tcPr>
            <w:tcW w:w="950" w:type="dxa"/>
            <w:shd w:val="clear" w:color="auto" w:fill="FFFFFF"/>
            <w:vAlign w:val="center"/>
          </w:tcPr>
          <w:p w14:paraId="7D6F74F2">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24110584">
            <w:pPr>
              <w:spacing w:before="0" w:after="0" w:line="240" w:lineRule="auto"/>
              <w:ind w:left="0" w:right="0" w:firstLine="0" w:firstLineChars="0"/>
              <w:jc w:val="left"/>
            </w:pPr>
            <w:r>
              <w:rPr>
                <w:rFonts w:ascii="宋体" w:hAnsi="宋体" w:eastAsia="宋体" w:cs="宋体"/>
                <w:b w:val="0"/>
                <w:bCs w:val="0"/>
                <w:color w:val="000000"/>
                <w:sz w:val="16"/>
                <w:szCs w:val="16"/>
              </w:rPr>
              <w:t>输入：工况标签、能耗及标准消耗</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输出：工况真伪判断</w:t>
            </w:r>
          </w:p>
        </w:tc>
        <w:tc>
          <w:tcPr>
            <w:tcW w:w="2000" w:type="dxa"/>
            <w:shd w:val="clear" w:color="auto" w:fill="FFFFFF"/>
            <w:vAlign w:val="center"/>
          </w:tcPr>
          <w:p w14:paraId="285FC974">
            <w:pPr>
              <w:spacing w:before="0" w:after="0" w:line="240" w:lineRule="auto"/>
              <w:ind w:left="0" w:right="0" w:firstLine="0" w:firstLineChars="0"/>
              <w:jc w:val="left"/>
            </w:pPr>
            <w:r>
              <w:rPr>
                <w:rFonts w:ascii="宋体" w:hAnsi="宋体" w:eastAsia="宋体" w:cs="宋体"/>
                <w:b w:val="0"/>
                <w:bCs w:val="0"/>
                <w:color w:val="000000"/>
                <w:sz w:val="16"/>
                <w:szCs w:val="16"/>
              </w:rPr>
              <w:t>先区分低负荷正常波动与真实异常；正常波动不描述为能源浪费。</w:t>
            </w:r>
          </w:p>
        </w:tc>
        <w:tc>
          <w:tcPr>
            <w:tcW w:w="1072" w:type="dxa"/>
            <w:shd w:val="clear" w:color="auto" w:fill="FFFFFF"/>
            <w:vAlign w:val="center"/>
          </w:tcPr>
          <w:p w14:paraId="504B3439">
            <w:pPr>
              <w:spacing w:before="0" w:after="0" w:line="240" w:lineRule="auto"/>
              <w:ind w:left="0" w:right="0" w:firstLine="0" w:firstLineChars="0"/>
              <w:jc w:val="left"/>
            </w:pPr>
            <w:r>
              <w:rPr>
                <w:rFonts w:ascii="宋体" w:hAnsi="宋体" w:eastAsia="宋体" w:cs="宋体"/>
                <w:b w:val="0"/>
                <w:bCs w:val="0"/>
                <w:color w:val="000000"/>
                <w:sz w:val="16"/>
                <w:szCs w:val="16"/>
              </w:rPr>
              <w:t>正常波动→09；</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真实异常→07</w:t>
            </w:r>
          </w:p>
        </w:tc>
        <w:tc>
          <w:tcPr>
            <w:tcW w:w="2000" w:type="dxa"/>
            <w:shd w:val="clear" w:color="auto" w:fill="FFFFFF"/>
            <w:vAlign w:val="center"/>
          </w:tcPr>
          <w:p w14:paraId="7DBD50E5">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7746595E">
        <w:trPr>
          <w:cantSplit/>
          <w:jc w:val="center"/>
        </w:trPr>
        <w:tc>
          <w:tcPr>
            <w:tcW w:w="650" w:type="dxa"/>
            <w:shd w:val="clear" w:color="auto" w:fill="FFFFFF"/>
            <w:vAlign w:val="center"/>
          </w:tcPr>
          <w:p w14:paraId="5CFF8FCF">
            <w:pPr>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15FD78FF">
            <w:pPr>
              <w:spacing w:before="0" w:after="0" w:line="240" w:lineRule="auto"/>
              <w:ind w:left="0" w:right="0" w:firstLine="0" w:firstLineChars="0"/>
              <w:jc w:val="center"/>
            </w:pPr>
            <w:r>
              <w:rPr>
                <w:rFonts w:ascii="宋体" w:hAnsi="宋体" w:eastAsia="宋体" w:cs="宋体"/>
                <w:b w:val="0"/>
                <w:bCs w:val="0"/>
                <w:color w:val="000000"/>
                <w:sz w:val="16"/>
                <w:szCs w:val="16"/>
              </w:rPr>
              <w:t>定位浪费并引用诊断</w:t>
            </w:r>
          </w:p>
        </w:tc>
        <w:tc>
          <w:tcPr>
            <w:tcW w:w="950" w:type="dxa"/>
            <w:shd w:val="clear" w:color="auto" w:fill="FFFFFF"/>
            <w:vAlign w:val="center"/>
          </w:tcPr>
          <w:p w14:paraId="1B08ACD1">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1EB5C3FC">
            <w:pPr>
              <w:spacing w:before="0" w:after="0" w:line="240" w:lineRule="auto"/>
              <w:ind w:left="0" w:right="0" w:firstLine="0" w:firstLineChars="0"/>
              <w:jc w:val="left"/>
            </w:pPr>
            <w:r>
              <w:rPr>
                <w:rFonts w:ascii="宋体" w:hAnsi="宋体" w:eastAsia="宋体" w:cs="宋体"/>
                <w:b w:val="0"/>
                <w:bCs w:val="0"/>
                <w:color w:val="000000"/>
                <w:sz w:val="16"/>
                <w:szCs w:val="16"/>
              </w:rPr>
              <w:t>输入：真实异常及证据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输出：工序、时段及原因证据</w:t>
            </w:r>
          </w:p>
        </w:tc>
        <w:tc>
          <w:tcPr>
            <w:tcW w:w="2000" w:type="dxa"/>
            <w:shd w:val="clear" w:color="auto" w:fill="FFFFFF"/>
            <w:vAlign w:val="center"/>
          </w:tcPr>
          <w:p w14:paraId="2A2494A3">
            <w:pPr>
              <w:spacing w:before="0" w:after="0" w:line="240" w:lineRule="auto"/>
              <w:ind w:left="0" w:right="0" w:firstLine="0" w:firstLineChars="0"/>
              <w:jc w:val="left"/>
            </w:pPr>
            <w:r>
              <w:rPr>
                <w:rFonts w:ascii="宋体" w:hAnsi="宋体" w:eastAsia="宋体" w:cs="宋体"/>
                <w:b w:val="0"/>
                <w:bCs w:val="0"/>
                <w:color w:val="000000"/>
                <w:sz w:val="16"/>
                <w:szCs w:val="16"/>
              </w:rPr>
              <w:t>定位浪费工序、时段、设备与计量点，按工序及物料处理量对应标准比对；EMS已有空载诊断直接引用并标注来源。</w:t>
            </w:r>
          </w:p>
        </w:tc>
        <w:tc>
          <w:tcPr>
            <w:tcW w:w="1072" w:type="dxa"/>
            <w:shd w:val="clear" w:color="auto" w:fill="FFFFFF"/>
            <w:vAlign w:val="center"/>
          </w:tcPr>
          <w:p w14:paraId="63E060FA">
            <w:pPr>
              <w:spacing w:before="0" w:after="0" w:line="240" w:lineRule="auto"/>
              <w:ind w:left="0" w:right="0" w:firstLine="0" w:firstLineChars="0"/>
              <w:jc w:val="left"/>
            </w:pPr>
            <w:r>
              <w:rPr>
                <w:rFonts w:ascii="宋体" w:hAnsi="宋体" w:eastAsia="宋体" w:cs="宋体"/>
                <w:b w:val="0"/>
                <w:bCs w:val="0"/>
                <w:color w:val="000000"/>
                <w:sz w:val="16"/>
                <w:szCs w:val="16"/>
              </w:rPr>
              <w:t>→08</w:t>
            </w:r>
          </w:p>
        </w:tc>
        <w:tc>
          <w:tcPr>
            <w:tcW w:w="2000" w:type="dxa"/>
            <w:shd w:val="clear" w:color="auto" w:fill="FFFFFF"/>
            <w:vAlign w:val="center"/>
          </w:tcPr>
          <w:p w14:paraId="14AF90E1">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p>
        </w:tc>
      </w:tr>
      <w:tr w14:paraId="0F78E60E">
        <w:trPr>
          <w:cantSplit/>
          <w:jc w:val="center"/>
        </w:trPr>
        <w:tc>
          <w:tcPr>
            <w:tcW w:w="650" w:type="dxa"/>
            <w:shd w:val="clear" w:color="auto" w:fill="FFFFFF"/>
            <w:vAlign w:val="center"/>
          </w:tcPr>
          <w:p w14:paraId="15963593">
            <w:pPr>
              <w:spacing w:before="0" w:after="0" w:line="240" w:lineRule="auto"/>
              <w:ind w:left="0" w:right="0" w:firstLine="0" w:firstLineChars="0"/>
              <w:jc w:val="center"/>
            </w:pPr>
            <w:r>
              <w:rPr>
                <w:rFonts w:ascii="宋体" w:hAnsi="宋体" w:eastAsia="宋体" w:cs="宋体"/>
                <w:b w:val="0"/>
                <w:bCs w:val="0"/>
                <w:color w:val="000000"/>
                <w:sz w:val="16"/>
                <w:szCs w:val="16"/>
              </w:rPr>
              <w:t>08</w:t>
            </w:r>
          </w:p>
        </w:tc>
        <w:tc>
          <w:tcPr>
            <w:tcW w:w="1050" w:type="dxa"/>
            <w:shd w:val="clear" w:color="auto" w:fill="FFFFFF"/>
            <w:vAlign w:val="center"/>
          </w:tcPr>
          <w:p w14:paraId="72D9E3CE">
            <w:pPr>
              <w:spacing w:before="0" w:after="0" w:line="240" w:lineRule="auto"/>
              <w:ind w:left="0" w:right="0" w:firstLine="0" w:firstLineChars="0"/>
              <w:jc w:val="center"/>
            </w:pPr>
            <w:r>
              <w:rPr>
                <w:rFonts w:ascii="宋体" w:hAnsi="宋体" w:eastAsia="宋体" w:cs="宋体"/>
                <w:b w:val="0"/>
                <w:bCs w:val="0"/>
                <w:color w:val="000000"/>
                <w:sz w:val="16"/>
                <w:szCs w:val="16"/>
              </w:rPr>
              <w:t>核查因素并分级说明</w:t>
            </w:r>
          </w:p>
        </w:tc>
        <w:tc>
          <w:tcPr>
            <w:tcW w:w="950" w:type="dxa"/>
            <w:shd w:val="clear" w:color="auto" w:fill="FFFFFF"/>
            <w:vAlign w:val="center"/>
          </w:tcPr>
          <w:p w14:paraId="47CA192E">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1CA7DA1C">
            <w:pPr>
              <w:spacing w:before="0" w:after="0" w:line="240" w:lineRule="auto"/>
              <w:ind w:left="0" w:right="0" w:firstLine="0" w:firstLineChars="0"/>
              <w:jc w:val="left"/>
            </w:pPr>
            <w:r>
              <w:rPr>
                <w:rFonts w:ascii="宋体" w:hAnsi="宋体" w:eastAsia="宋体" w:cs="宋体"/>
                <w:b w:val="0"/>
                <w:bCs w:val="0"/>
                <w:color w:val="000000"/>
                <w:sz w:val="16"/>
                <w:szCs w:val="16"/>
              </w:rPr>
              <w:t>输入：证据与能耗影响因素清单</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输出：分级原因与节能建议</w:t>
            </w:r>
          </w:p>
        </w:tc>
        <w:tc>
          <w:tcPr>
            <w:tcW w:w="2000" w:type="dxa"/>
            <w:shd w:val="clear" w:color="auto" w:fill="FFFFFF"/>
            <w:vAlign w:val="center"/>
          </w:tcPr>
          <w:p w14:paraId="6C8D1C15">
            <w:pPr>
              <w:spacing w:before="0" w:after="0" w:line="240" w:lineRule="auto"/>
              <w:ind w:left="0" w:right="0" w:firstLine="0" w:firstLineChars="0"/>
              <w:jc w:val="left"/>
            </w:pPr>
            <w:r>
              <w:rPr>
                <w:rFonts w:ascii="宋体" w:hAnsi="宋体" w:eastAsia="宋体" w:cs="宋体"/>
                <w:b w:val="0"/>
                <w:bCs w:val="0"/>
                <w:color w:val="000000"/>
                <w:sz w:val="16"/>
                <w:szCs w:val="16"/>
              </w:rPr>
              <w:t>依据能耗影响因素清单核证空载运行、管路泄漏、参数设置等因素，区分已验证、已排除和待验证原因并关联证据；经审核的确认案例持续补充清单。</w:t>
            </w:r>
          </w:p>
        </w:tc>
        <w:tc>
          <w:tcPr>
            <w:tcW w:w="1072" w:type="dxa"/>
            <w:shd w:val="clear" w:color="auto" w:fill="FFFFFF"/>
            <w:vAlign w:val="center"/>
          </w:tcPr>
          <w:p w14:paraId="61E3D8A6">
            <w:pPr>
              <w:spacing w:before="0" w:after="0" w:line="240" w:lineRule="auto"/>
              <w:ind w:left="0" w:right="0" w:firstLine="0" w:firstLineChars="0"/>
              <w:jc w:val="left"/>
            </w:pPr>
            <w:r>
              <w:rPr>
                <w:rFonts w:ascii="宋体" w:hAnsi="宋体" w:eastAsia="宋体" w:cs="宋体"/>
                <w:b w:val="0"/>
                <w:bCs w:val="0"/>
                <w:color w:val="000000"/>
                <w:sz w:val="16"/>
                <w:szCs w:val="16"/>
              </w:rPr>
              <w:t>→09</w:t>
            </w:r>
          </w:p>
        </w:tc>
        <w:tc>
          <w:tcPr>
            <w:tcW w:w="2000" w:type="dxa"/>
            <w:shd w:val="clear" w:color="auto" w:fill="FFFFFF"/>
            <w:vAlign w:val="center"/>
          </w:tcPr>
          <w:p w14:paraId="5B2BCEA8">
            <w:pPr>
              <w:spacing w:before="0" w:after="0" w:line="240" w:lineRule="auto"/>
              <w:ind w:left="0" w:right="0" w:firstLine="0" w:firstLineChars="0"/>
              <w:jc w:val="left"/>
            </w:pPr>
            <w:r>
              <w:rPr>
                <w:rFonts w:ascii="宋体" w:hAnsi="宋体" w:eastAsia="宋体" w:cs="宋体"/>
                <w:b w:val="0"/>
                <w:bCs w:val="0"/>
                <w:color w:val="000000"/>
                <w:sz w:val="16"/>
                <w:szCs w:val="16"/>
              </w:rPr>
              <w:t>P-ZLTC-AI-WLPHGY-102-07-001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P-ZLTC-AI-WLPHGY-102-14-001</w:t>
            </w:r>
          </w:p>
        </w:tc>
      </w:tr>
      <w:tr w14:paraId="4625D986">
        <w:trPr>
          <w:cantSplit/>
          <w:jc w:val="center"/>
        </w:trPr>
        <w:tc>
          <w:tcPr>
            <w:tcW w:w="650" w:type="dxa"/>
            <w:shd w:val="clear" w:color="auto" w:fill="FFFFFF"/>
            <w:vAlign w:val="center"/>
          </w:tcPr>
          <w:p w14:paraId="2CF9CE63">
            <w:pPr>
              <w:spacing w:before="0" w:after="0" w:line="240" w:lineRule="auto"/>
              <w:ind w:left="0" w:right="0" w:firstLine="0" w:firstLineChars="0"/>
              <w:jc w:val="center"/>
            </w:pPr>
            <w:r>
              <w:rPr>
                <w:rFonts w:ascii="宋体" w:hAnsi="宋体" w:eastAsia="宋体" w:cs="宋体"/>
                <w:b w:val="0"/>
                <w:bCs w:val="0"/>
                <w:color w:val="000000"/>
                <w:sz w:val="16"/>
                <w:szCs w:val="16"/>
              </w:rPr>
              <w:t>09</w:t>
            </w:r>
          </w:p>
        </w:tc>
        <w:tc>
          <w:tcPr>
            <w:tcW w:w="1050" w:type="dxa"/>
            <w:shd w:val="clear" w:color="auto" w:fill="FFFFFF"/>
            <w:vAlign w:val="center"/>
          </w:tcPr>
          <w:p w14:paraId="6C304849">
            <w:pPr>
              <w:spacing w:before="0" w:after="0" w:line="240" w:lineRule="auto"/>
              <w:ind w:left="0" w:right="0" w:firstLine="0" w:firstLineChars="0"/>
              <w:jc w:val="center"/>
            </w:pPr>
            <w:r>
              <w:rPr>
                <w:rFonts w:ascii="宋体" w:hAnsi="宋体" w:eastAsia="宋体" w:cs="宋体"/>
                <w:b w:val="0"/>
                <w:bCs w:val="0"/>
                <w:color w:val="000000"/>
                <w:sz w:val="16"/>
                <w:szCs w:val="16"/>
              </w:rPr>
              <w:t>形成并归档报告</w:t>
            </w:r>
          </w:p>
        </w:tc>
        <w:tc>
          <w:tcPr>
            <w:tcW w:w="950" w:type="dxa"/>
            <w:shd w:val="clear" w:color="auto" w:fill="FFFFFF"/>
            <w:vAlign w:val="center"/>
          </w:tcPr>
          <w:p w14:paraId="1C2A539E">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295B7174">
            <w:pPr>
              <w:spacing w:before="0" w:after="0" w:line="240" w:lineRule="auto"/>
              <w:ind w:left="0" w:right="0" w:firstLine="0" w:firstLineChars="0"/>
              <w:jc w:val="left"/>
            </w:pPr>
            <w:r>
              <w:rPr>
                <w:rFonts w:ascii="宋体" w:hAnsi="宋体" w:eastAsia="宋体" w:cs="宋体"/>
                <w:b w:val="0"/>
                <w:bCs w:val="0"/>
                <w:color w:val="000000"/>
                <w:sz w:val="16"/>
                <w:szCs w:val="16"/>
              </w:rPr>
              <w:t>输入：工况判断或分级原因</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输出：分析报告</w:t>
            </w:r>
          </w:p>
        </w:tc>
        <w:tc>
          <w:tcPr>
            <w:tcW w:w="2000" w:type="dxa"/>
            <w:shd w:val="clear" w:color="auto" w:fill="FFFFFF"/>
            <w:vAlign w:val="center"/>
          </w:tcPr>
          <w:p w14:paraId="66E17C7E">
            <w:pPr>
              <w:spacing w:before="0" w:after="0" w:line="240" w:lineRule="auto"/>
              <w:ind w:left="0" w:right="0" w:firstLine="0" w:firstLineChars="0"/>
              <w:jc w:val="left"/>
            </w:pPr>
            <w:r>
              <w:rPr>
                <w:rFonts w:ascii="宋体" w:hAnsi="宋体" w:eastAsia="宋体" w:cs="宋体"/>
                <w:b w:val="0"/>
                <w:bCs w:val="0"/>
                <w:color w:val="000000"/>
                <w:sz w:val="16"/>
                <w:szCs w:val="16"/>
              </w:rPr>
              <w:t>保留工况真伪判断、证据与来源；真实异常报告同时呈现节能改进建议。</w:t>
            </w:r>
          </w:p>
        </w:tc>
        <w:tc>
          <w:tcPr>
            <w:tcW w:w="1072" w:type="dxa"/>
            <w:shd w:val="clear" w:color="auto" w:fill="FFFFFF"/>
            <w:vAlign w:val="center"/>
          </w:tcPr>
          <w:p w14:paraId="65D12E6E">
            <w:pPr>
              <w:spacing w:before="0" w:after="0" w:line="240" w:lineRule="auto"/>
              <w:ind w:left="0" w:right="0" w:firstLine="0" w:firstLineChars="0"/>
              <w:jc w:val="left"/>
            </w:pPr>
            <w:r>
              <w:rPr>
                <w:rFonts w:ascii="宋体" w:hAnsi="宋体" w:eastAsia="宋体" w:cs="宋体"/>
                <w:b w:val="0"/>
                <w:bCs w:val="0"/>
                <w:color w:val="000000"/>
                <w:sz w:val="16"/>
                <w:szCs w:val="16"/>
              </w:rPr>
              <w:t>→10</w:t>
            </w:r>
          </w:p>
        </w:tc>
        <w:tc>
          <w:tcPr>
            <w:tcW w:w="2000" w:type="dxa"/>
            <w:shd w:val="clear" w:color="auto" w:fill="FFFFFF"/>
            <w:vAlign w:val="center"/>
          </w:tcPr>
          <w:p w14:paraId="43217768">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p>
        </w:tc>
      </w:tr>
      <w:tr w14:paraId="34653D02">
        <w:trPr>
          <w:cantSplit/>
          <w:jc w:val="center"/>
        </w:trPr>
        <w:tc>
          <w:tcPr>
            <w:tcW w:w="650" w:type="dxa"/>
            <w:shd w:val="clear" w:color="auto" w:fill="FFFFFF"/>
            <w:vAlign w:val="center"/>
          </w:tcPr>
          <w:p w14:paraId="381FEAE3">
            <w:pPr>
              <w:spacing w:before="0" w:after="0" w:line="240" w:lineRule="auto"/>
              <w:ind w:left="0" w:right="0" w:firstLine="0" w:firstLineChars="0"/>
              <w:jc w:val="center"/>
            </w:pPr>
            <w:r>
              <w:rPr>
                <w:rFonts w:ascii="宋体" w:hAnsi="宋体" w:eastAsia="宋体" w:cs="宋体"/>
                <w:b w:val="0"/>
                <w:bCs w:val="0"/>
                <w:color w:val="000000"/>
                <w:sz w:val="16"/>
                <w:szCs w:val="16"/>
              </w:rPr>
              <w:t>10</w:t>
            </w:r>
          </w:p>
        </w:tc>
        <w:tc>
          <w:tcPr>
            <w:tcW w:w="1050" w:type="dxa"/>
            <w:shd w:val="clear" w:color="auto" w:fill="FFFFFF"/>
            <w:vAlign w:val="center"/>
          </w:tcPr>
          <w:p w14:paraId="4675842C">
            <w:pPr>
              <w:spacing w:before="0" w:after="0" w:line="240" w:lineRule="auto"/>
              <w:ind w:left="0" w:right="0" w:firstLine="0" w:firstLineChars="0"/>
              <w:jc w:val="center"/>
            </w:pPr>
            <w:r>
              <w:rPr>
                <w:rFonts w:ascii="宋体" w:hAnsi="宋体" w:eastAsia="宋体" w:cs="宋体"/>
                <w:b w:val="0"/>
                <w:bCs w:val="0"/>
                <w:color w:val="000000"/>
                <w:sz w:val="16"/>
                <w:szCs w:val="16"/>
              </w:rPr>
              <w:t>呈现报告并按授权送达</w:t>
            </w:r>
          </w:p>
        </w:tc>
        <w:tc>
          <w:tcPr>
            <w:tcW w:w="950" w:type="dxa"/>
            <w:shd w:val="clear" w:color="auto" w:fill="FFFFFF"/>
            <w:vAlign w:val="center"/>
          </w:tcPr>
          <w:p w14:paraId="1C1EAD09">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708E98C7">
            <w:pPr>
              <w:spacing w:before="0" w:after="0" w:line="240" w:lineRule="auto"/>
              <w:ind w:left="0" w:right="0" w:firstLine="0" w:firstLineChars="0"/>
              <w:jc w:val="left"/>
            </w:pPr>
            <w:r>
              <w:rPr>
                <w:rFonts w:ascii="宋体" w:hAnsi="宋体" w:eastAsia="宋体" w:cs="宋体"/>
                <w:b w:val="0"/>
                <w:bCs w:val="0"/>
                <w:color w:val="000000"/>
                <w:sz w:val="16"/>
                <w:szCs w:val="16"/>
              </w:rPr>
              <w:t>输入：新报告或既有报告</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输出：展示及送达状态</w:t>
            </w:r>
          </w:p>
        </w:tc>
        <w:tc>
          <w:tcPr>
            <w:tcW w:w="2000" w:type="dxa"/>
            <w:shd w:val="clear" w:color="auto" w:fill="FFFFFF"/>
            <w:vAlign w:val="center"/>
          </w:tcPr>
          <w:p w14:paraId="2E9C8B29">
            <w:pPr>
              <w:spacing w:before="0" w:after="0" w:line="240" w:lineRule="auto"/>
              <w:ind w:left="0" w:right="0" w:firstLine="0" w:firstLineChars="0"/>
              <w:jc w:val="left"/>
            </w:pPr>
            <w:r>
              <w:rPr>
                <w:rFonts w:ascii="宋体" w:hAnsi="宋体" w:eastAsia="宋体" w:cs="宋体"/>
                <w:b w:val="0"/>
                <w:bCs w:val="0"/>
                <w:color w:val="000000"/>
                <w:sz w:val="16"/>
                <w:szCs w:val="16"/>
              </w:rPr>
              <w:t>会话内呈现；事件报告按责任关系和业务授权推送，记录送达、已读及确认状态。</w:t>
            </w:r>
          </w:p>
        </w:tc>
        <w:tc>
          <w:tcPr>
            <w:tcW w:w="1072" w:type="dxa"/>
            <w:shd w:val="clear" w:color="auto" w:fill="FFFFFF"/>
            <w:vAlign w:val="center"/>
          </w:tcPr>
          <w:p w14:paraId="0F126DAF">
            <w:pPr>
              <w:spacing w:before="0" w:after="0" w:line="240" w:lineRule="auto"/>
              <w:ind w:left="0" w:right="0" w:firstLine="0" w:firstLineChars="0"/>
              <w:jc w:val="left"/>
            </w:pPr>
            <w:r>
              <w:rPr>
                <w:rFonts w:ascii="宋体" w:hAnsi="宋体" w:eastAsia="宋体" w:cs="宋体"/>
                <w:b w:val="0"/>
                <w:bCs w:val="0"/>
                <w:color w:val="000000"/>
                <w:sz w:val="16"/>
                <w:szCs w:val="16"/>
              </w:rPr>
              <w:t>责任信息待核→13；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授权送达→11；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查看完成→结束</w:t>
            </w:r>
          </w:p>
        </w:tc>
        <w:tc>
          <w:tcPr>
            <w:tcW w:w="2000" w:type="dxa"/>
            <w:shd w:val="clear" w:color="auto" w:fill="FFFFFF"/>
            <w:vAlign w:val="center"/>
          </w:tcPr>
          <w:p w14:paraId="5C7D7F1B">
            <w:pPr>
              <w:spacing w:before="0" w:after="0" w:line="240" w:lineRule="auto"/>
              <w:ind w:left="0" w:right="0" w:firstLine="0" w:firstLineChars="0"/>
              <w:jc w:val="left"/>
            </w:pPr>
            <w:r>
              <w:rPr>
                <w:rFonts w:ascii="宋体" w:hAnsi="宋体" w:eastAsia="宋体" w:cs="宋体"/>
                <w:b w:val="0"/>
                <w:bCs w:val="0"/>
                <w:color w:val="000000"/>
                <w:sz w:val="16"/>
                <w:szCs w:val="16"/>
              </w:rPr>
              <w:t>P-ZLTC-AI-WLPHGY-102-11-001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5956F232">
        <w:trPr>
          <w:cantSplit/>
          <w:jc w:val="center"/>
        </w:trPr>
        <w:tc>
          <w:tcPr>
            <w:tcW w:w="650" w:type="dxa"/>
            <w:shd w:val="clear" w:color="auto" w:fill="FFFFFF"/>
            <w:vAlign w:val="center"/>
          </w:tcPr>
          <w:p w14:paraId="11F2103C">
            <w:pPr>
              <w:spacing w:before="0" w:after="0" w:line="240" w:lineRule="auto"/>
              <w:ind w:left="0" w:right="0" w:firstLine="0" w:firstLineChars="0"/>
              <w:jc w:val="center"/>
            </w:pPr>
            <w:r>
              <w:rPr>
                <w:rFonts w:ascii="宋体" w:hAnsi="宋体" w:eastAsia="宋体" w:cs="宋体"/>
                <w:b w:val="0"/>
                <w:bCs w:val="0"/>
                <w:color w:val="000000"/>
                <w:sz w:val="16"/>
                <w:szCs w:val="16"/>
              </w:rPr>
              <w:t>11</w:t>
            </w:r>
          </w:p>
        </w:tc>
        <w:tc>
          <w:tcPr>
            <w:tcW w:w="1050" w:type="dxa"/>
            <w:shd w:val="clear" w:color="auto" w:fill="FFFFFF"/>
            <w:vAlign w:val="center"/>
          </w:tcPr>
          <w:p w14:paraId="4643DC5A">
            <w:pPr>
              <w:spacing w:before="0" w:after="0" w:line="240" w:lineRule="auto"/>
              <w:ind w:left="0" w:right="0" w:firstLine="0" w:firstLineChars="0"/>
              <w:jc w:val="center"/>
            </w:pPr>
            <w:r>
              <w:rPr>
                <w:rFonts w:ascii="宋体" w:hAnsi="宋体" w:eastAsia="宋体" w:cs="宋体"/>
                <w:b w:val="0"/>
                <w:bCs w:val="0"/>
                <w:color w:val="000000"/>
                <w:sz w:val="16"/>
                <w:szCs w:val="16"/>
              </w:rPr>
              <w:t>责任人确认与反馈</w:t>
            </w:r>
          </w:p>
        </w:tc>
        <w:tc>
          <w:tcPr>
            <w:tcW w:w="950" w:type="dxa"/>
            <w:shd w:val="clear" w:color="auto" w:fill="FFFFFF"/>
            <w:vAlign w:val="center"/>
          </w:tcPr>
          <w:p w14:paraId="56A6362C">
            <w:pPr>
              <w:spacing w:before="0" w:after="0" w:line="240" w:lineRule="auto"/>
              <w:ind w:left="0" w:right="0" w:firstLine="0" w:firstLineChars="0"/>
              <w:jc w:val="center"/>
            </w:pPr>
            <w:r>
              <w:rPr>
                <w:rFonts w:ascii="宋体" w:hAnsi="宋体" w:eastAsia="宋体" w:cs="宋体"/>
                <w:b w:val="0"/>
                <w:bCs w:val="0"/>
                <w:color w:val="000000"/>
                <w:sz w:val="16"/>
                <w:szCs w:val="16"/>
              </w:rPr>
              <w:t>责任人</w:t>
            </w:r>
          </w:p>
        </w:tc>
        <w:tc>
          <w:tcPr>
            <w:tcW w:w="1350" w:type="dxa"/>
            <w:shd w:val="clear" w:color="auto" w:fill="FFFFFF"/>
            <w:vAlign w:val="center"/>
          </w:tcPr>
          <w:p w14:paraId="2195DB98">
            <w:pPr>
              <w:spacing w:before="0" w:after="0" w:line="240" w:lineRule="auto"/>
              <w:ind w:left="0" w:right="0" w:firstLine="0" w:firstLineChars="0"/>
              <w:jc w:val="left"/>
            </w:pPr>
            <w:r>
              <w:rPr>
                <w:rFonts w:ascii="宋体" w:hAnsi="宋体" w:eastAsia="宋体" w:cs="宋体"/>
                <w:b w:val="0"/>
                <w:bCs w:val="0"/>
                <w:color w:val="000000"/>
                <w:sz w:val="16"/>
                <w:szCs w:val="16"/>
              </w:rPr>
              <w:t>输入：报告</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输出：确认或不符反馈</w:t>
            </w:r>
          </w:p>
        </w:tc>
        <w:tc>
          <w:tcPr>
            <w:tcW w:w="2000" w:type="dxa"/>
            <w:shd w:val="clear" w:color="auto" w:fill="FFFFFF"/>
            <w:vAlign w:val="center"/>
          </w:tcPr>
          <w:p w14:paraId="2DCFE08A">
            <w:pPr>
              <w:spacing w:before="0" w:after="0" w:line="240" w:lineRule="auto"/>
              <w:ind w:left="0" w:right="0" w:firstLine="0" w:firstLineChars="0"/>
              <w:jc w:val="left"/>
            </w:pPr>
            <w:r>
              <w:rPr>
                <w:rFonts w:ascii="宋体" w:hAnsi="宋体" w:eastAsia="宋体" w:cs="宋体"/>
                <w:b w:val="0"/>
                <w:bCs w:val="0"/>
                <w:color w:val="000000"/>
                <w:sz w:val="16"/>
                <w:szCs w:val="16"/>
              </w:rPr>
              <w:t>指定责任人选择结论确认或与实际不符，并可补充实际原因；暂未确认时保留报告及确认状态。</w:t>
            </w:r>
          </w:p>
        </w:tc>
        <w:tc>
          <w:tcPr>
            <w:tcW w:w="1072" w:type="dxa"/>
            <w:shd w:val="clear" w:color="auto" w:fill="FFFFFF"/>
            <w:vAlign w:val="center"/>
          </w:tcPr>
          <w:p w14:paraId="3604EFA0">
            <w:pPr>
              <w:spacing w:before="0" w:after="0" w:line="240" w:lineRule="auto"/>
              <w:ind w:left="0" w:right="0" w:firstLine="0" w:firstLineChars="0"/>
              <w:jc w:val="left"/>
            </w:pPr>
            <w:r>
              <w:rPr>
                <w:rFonts w:ascii="宋体" w:hAnsi="宋体" w:eastAsia="宋体" w:cs="宋体"/>
                <w:b w:val="0"/>
                <w:bCs w:val="0"/>
                <w:color w:val="000000"/>
                <w:sz w:val="16"/>
                <w:szCs w:val="16"/>
              </w:rPr>
              <w:t>确认或纠正→12；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暂未确认→结束</w:t>
            </w:r>
          </w:p>
        </w:tc>
        <w:tc>
          <w:tcPr>
            <w:tcW w:w="2000" w:type="dxa"/>
            <w:shd w:val="clear" w:color="auto" w:fill="FFFFFF"/>
            <w:vAlign w:val="center"/>
          </w:tcPr>
          <w:p w14:paraId="0F78C024">
            <w:pPr>
              <w:spacing w:before="0" w:after="0" w:line="240" w:lineRule="auto"/>
              <w:ind w:left="0" w:right="0" w:firstLine="0" w:firstLineChars="0"/>
              <w:jc w:val="left"/>
            </w:pPr>
            <w:r>
              <w:rPr>
                <w:rFonts w:ascii="宋体" w:hAnsi="宋体" w:eastAsia="宋体" w:cs="宋体"/>
                <w:b w:val="0"/>
                <w:bCs w:val="0"/>
                <w:color w:val="000000"/>
                <w:sz w:val="16"/>
                <w:szCs w:val="16"/>
              </w:rPr>
              <w:t>P-ZLTC-AI-WLPHGY-102-13-001</w:t>
            </w:r>
          </w:p>
        </w:tc>
      </w:tr>
      <w:tr w14:paraId="54362A35">
        <w:trPr>
          <w:cantSplit/>
          <w:jc w:val="center"/>
        </w:trPr>
        <w:tc>
          <w:tcPr>
            <w:tcW w:w="650" w:type="dxa"/>
            <w:shd w:val="clear" w:color="auto" w:fill="FFFFFF"/>
            <w:vAlign w:val="center"/>
          </w:tcPr>
          <w:p w14:paraId="7202FE5F">
            <w:pPr>
              <w:spacing w:before="0" w:after="0" w:line="240" w:lineRule="auto"/>
              <w:ind w:left="0" w:right="0" w:firstLine="0" w:firstLineChars="0"/>
              <w:jc w:val="center"/>
            </w:pPr>
            <w:r>
              <w:rPr>
                <w:rFonts w:ascii="宋体" w:hAnsi="宋体" w:eastAsia="宋体" w:cs="宋体"/>
                <w:b w:val="0"/>
                <w:bCs w:val="0"/>
                <w:color w:val="000000"/>
                <w:sz w:val="16"/>
                <w:szCs w:val="16"/>
              </w:rPr>
              <w:t>12</w:t>
            </w:r>
          </w:p>
        </w:tc>
        <w:tc>
          <w:tcPr>
            <w:tcW w:w="1050" w:type="dxa"/>
            <w:shd w:val="clear" w:color="auto" w:fill="FFFFFF"/>
            <w:vAlign w:val="center"/>
          </w:tcPr>
          <w:p w14:paraId="336603E3">
            <w:pPr>
              <w:spacing w:before="0" w:after="0" w:line="240" w:lineRule="auto"/>
              <w:ind w:left="0" w:right="0" w:firstLine="0" w:firstLineChars="0"/>
              <w:jc w:val="center"/>
            </w:pPr>
            <w:r>
              <w:rPr>
                <w:rFonts w:ascii="宋体" w:hAnsi="宋体" w:eastAsia="宋体" w:cs="宋体"/>
                <w:b w:val="0"/>
                <w:bCs w:val="0"/>
                <w:color w:val="000000"/>
                <w:sz w:val="16"/>
                <w:szCs w:val="16"/>
              </w:rPr>
              <w:t>转交确认案例或问题</w:t>
            </w:r>
          </w:p>
        </w:tc>
        <w:tc>
          <w:tcPr>
            <w:tcW w:w="950" w:type="dxa"/>
            <w:shd w:val="clear" w:color="auto" w:fill="FFFFFF"/>
            <w:vAlign w:val="center"/>
          </w:tcPr>
          <w:p w14:paraId="7CCF4D6A">
            <w:pPr>
              <w:spacing w:before="0" w:after="0" w:line="240" w:lineRule="auto"/>
              <w:ind w:left="0" w:right="0" w:firstLine="0" w:firstLineChars="0"/>
              <w:jc w:val="center"/>
            </w:pPr>
            <w:r>
              <w:rPr>
                <w:rFonts w:ascii="宋体" w:hAnsi="宋体" w:eastAsia="宋体" w:cs="宋体"/>
                <w:b w:val="0"/>
                <w:bCs w:val="0"/>
                <w:color w:val="000000"/>
                <w:sz w:val="16"/>
                <w:szCs w:val="16"/>
              </w:rPr>
              <w:t>知识工作台</w:t>
            </w:r>
          </w:p>
        </w:tc>
        <w:tc>
          <w:tcPr>
            <w:tcW w:w="1350" w:type="dxa"/>
            <w:shd w:val="clear" w:color="auto" w:fill="FFFFFF"/>
            <w:vAlign w:val="center"/>
          </w:tcPr>
          <w:p w14:paraId="664CE10D">
            <w:pPr>
              <w:spacing w:before="0" w:after="0" w:line="240" w:lineRule="auto"/>
              <w:ind w:left="0" w:right="0" w:firstLine="0" w:firstLineChars="0"/>
              <w:jc w:val="left"/>
            </w:pPr>
            <w:r>
              <w:rPr>
                <w:rFonts w:ascii="宋体" w:hAnsi="宋体" w:eastAsia="宋体" w:cs="宋体"/>
                <w:b w:val="0"/>
                <w:bCs w:val="0"/>
                <w:color w:val="000000"/>
                <w:sz w:val="16"/>
                <w:szCs w:val="16"/>
              </w:rPr>
              <w:t>输入：反馈</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输出：待审核案例或运营线索</w:t>
            </w:r>
          </w:p>
        </w:tc>
        <w:tc>
          <w:tcPr>
            <w:tcW w:w="2000" w:type="dxa"/>
            <w:shd w:val="clear" w:color="auto" w:fill="FFFFFF"/>
            <w:vAlign w:val="center"/>
          </w:tcPr>
          <w:p w14:paraId="4A03F8D2">
            <w:pPr>
              <w:spacing w:before="0" w:after="0" w:line="240" w:lineRule="auto"/>
              <w:ind w:left="0" w:right="0" w:firstLine="0" w:firstLineChars="0"/>
              <w:jc w:val="left"/>
            </w:pPr>
            <w:r>
              <w:rPr>
                <w:rFonts w:ascii="宋体" w:hAnsi="宋体" w:eastAsia="宋体" w:cs="宋体"/>
                <w:b w:val="0"/>
                <w:bCs w:val="0"/>
                <w:color w:val="000000"/>
                <w:sz w:val="16"/>
                <w:szCs w:val="16"/>
              </w:rPr>
              <w:t>确认案例或补充实际原因的纠正线索按5.5.4及6.7审核验证，生效后补充能耗影响因素清单；与实际不符且未补原因的反馈按5.4.2及6.7运营跟进。</w:t>
            </w:r>
          </w:p>
        </w:tc>
        <w:tc>
          <w:tcPr>
            <w:tcW w:w="1072" w:type="dxa"/>
            <w:shd w:val="clear" w:color="auto" w:fill="FFFFFF"/>
            <w:vAlign w:val="center"/>
          </w:tcPr>
          <w:p w14:paraId="7BD04481">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2E4E6DA5">
            <w:pPr>
              <w:spacing w:before="0" w:after="0" w:line="240" w:lineRule="auto"/>
              <w:ind w:left="0" w:right="0" w:firstLine="0" w:firstLineChars="0"/>
              <w:jc w:val="left"/>
            </w:pPr>
            <w:r>
              <w:rPr>
                <w:rFonts w:ascii="宋体" w:hAnsi="宋体" w:eastAsia="宋体" w:cs="宋体"/>
                <w:b w:val="0"/>
                <w:bCs w:val="0"/>
                <w:color w:val="000000"/>
                <w:sz w:val="16"/>
                <w:szCs w:val="16"/>
              </w:rPr>
              <w:t>P-ZLTC-AI-WLPHGY-102-14-001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P-ZLTC-AI-ZNWS-101-06-001</w:t>
            </w:r>
          </w:p>
        </w:tc>
      </w:tr>
      <w:tr w14:paraId="21E0312C">
        <w:trPr>
          <w:cantSplit/>
          <w:jc w:val="center"/>
        </w:trPr>
        <w:tc>
          <w:tcPr>
            <w:tcW w:w="650" w:type="dxa"/>
            <w:shd w:val="clear" w:color="auto" w:fill="FFFFFF"/>
            <w:vAlign w:val="center"/>
          </w:tcPr>
          <w:p w14:paraId="59059F43">
            <w:pPr>
              <w:spacing w:before="0" w:after="0" w:line="240" w:lineRule="auto"/>
              <w:ind w:left="0" w:right="0" w:firstLine="0" w:firstLineChars="0"/>
              <w:jc w:val="center"/>
            </w:pPr>
            <w:r>
              <w:rPr>
                <w:rFonts w:ascii="宋体" w:hAnsi="宋体" w:eastAsia="宋体" w:cs="宋体"/>
                <w:b w:val="0"/>
                <w:bCs w:val="0"/>
                <w:color w:val="000000"/>
                <w:sz w:val="16"/>
                <w:szCs w:val="16"/>
              </w:rPr>
              <w:t>13</w:t>
            </w:r>
          </w:p>
        </w:tc>
        <w:tc>
          <w:tcPr>
            <w:tcW w:w="1050" w:type="dxa"/>
            <w:shd w:val="clear" w:color="auto" w:fill="FFFFFF"/>
            <w:vAlign w:val="center"/>
          </w:tcPr>
          <w:p w14:paraId="62085EE9">
            <w:pPr>
              <w:spacing w:before="0" w:after="0" w:line="240" w:lineRule="auto"/>
              <w:ind w:left="0" w:right="0" w:firstLine="0" w:firstLineChars="0"/>
              <w:jc w:val="center"/>
            </w:pPr>
            <w:r>
              <w:rPr>
                <w:rFonts w:ascii="宋体" w:hAnsi="宋体" w:eastAsia="宋体" w:cs="宋体"/>
                <w:b w:val="0"/>
                <w:bCs w:val="0"/>
                <w:color w:val="000000"/>
                <w:sz w:val="16"/>
                <w:szCs w:val="16"/>
              </w:rPr>
              <w:t>运营核实责任信息</w:t>
            </w:r>
          </w:p>
        </w:tc>
        <w:tc>
          <w:tcPr>
            <w:tcW w:w="950" w:type="dxa"/>
            <w:shd w:val="clear" w:color="auto" w:fill="FFFFFF"/>
            <w:vAlign w:val="center"/>
          </w:tcPr>
          <w:p w14:paraId="47F13E6E">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4FD52097">
            <w:pPr>
              <w:spacing w:before="0" w:after="0" w:line="240" w:lineRule="auto"/>
              <w:ind w:left="0" w:right="0" w:firstLine="0" w:firstLineChars="0"/>
              <w:jc w:val="left"/>
            </w:pPr>
            <w:r>
              <w:rPr>
                <w:rFonts w:ascii="宋体" w:hAnsi="宋体" w:eastAsia="宋体" w:cs="宋体"/>
                <w:b w:val="0"/>
                <w:bCs w:val="0"/>
                <w:color w:val="000000"/>
                <w:sz w:val="16"/>
                <w:szCs w:val="16"/>
              </w:rPr>
              <w:t>输入：责任信息不满足</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输出：运营提醒</w:t>
            </w:r>
          </w:p>
        </w:tc>
        <w:tc>
          <w:tcPr>
            <w:tcW w:w="2000" w:type="dxa"/>
            <w:shd w:val="clear" w:color="auto" w:fill="FFFFFF"/>
            <w:vAlign w:val="center"/>
          </w:tcPr>
          <w:p w14:paraId="3F2EE395">
            <w:pPr>
              <w:spacing w:before="0" w:after="0" w:line="240" w:lineRule="auto"/>
              <w:ind w:left="0" w:right="0" w:firstLine="0" w:firstLineChars="0"/>
              <w:jc w:val="left"/>
            </w:pPr>
            <w:r>
              <w:rPr>
                <w:rFonts w:ascii="宋体" w:hAnsi="宋体" w:eastAsia="宋体" w:cs="宋体"/>
                <w:b w:val="0"/>
                <w:bCs w:val="0"/>
                <w:color w:val="000000"/>
                <w:sz w:val="16"/>
                <w:szCs w:val="16"/>
              </w:rPr>
              <w:t>报告保持归档，由运营核实责任人、业务身份与授权，补录相关信息并留存处理记录。</w:t>
            </w:r>
          </w:p>
        </w:tc>
        <w:tc>
          <w:tcPr>
            <w:tcW w:w="1072" w:type="dxa"/>
            <w:shd w:val="clear" w:color="auto" w:fill="FFFFFF"/>
            <w:vAlign w:val="center"/>
          </w:tcPr>
          <w:p w14:paraId="0F824300">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63DE1669">
            <w:pPr>
              <w:spacing w:before="0" w:after="0" w:line="240" w:lineRule="auto"/>
              <w:ind w:left="0" w:right="0" w:firstLine="0" w:firstLineChars="0"/>
              <w:jc w:val="left"/>
            </w:pPr>
            <w:r>
              <w:rPr>
                <w:rFonts w:ascii="宋体" w:hAnsi="宋体" w:eastAsia="宋体" w:cs="宋体"/>
                <w:b w:val="0"/>
                <w:bCs w:val="0"/>
                <w:color w:val="000000"/>
                <w:sz w:val="16"/>
                <w:szCs w:val="16"/>
              </w:rPr>
              <w:t>P-ZLTC-AI-WLPHGY-102-11-001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bl>
    <w:p w14:paraId="7200000C">
      <w:pPr>
        <w:pStyle w:val="4"/>
        <w:snapToGrid w:val="0"/>
      </w:pPr>
      <w:bookmarkStart w:id="16" w:name="s3_2_4"/>
      <w:r>
        <w:rPr>
          <w:rFonts w:ascii="黑体" w:hAnsi="黑体" w:eastAsia="黑体" w:cs="黑体"/>
          <w:b/>
          <w:color w:val="000000"/>
        </w:rPr>
        <w:t>3.2.4　工序物料衡算</w:t>
      </w:r>
      <w:bookmarkEnd w:id="16"/>
    </w:p>
    <w:p w14:paraId="720003DA">
      <w:pPr>
        <w:keepNext/>
        <w:keepLines/>
        <w:shd w:val="clear" w:fill="DEE6EF"/>
        <w:snapToGrid w:val="0"/>
        <w:spacing w:before="0" w:after="0" w:line="240" w:lineRule="auto"/>
        <w:ind w:left="142" w:right="142" w:firstLine="0" w:firstLineChars="0"/>
        <w:jc w:val="left"/>
      </w:pPr>
      <w:r>
        <w:rPr>
          <w:rFonts w:ascii="宋体" w:hAnsi="宋体" w:eastAsia="宋体" w:cs="宋体"/>
          <w:b/>
          <w:color w:val="000000"/>
          <w:sz w:val="18"/>
          <w:szCs w:val="18"/>
        </w:rPr>
        <w:t>流程编号及名称：P-ZLTC-AI-GXWLHS-105  物料衡算流程</w:t>
      </w:r>
    </w:p>
    <w:p w14:paraId="7BFEBE0D">
      <w:pPr>
        <w:pStyle w:val="17"/>
        <w:keepNext/>
        <w:keepLines/>
        <w:snapToGrid w:val="0"/>
        <w:spacing w:before="0" w:after="0" w:line="240" w:lineRule="auto"/>
        <w:ind w:left="0" w:right="0" w:firstLine="0" w:firstLineChars="0"/>
        <w:jc w:val="center"/>
      </w:pPr>
      <w:r>
        <w:drawing>
          <wp:inline distT="0" distB="0" distL="114300" distR="114300">
            <wp:extent cx="5579745" cy="3310255"/>
            <wp:effectExtent l="0" t="0" r="0" b="0"/>
            <wp:docPr id="7" name="P-ZLTC-AI-GXWLHS-105 物料衡算流程" descr="P-ZLTC-AI-GXWLHS-105 物料衡算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ZLTC-AI-GXWLHS-105 物料衡算流程" descr="P-ZLTC-AI-GXWLHS-105 物料衡算流程"/>
                    <pic:cNvPicPr>
                      <a:picLocks noChangeAspect="1"/>
                    </pic:cNvPicPr>
                  </pic:nvPicPr>
                  <pic:blipFill>
                    <a:blip r:embed="rId15"/>
                    <a:srcRect t="5542"/>
                    <a:stretch>
                      <a:fillRect/>
                    </a:stretch>
                  </pic:blipFill>
                  <pic:spPr>
                    <a:xfrm>
                      <a:off x="0" y="0"/>
                      <a:ext cx="5579745" cy="3310342"/>
                    </a:xfrm>
                    <a:prstGeom prst="rect">
                      <a:avLst/>
                    </a:prstGeom>
                    <a:noFill/>
                    <a:ln>
                      <a:noFill/>
                    </a:ln>
                  </pic:spPr>
                </pic:pic>
              </a:graphicData>
            </a:graphic>
          </wp:inline>
        </w:drawing>
      </w:r>
    </w:p>
    <w:p w14:paraId="39194163">
      <w:pPr>
        <w:pStyle w:val="17"/>
        <w:keepNext w:val="0"/>
        <w:spacing w:after="40"/>
        <w:jc w:val="center"/>
        <w:rPr>
          <w:highlight w:val="none"/>
        </w:rPr>
      </w:pPr>
      <w:r>
        <w:rPr>
          <w:rFonts w:ascii="宋体" w:hAnsi="宋体" w:eastAsia="宋体"/>
          <w:sz w:val="21"/>
          <w:highlight w:val="none"/>
        </w:rPr>
        <w:t>图3-5　物料衡算流程图</w:t>
      </w:r>
    </w:p>
    <w:p w14:paraId="2420CBB6">
      <w:pPr>
        <w:pStyle w:val="17"/>
        <w:keepNext/>
        <w:spacing w:after="40"/>
        <w:jc w:val="center"/>
        <w:rPr>
          <w:highlight w:val="none"/>
        </w:rPr>
      </w:pPr>
      <w:r>
        <w:rPr>
          <w:rFonts w:ascii="宋体" w:hAnsi="宋体" w:eastAsia="宋体"/>
          <w:sz w:val="21"/>
          <w:highlight w:val="none"/>
        </w:rPr>
        <w:t>表3-5　物料衡算流程描述</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7E551CEA">
        <w:trPr>
          <w:cantSplit/>
          <w:tblHeader/>
          <w:jc w:val="center"/>
        </w:trPr>
        <w:tc>
          <w:tcPr>
            <w:tcW w:w="650" w:type="dxa"/>
            <w:shd w:val="clear" w:color="auto" w:fill="FFFFFF"/>
            <w:tcMar>
              <w:top w:w="0" w:type="dxa"/>
              <w:left w:w="108" w:type="dxa"/>
              <w:bottom w:w="0" w:type="dxa"/>
              <w:right w:w="108" w:type="dxa"/>
            </w:tcMar>
            <w:vAlign w:val="center"/>
          </w:tcPr>
          <w:p w14:paraId="05F45754">
            <w:pPr>
              <w:pStyle w:val="17"/>
              <w:keepNext/>
              <w:spacing w:before="0" w:after="0" w:line="240" w:lineRule="auto"/>
              <w:jc w:val="center"/>
              <w:rPr>
                <w:highlight w:val="none"/>
              </w:rPr>
            </w:pPr>
            <w:r>
              <w:rPr>
                <w:rFonts w:ascii="宋体" w:hAnsi="宋体" w:eastAsia="宋体" w:cs="宋体"/>
                <w:b/>
                <w:bCs/>
                <w:color w:val="000000"/>
                <w:sz w:val="16"/>
                <w:highlight w:val="none"/>
              </w:rPr>
              <w:t>步骤编号</w:t>
            </w:r>
          </w:p>
        </w:tc>
        <w:tc>
          <w:tcPr>
            <w:tcW w:w="1050" w:type="dxa"/>
            <w:shd w:val="clear" w:color="auto" w:fill="FFFFFF"/>
            <w:tcMar>
              <w:top w:w="0" w:type="dxa"/>
              <w:left w:w="108" w:type="dxa"/>
              <w:bottom w:w="0" w:type="dxa"/>
              <w:right w:w="108" w:type="dxa"/>
            </w:tcMar>
            <w:vAlign w:val="center"/>
          </w:tcPr>
          <w:p w14:paraId="133E4F01">
            <w:pPr>
              <w:pStyle w:val="17"/>
              <w:keepNext/>
              <w:spacing w:before="0" w:after="0" w:line="240" w:lineRule="auto"/>
              <w:jc w:val="center"/>
              <w:rPr>
                <w:highlight w:val="none"/>
              </w:rPr>
            </w:pPr>
            <w:r>
              <w:rPr>
                <w:rFonts w:ascii="宋体" w:hAnsi="宋体" w:eastAsia="宋体" w:cs="宋体"/>
                <w:b/>
                <w:bCs/>
                <w:color w:val="000000"/>
                <w:sz w:val="16"/>
                <w:highlight w:val="none"/>
              </w:rPr>
              <w:t>节点名称</w:t>
            </w:r>
          </w:p>
        </w:tc>
        <w:tc>
          <w:tcPr>
            <w:tcW w:w="950" w:type="dxa"/>
            <w:shd w:val="clear" w:color="auto" w:fill="FFFFFF"/>
            <w:tcMar>
              <w:top w:w="0" w:type="dxa"/>
              <w:left w:w="108" w:type="dxa"/>
              <w:bottom w:w="0" w:type="dxa"/>
              <w:right w:w="108" w:type="dxa"/>
            </w:tcMar>
            <w:vAlign w:val="center"/>
          </w:tcPr>
          <w:p w14:paraId="735331CE">
            <w:pPr>
              <w:pStyle w:val="17"/>
              <w:keepNext/>
              <w:spacing w:before="0" w:after="0" w:line="240" w:lineRule="auto"/>
              <w:jc w:val="center"/>
              <w:rPr>
                <w:highlight w:val="none"/>
              </w:rPr>
            </w:pPr>
            <w:r>
              <w:rPr>
                <w:rFonts w:ascii="宋体" w:hAnsi="宋体" w:eastAsia="宋体" w:cs="宋体"/>
                <w:b/>
                <w:bCs/>
                <w:color w:val="000000"/>
                <w:sz w:val="16"/>
                <w:highlight w:val="none"/>
              </w:rPr>
              <w:t>责任节点</w:t>
            </w:r>
          </w:p>
        </w:tc>
        <w:tc>
          <w:tcPr>
            <w:tcW w:w="1350" w:type="dxa"/>
            <w:shd w:val="clear" w:color="auto" w:fill="FFFFFF"/>
            <w:tcMar>
              <w:top w:w="0" w:type="dxa"/>
              <w:left w:w="108" w:type="dxa"/>
              <w:bottom w:w="0" w:type="dxa"/>
              <w:right w:w="108" w:type="dxa"/>
            </w:tcMar>
            <w:vAlign w:val="center"/>
          </w:tcPr>
          <w:p w14:paraId="2F82BEBC">
            <w:pPr>
              <w:pStyle w:val="17"/>
              <w:keepNext/>
              <w:spacing w:before="0" w:after="0" w:line="240" w:lineRule="auto"/>
              <w:jc w:val="center"/>
              <w:rPr>
                <w:highlight w:val="none"/>
              </w:rPr>
            </w:pPr>
            <w:r>
              <w:rPr>
                <w:rFonts w:ascii="宋体" w:hAnsi="宋体" w:eastAsia="宋体" w:cs="宋体"/>
                <w:b/>
                <w:bCs/>
                <w:color w:val="000000"/>
                <w:sz w:val="16"/>
                <w:highlight w:val="none"/>
              </w:rPr>
              <w:t>输入/输出</w:t>
            </w:r>
          </w:p>
        </w:tc>
        <w:tc>
          <w:tcPr>
            <w:tcW w:w="2000" w:type="dxa"/>
            <w:shd w:val="clear" w:color="auto" w:fill="FFFFFF"/>
            <w:tcMar>
              <w:top w:w="0" w:type="dxa"/>
              <w:left w:w="108" w:type="dxa"/>
              <w:bottom w:w="0" w:type="dxa"/>
              <w:right w:w="108" w:type="dxa"/>
            </w:tcMar>
            <w:vAlign w:val="center"/>
          </w:tcPr>
          <w:p w14:paraId="19850C98">
            <w:pPr>
              <w:pStyle w:val="17"/>
              <w:keepNext/>
              <w:spacing w:before="0" w:after="0" w:line="240" w:lineRule="auto"/>
              <w:jc w:val="center"/>
              <w:rPr>
                <w:highlight w:val="none"/>
              </w:rPr>
            </w:pPr>
            <w:r>
              <w:rPr>
                <w:rFonts w:ascii="宋体" w:hAnsi="宋体" w:eastAsia="宋体" w:cs="宋体"/>
                <w:b/>
                <w:bCs/>
                <w:color w:val="000000"/>
                <w:sz w:val="16"/>
                <w:highlight w:val="none"/>
              </w:rPr>
              <w:t>处理说明</w:t>
            </w:r>
          </w:p>
        </w:tc>
        <w:tc>
          <w:tcPr>
            <w:tcW w:w="1072" w:type="dxa"/>
            <w:shd w:val="clear" w:color="auto" w:fill="FFFFFF"/>
            <w:tcMar>
              <w:top w:w="0" w:type="dxa"/>
              <w:left w:w="108" w:type="dxa"/>
              <w:bottom w:w="0" w:type="dxa"/>
              <w:right w:w="108" w:type="dxa"/>
            </w:tcMar>
            <w:vAlign w:val="center"/>
          </w:tcPr>
          <w:p w14:paraId="295F32B2">
            <w:pPr>
              <w:pStyle w:val="17"/>
              <w:keepNext/>
              <w:spacing w:before="0" w:after="0" w:line="240" w:lineRule="auto"/>
              <w:jc w:val="center"/>
              <w:rPr>
                <w:highlight w:val="none"/>
              </w:rPr>
            </w:pPr>
            <w:r>
              <w:rPr>
                <w:rFonts w:ascii="宋体" w:hAnsi="宋体" w:eastAsia="宋体" w:cs="宋体"/>
                <w:b/>
                <w:bCs/>
                <w:color w:val="000000"/>
                <w:sz w:val="16"/>
                <w:highlight w:val="none"/>
              </w:rPr>
              <w:t>异常/分支</w:t>
            </w:r>
          </w:p>
        </w:tc>
        <w:tc>
          <w:tcPr>
            <w:tcW w:w="2000" w:type="dxa"/>
            <w:shd w:val="clear" w:color="auto" w:fill="FFFFFF"/>
            <w:tcMar>
              <w:top w:w="0" w:type="dxa"/>
              <w:left w:w="108" w:type="dxa"/>
              <w:bottom w:w="0" w:type="dxa"/>
              <w:right w:w="108" w:type="dxa"/>
            </w:tcMar>
            <w:vAlign w:val="center"/>
          </w:tcPr>
          <w:p w14:paraId="7DE2EC26">
            <w:pPr>
              <w:pStyle w:val="17"/>
              <w:keepNext/>
              <w:spacing w:before="0" w:after="0" w:line="240" w:lineRule="auto"/>
              <w:jc w:val="center"/>
              <w:rPr>
                <w:highlight w:val="none"/>
              </w:rPr>
            </w:pPr>
            <w:r>
              <w:rPr>
                <w:rFonts w:ascii="宋体" w:hAnsi="宋体" w:eastAsia="宋体" w:cs="宋体"/>
                <w:b/>
                <w:bCs/>
                <w:color w:val="000000"/>
                <w:sz w:val="16"/>
                <w:highlight w:val="none"/>
              </w:rPr>
              <w:t>关联规则</w:t>
            </w:r>
          </w:p>
        </w:tc>
      </w:tr>
      <w:tr w14:paraId="2D51AB36">
        <w:trPr>
          <w:cantSplit/>
          <w:jc w:val="center"/>
        </w:trPr>
        <w:tc>
          <w:tcPr>
            <w:tcW w:w="650" w:type="dxa"/>
            <w:shd w:val="clear" w:color="auto" w:fill="FFFFFF"/>
            <w:tcMar>
              <w:top w:w="0" w:type="dxa"/>
              <w:left w:w="108" w:type="dxa"/>
              <w:bottom w:w="0" w:type="dxa"/>
              <w:right w:w="108" w:type="dxa"/>
            </w:tcMar>
            <w:vAlign w:val="center"/>
          </w:tcPr>
          <w:p w14:paraId="3AB7A933">
            <w:pPr>
              <w:pStyle w:val="17"/>
              <w:spacing w:before="0" w:after="0" w:line="240" w:lineRule="auto"/>
              <w:jc w:val="center"/>
              <w:rPr>
                <w:highlight w:val="none"/>
              </w:rPr>
            </w:pPr>
            <w:r>
              <w:rPr>
                <w:rFonts w:ascii="宋体" w:hAnsi="宋体" w:eastAsia="宋体" w:cs="宋体"/>
                <w:b w:val="0"/>
                <w:color w:val="000000"/>
                <w:sz w:val="16"/>
                <w:highlight w:val="none"/>
              </w:rPr>
              <w:t>01</w:t>
            </w:r>
          </w:p>
        </w:tc>
        <w:tc>
          <w:tcPr>
            <w:tcW w:w="1050" w:type="dxa"/>
            <w:shd w:val="clear" w:color="auto" w:fill="FFFFFF"/>
            <w:tcMar>
              <w:top w:w="0" w:type="dxa"/>
              <w:left w:w="108" w:type="dxa"/>
              <w:bottom w:w="0" w:type="dxa"/>
              <w:right w:w="108" w:type="dxa"/>
            </w:tcMar>
            <w:vAlign w:val="center"/>
          </w:tcPr>
          <w:p w14:paraId="0666B819">
            <w:pPr>
              <w:pStyle w:val="17"/>
              <w:spacing w:before="0" w:after="0" w:line="240" w:lineRule="auto"/>
              <w:jc w:val="center"/>
              <w:rPr>
                <w:highlight w:val="none"/>
              </w:rPr>
            </w:pPr>
            <w:r>
              <w:rPr>
                <w:rFonts w:ascii="宋体" w:hAnsi="宋体" w:eastAsia="宋体" w:cs="宋体"/>
                <w:b w:val="0"/>
                <w:color w:val="000000"/>
                <w:sz w:val="16"/>
                <w:highlight w:val="none"/>
              </w:rPr>
              <w:t>定时触发报告生成</w:t>
            </w:r>
          </w:p>
        </w:tc>
        <w:tc>
          <w:tcPr>
            <w:tcW w:w="950" w:type="dxa"/>
            <w:shd w:val="clear" w:color="auto" w:fill="FFFFFF"/>
            <w:tcMar>
              <w:top w:w="0" w:type="dxa"/>
              <w:left w:w="108" w:type="dxa"/>
              <w:bottom w:w="0" w:type="dxa"/>
              <w:right w:w="108" w:type="dxa"/>
            </w:tcMar>
            <w:vAlign w:val="center"/>
          </w:tcPr>
          <w:p w14:paraId="2125DCA6">
            <w:pPr>
              <w:pStyle w:val="17"/>
              <w:spacing w:before="0" w:after="0" w:line="240" w:lineRule="auto"/>
              <w:jc w:val="center"/>
              <w:rPr>
                <w:highlight w:val="none"/>
              </w:rPr>
            </w:pPr>
            <w:r>
              <w:rPr>
                <w:rFonts w:ascii="宋体" w:hAnsi="宋体" w:eastAsia="宋体" w:cs="宋体"/>
                <w:b w:val="0"/>
                <w:color w:val="000000"/>
                <w:sz w:val="16"/>
                <w:highlight w:val="none"/>
              </w:rPr>
              <w:t>业务事件源或用户</w:t>
            </w:r>
          </w:p>
        </w:tc>
        <w:tc>
          <w:tcPr>
            <w:tcW w:w="1350" w:type="dxa"/>
            <w:shd w:val="clear" w:color="auto" w:fill="FFFFFF"/>
            <w:tcMar>
              <w:top w:w="0" w:type="dxa"/>
              <w:left w:w="108" w:type="dxa"/>
              <w:bottom w:w="0" w:type="dxa"/>
              <w:right w:w="108" w:type="dxa"/>
            </w:tcMar>
            <w:vAlign w:val="center"/>
          </w:tcPr>
          <w:p w14:paraId="361052EC">
            <w:pPr>
              <w:pStyle w:val="17"/>
              <w:spacing w:before="0" w:after="0" w:line="240" w:lineRule="auto"/>
              <w:jc w:val="left"/>
              <w:rPr>
                <w:highlight w:val="none"/>
              </w:rPr>
            </w:pPr>
            <w:r>
              <w:rPr>
                <w:rFonts w:ascii="宋体" w:hAnsi="宋体" w:eastAsia="宋体" w:cs="宋体"/>
                <w:b w:val="0"/>
                <w:color w:val="000000"/>
                <w:sz w:val="16"/>
                <w:highlight w:val="none"/>
              </w:rPr>
              <w:t>定时触发信号 → 核算任务</w:t>
            </w:r>
          </w:p>
        </w:tc>
        <w:tc>
          <w:tcPr>
            <w:tcW w:w="2000" w:type="dxa"/>
            <w:shd w:val="clear" w:color="auto" w:fill="FFFFFF"/>
            <w:tcMar>
              <w:top w:w="0" w:type="dxa"/>
              <w:left w:w="108" w:type="dxa"/>
              <w:bottom w:w="0" w:type="dxa"/>
              <w:right w:w="108" w:type="dxa"/>
            </w:tcMar>
            <w:vAlign w:val="center"/>
          </w:tcPr>
          <w:p w14:paraId="1F258B8A">
            <w:pPr>
              <w:pStyle w:val="17"/>
              <w:spacing w:before="0" w:after="0" w:line="240" w:lineRule="auto"/>
              <w:jc w:val="left"/>
              <w:rPr>
                <w:highlight w:val="none"/>
              </w:rPr>
            </w:pPr>
            <w:r>
              <w:rPr>
                <w:rFonts w:ascii="宋体" w:hAnsi="宋体" w:eastAsia="宋体" w:cs="宋体"/>
                <w:b w:val="0"/>
                <w:color w:val="000000"/>
                <w:sz w:val="16"/>
                <w:highlight w:val="none"/>
              </w:rPr>
              <w:t>按班次/日/周/月定时触发物料平衡报告生成任务，无需用户发起。</w:t>
            </w:r>
          </w:p>
        </w:tc>
        <w:tc>
          <w:tcPr>
            <w:tcW w:w="1072" w:type="dxa"/>
            <w:shd w:val="clear" w:color="auto" w:fill="FFFFFF"/>
            <w:tcMar>
              <w:top w:w="0" w:type="dxa"/>
              <w:left w:w="108" w:type="dxa"/>
              <w:bottom w:w="0" w:type="dxa"/>
              <w:right w:w="108" w:type="dxa"/>
            </w:tcMar>
            <w:vAlign w:val="center"/>
          </w:tcPr>
          <w:p w14:paraId="2B40E812">
            <w:pPr>
              <w:pStyle w:val="17"/>
              <w:spacing w:before="0" w:after="0" w:line="240" w:lineRule="auto"/>
              <w:jc w:val="left"/>
              <w:rPr>
                <w:highlight w:val="none"/>
              </w:rPr>
            </w:pPr>
            <w:r>
              <w:rPr>
                <w:rFonts w:ascii="宋体" w:hAnsi="宋体" w:eastAsia="宋体" w:cs="宋体"/>
                <w:b w:val="0"/>
                <w:color w:val="000000"/>
                <w:sz w:val="16"/>
                <w:highlight w:val="none"/>
              </w:rPr>
              <w:t>进入02。</w:t>
            </w:r>
          </w:p>
        </w:tc>
        <w:tc>
          <w:tcPr>
            <w:tcW w:w="2000" w:type="dxa"/>
            <w:shd w:val="clear" w:color="auto" w:fill="FFFFFF"/>
            <w:tcMar>
              <w:top w:w="0" w:type="dxa"/>
              <w:left w:w="108" w:type="dxa"/>
              <w:bottom w:w="0" w:type="dxa"/>
              <w:right w:w="108" w:type="dxa"/>
            </w:tcMar>
            <w:vAlign w:val="center"/>
          </w:tcPr>
          <w:p w14:paraId="10443368">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724010DE">
        <w:trPr>
          <w:cantSplit/>
          <w:jc w:val="center"/>
        </w:trPr>
        <w:tc>
          <w:tcPr>
            <w:tcW w:w="650" w:type="dxa"/>
            <w:shd w:val="clear" w:color="auto" w:fill="FFFFFF"/>
            <w:tcMar>
              <w:top w:w="0" w:type="dxa"/>
              <w:left w:w="108" w:type="dxa"/>
              <w:bottom w:w="0" w:type="dxa"/>
              <w:right w:w="108" w:type="dxa"/>
            </w:tcMar>
            <w:vAlign w:val="center"/>
          </w:tcPr>
          <w:p w14:paraId="33819AFB">
            <w:pPr>
              <w:pStyle w:val="17"/>
              <w:spacing w:before="0" w:after="0" w:line="240" w:lineRule="auto"/>
              <w:jc w:val="center"/>
              <w:rPr>
                <w:highlight w:val="none"/>
              </w:rPr>
            </w:pPr>
            <w:r>
              <w:rPr>
                <w:rFonts w:ascii="宋体" w:hAnsi="宋体" w:eastAsia="宋体" w:cs="宋体"/>
                <w:b w:val="0"/>
                <w:color w:val="000000"/>
                <w:sz w:val="16"/>
                <w:highlight w:val="none"/>
              </w:rPr>
              <w:t>02</w:t>
            </w:r>
          </w:p>
        </w:tc>
        <w:tc>
          <w:tcPr>
            <w:tcW w:w="1050" w:type="dxa"/>
            <w:shd w:val="clear" w:color="auto" w:fill="FFFFFF"/>
            <w:tcMar>
              <w:top w:w="0" w:type="dxa"/>
              <w:left w:w="108" w:type="dxa"/>
              <w:bottom w:w="0" w:type="dxa"/>
              <w:right w:w="108" w:type="dxa"/>
            </w:tcMar>
            <w:vAlign w:val="center"/>
          </w:tcPr>
          <w:p w14:paraId="30B6A174">
            <w:pPr>
              <w:pStyle w:val="17"/>
              <w:spacing w:before="0" w:after="0" w:line="240" w:lineRule="auto"/>
              <w:jc w:val="center"/>
              <w:rPr>
                <w:highlight w:val="none"/>
              </w:rPr>
            </w:pPr>
            <w:r>
              <w:rPr>
                <w:rFonts w:ascii="宋体" w:hAnsi="宋体" w:eastAsia="宋体" w:cs="宋体"/>
                <w:b w:val="0"/>
                <w:color w:val="000000"/>
                <w:sz w:val="16"/>
                <w:highlight w:val="none"/>
              </w:rPr>
              <w:t>计量口径与数据校验</w:t>
            </w:r>
          </w:p>
        </w:tc>
        <w:tc>
          <w:tcPr>
            <w:tcW w:w="950" w:type="dxa"/>
            <w:shd w:val="clear" w:color="auto" w:fill="FFFFFF"/>
            <w:tcMar>
              <w:top w:w="0" w:type="dxa"/>
              <w:left w:w="108" w:type="dxa"/>
              <w:bottom w:w="0" w:type="dxa"/>
              <w:right w:w="108" w:type="dxa"/>
            </w:tcMar>
            <w:vAlign w:val="center"/>
          </w:tcPr>
          <w:p w14:paraId="4A77BA81">
            <w:pPr>
              <w:pStyle w:val="17"/>
              <w:spacing w:before="0" w:after="0" w:line="240" w:lineRule="auto"/>
              <w:jc w:val="center"/>
              <w:rPr>
                <w:highlight w:val="none"/>
              </w:rPr>
            </w:pPr>
            <w:r>
              <w:rPr>
                <w:rFonts w:ascii="宋体" w:hAnsi="宋体" w:eastAsia="宋体" w:cs="宋体"/>
                <w:b w:val="0"/>
                <w:color w:val="000000"/>
                <w:sz w:val="16"/>
                <w:highlight w:val="none"/>
              </w:rPr>
              <w:t>数据与模型服务</w:t>
            </w:r>
          </w:p>
        </w:tc>
        <w:tc>
          <w:tcPr>
            <w:tcW w:w="1350" w:type="dxa"/>
            <w:shd w:val="clear" w:color="auto" w:fill="FFFFFF"/>
            <w:tcMar>
              <w:top w:w="0" w:type="dxa"/>
              <w:left w:w="108" w:type="dxa"/>
              <w:bottom w:w="0" w:type="dxa"/>
              <w:right w:w="108" w:type="dxa"/>
            </w:tcMar>
            <w:vAlign w:val="center"/>
          </w:tcPr>
          <w:p w14:paraId="08B2C2EE">
            <w:pPr>
              <w:pStyle w:val="17"/>
              <w:spacing w:before="0" w:after="0" w:line="240" w:lineRule="auto"/>
              <w:jc w:val="left"/>
              <w:rPr>
                <w:highlight w:val="none"/>
              </w:rPr>
            </w:pPr>
            <w:r>
              <w:rPr>
                <w:rFonts w:ascii="宋体" w:hAnsi="宋体" w:eastAsia="宋体" w:cs="宋体"/>
                <w:b w:val="0"/>
                <w:color w:val="000000"/>
                <w:sz w:val="16"/>
                <w:highlight w:val="none"/>
              </w:rPr>
              <w:t>任务标签 → 统一口径的物料数据</w:t>
            </w:r>
          </w:p>
        </w:tc>
        <w:tc>
          <w:tcPr>
            <w:tcW w:w="2000" w:type="dxa"/>
            <w:shd w:val="clear" w:color="auto" w:fill="FFFFFF"/>
            <w:tcMar>
              <w:top w:w="0" w:type="dxa"/>
              <w:left w:w="108" w:type="dxa"/>
              <w:bottom w:w="0" w:type="dxa"/>
              <w:right w:w="108" w:type="dxa"/>
            </w:tcMar>
            <w:vAlign w:val="center"/>
          </w:tcPr>
          <w:p w14:paraId="486B779C">
            <w:pPr>
              <w:pStyle w:val="17"/>
              <w:spacing w:before="0" w:after="0" w:line="240" w:lineRule="auto"/>
              <w:jc w:val="left"/>
              <w:rPr>
                <w:highlight w:val="none"/>
              </w:rPr>
            </w:pPr>
            <w:r>
              <w:rPr>
                <w:rFonts w:ascii="宋体" w:hAnsi="宋体" w:eastAsia="宋体" w:cs="宋体"/>
                <w:b w:val="0"/>
                <w:color w:val="000000"/>
                <w:sz w:val="16"/>
                <w:highlight w:val="none"/>
              </w:rPr>
              <w:t>统一DCS流量、LIMS浓度/DS、MES批次与ERP数据的时间窗、批次与单位口径，校验完整性与合理性。</w:t>
            </w:r>
          </w:p>
        </w:tc>
        <w:tc>
          <w:tcPr>
            <w:tcW w:w="1072" w:type="dxa"/>
            <w:shd w:val="clear" w:color="auto" w:fill="FFFFFF"/>
            <w:tcMar>
              <w:top w:w="0" w:type="dxa"/>
              <w:left w:w="108" w:type="dxa"/>
              <w:bottom w:w="0" w:type="dxa"/>
              <w:right w:w="108" w:type="dxa"/>
            </w:tcMar>
            <w:vAlign w:val="center"/>
          </w:tcPr>
          <w:p w14:paraId="47C20B3E">
            <w:pPr>
              <w:pStyle w:val="17"/>
              <w:spacing w:before="0" w:after="0" w:line="240" w:lineRule="auto"/>
              <w:jc w:val="left"/>
              <w:rPr>
                <w:highlight w:val="none"/>
              </w:rPr>
            </w:pPr>
            <w:r>
              <w:rPr>
                <w:rFonts w:ascii="宋体" w:hAnsi="宋体" w:eastAsia="宋体" w:cs="宋体"/>
                <w:b w:val="0"/>
                <w:color w:val="000000"/>
                <w:sz w:val="16"/>
                <w:highlight w:val="none"/>
              </w:rPr>
              <w:t>数据齐备进入03；缺口进入04如实说明。</w:t>
            </w:r>
          </w:p>
        </w:tc>
        <w:tc>
          <w:tcPr>
            <w:tcW w:w="2000" w:type="dxa"/>
            <w:shd w:val="clear" w:color="auto" w:fill="FFFFFF"/>
            <w:tcMar>
              <w:top w:w="0" w:type="dxa"/>
              <w:left w:w="108" w:type="dxa"/>
              <w:bottom w:w="0" w:type="dxa"/>
              <w:right w:w="108" w:type="dxa"/>
            </w:tcMar>
            <w:vAlign w:val="center"/>
          </w:tcPr>
          <w:p w14:paraId="74985848">
            <w:pPr>
              <w:pStyle w:val="17"/>
              <w:spacing w:before="0" w:after="0" w:line="240" w:lineRule="auto"/>
              <w:jc w:val="left"/>
              <w:rPr>
                <w:highlight w:val="none"/>
              </w:rPr>
            </w:pPr>
            <w:r>
              <w:rPr>
                <w:rFonts w:ascii="宋体" w:hAnsi="宋体" w:eastAsia="宋体" w:cs="宋体"/>
                <w:b w:val="0"/>
                <w:color w:val="000000"/>
                <w:sz w:val="16"/>
                <w:highlight w:val="none"/>
              </w:rPr>
              <w:t>P-ZLTC-AI-GXWLHS-105-02-001</w:t>
            </w:r>
          </w:p>
        </w:tc>
      </w:tr>
      <w:tr w14:paraId="149615F8">
        <w:trPr>
          <w:cantSplit/>
          <w:jc w:val="center"/>
        </w:trPr>
        <w:tc>
          <w:tcPr>
            <w:tcW w:w="650" w:type="dxa"/>
            <w:shd w:val="clear" w:color="auto" w:fill="FFFFFF"/>
            <w:tcMar>
              <w:top w:w="0" w:type="dxa"/>
              <w:left w:w="108" w:type="dxa"/>
              <w:bottom w:w="0" w:type="dxa"/>
              <w:right w:w="108" w:type="dxa"/>
            </w:tcMar>
            <w:vAlign w:val="center"/>
          </w:tcPr>
          <w:p w14:paraId="56848054">
            <w:pPr>
              <w:pStyle w:val="17"/>
              <w:spacing w:before="0" w:after="0" w:line="240" w:lineRule="auto"/>
              <w:jc w:val="center"/>
              <w:rPr>
                <w:highlight w:val="none"/>
              </w:rPr>
            </w:pPr>
            <w:r>
              <w:rPr>
                <w:rFonts w:ascii="宋体" w:hAnsi="宋体" w:eastAsia="宋体" w:cs="宋体"/>
                <w:b w:val="0"/>
                <w:color w:val="000000"/>
                <w:sz w:val="16"/>
                <w:highlight w:val="none"/>
              </w:rPr>
              <w:t>03</w:t>
            </w:r>
          </w:p>
        </w:tc>
        <w:tc>
          <w:tcPr>
            <w:tcW w:w="1050" w:type="dxa"/>
            <w:shd w:val="clear" w:color="auto" w:fill="FFFFFF"/>
            <w:tcMar>
              <w:top w:w="0" w:type="dxa"/>
              <w:left w:w="108" w:type="dxa"/>
              <w:bottom w:w="0" w:type="dxa"/>
              <w:right w:w="108" w:type="dxa"/>
            </w:tcMar>
            <w:vAlign w:val="center"/>
          </w:tcPr>
          <w:p w14:paraId="0756E892">
            <w:pPr>
              <w:pStyle w:val="17"/>
              <w:spacing w:before="0" w:after="0" w:line="240" w:lineRule="auto"/>
              <w:jc w:val="center"/>
              <w:rPr>
                <w:highlight w:val="none"/>
              </w:rPr>
            </w:pPr>
            <w:r>
              <w:rPr>
                <w:rFonts w:ascii="宋体" w:hAnsi="宋体" w:eastAsia="宋体" w:cs="宋体"/>
                <w:b w:val="0"/>
                <w:color w:val="000000"/>
                <w:sz w:val="16"/>
                <w:highlight w:val="none"/>
              </w:rPr>
              <w:t>物料衡算与收率计算</w:t>
            </w:r>
          </w:p>
        </w:tc>
        <w:tc>
          <w:tcPr>
            <w:tcW w:w="950" w:type="dxa"/>
            <w:shd w:val="clear" w:color="auto" w:fill="FFFFFF"/>
            <w:tcMar>
              <w:top w:w="0" w:type="dxa"/>
              <w:left w:w="108" w:type="dxa"/>
              <w:bottom w:w="0" w:type="dxa"/>
              <w:right w:w="108" w:type="dxa"/>
            </w:tcMar>
            <w:vAlign w:val="center"/>
          </w:tcPr>
          <w:p w14:paraId="607D0437">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5F7B9330">
            <w:pPr>
              <w:pStyle w:val="17"/>
              <w:spacing w:before="0" w:after="0" w:line="240" w:lineRule="auto"/>
              <w:jc w:val="left"/>
              <w:rPr>
                <w:highlight w:val="none"/>
              </w:rPr>
            </w:pPr>
            <w:r>
              <w:rPr>
                <w:rFonts w:ascii="宋体" w:hAnsi="宋体" w:eastAsia="宋体" w:cs="宋体"/>
                <w:b w:val="0"/>
                <w:color w:val="000000"/>
                <w:sz w:val="16"/>
                <w:highlight w:val="none"/>
              </w:rPr>
              <w:t>物料数据 → 平衡结果、收率、损失率</w:t>
            </w:r>
          </w:p>
        </w:tc>
        <w:tc>
          <w:tcPr>
            <w:tcW w:w="2000" w:type="dxa"/>
            <w:shd w:val="clear" w:color="auto" w:fill="FFFFFF"/>
            <w:tcMar>
              <w:top w:w="0" w:type="dxa"/>
              <w:left w:w="108" w:type="dxa"/>
              <w:bottom w:w="0" w:type="dxa"/>
              <w:right w:w="108" w:type="dxa"/>
            </w:tcMar>
            <w:vAlign w:val="center"/>
          </w:tcPr>
          <w:p w14:paraId="7D8ABA6A">
            <w:pPr>
              <w:pStyle w:val="17"/>
              <w:spacing w:before="0" w:after="0" w:line="240" w:lineRule="auto"/>
              <w:jc w:val="left"/>
              <w:rPr>
                <w:highlight w:val="none"/>
              </w:rPr>
            </w:pPr>
            <w:r>
              <w:rPr>
                <w:rFonts w:ascii="宋体" w:hAnsi="宋体" w:eastAsia="宋体" w:cs="宋体"/>
                <w:b w:val="0"/>
                <w:color w:val="000000"/>
                <w:sz w:val="16"/>
                <w:highlight w:val="none"/>
              </w:rPr>
              <w:t>按干物质口径计算各工序输入、输出、收率与损失率；糖化、等组分转化环节按理论转换关系校正。</w:t>
            </w:r>
          </w:p>
        </w:tc>
        <w:tc>
          <w:tcPr>
            <w:tcW w:w="1072" w:type="dxa"/>
            <w:shd w:val="clear" w:color="auto" w:fill="FFFFFF"/>
            <w:tcMar>
              <w:top w:w="0" w:type="dxa"/>
              <w:left w:w="108" w:type="dxa"/>
              <w:bottom w:w="0" w:type="dxa"/>
              <w:right w:w="108" w:type="dxa"/>
            </w:tcMar>
            <w:vAlign w:val="center"/>
          </w:tcPr>
          <w:p w14:paraId="68F8D1EF">
            <w:pPr>
              <w:pStyle w:val="17"/>
              <w:spacing w:before="0" w:after="0" w:line="240" w:lineRule="auto"/>
              <w:jc w:val="left"/>
              <w:rPr>
                <w:highlight w:val="none"/>
              </w:rPr>
            </w:pPr>
            <w:r>
              <w:rPr>
                <w:rFonts w:ascii="宋体" w:hAnsi="宋体" w:eastAsia="宋体" w:cs="宋体"/>
                <w:b w:val="0"/>
                <w:color w:val="000000"/>
                <w:sz w:val="16"/>
                <w:highlight w:val="none"/>
              </w:rPr>
              <w:t>进入04；平衡结果同步作为06、07的分析数据基础。</w:t>
            </w:r>
          </w:p>
        </w:tc>
        <w:tc>
          <w:tcPr>
            <w:tcW w:w="2000" w:type="dxa"/>
            <w:shd w:val="clear" w:color="auto" w:fill="FFFFFF"/>
            <w:tcMar>
              <w:top w:w="0" w:type="dxa"/>
              <w:left w:w="108" w:type="dxa"/>
              <w:bottom w:w="0" w:type="dxa"/>
              <w:right w:w="108" w:type="dxa"/>
            </w:tcMar>
            <w:vAlign w:val="center"/>
          </w:tcPr>
          <w:p w14:paraId="11146A97">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589770C3">
        <w:trPr>
          <w:cantSplit/>
          <w:jc w:val="center"/>
        </w:trPr>
        <w:tc>
          <w:tcPr>
            <w:tcW w:w="650" w:type="dxa"/>
            <w:shd w:val="clear" w:color="auto" w:fill="FFFFFF"/>
            <w:tcMar>
              <w:top w:w="0" w:type="dxa"/>
              <w:left w:w="108" w:type="dxa"/>
              <w:bottom w:w="0" w:type="dxa"/>
              <w:right w:w="108" w:type="dxa"/>
            </w:tcMar>
            <w:vAlign w:val="center"/>
          </w:tcPr>
          <w:p w14:paraId="2D5014E1">
            <w:pPr>
              <w:pStyle w:val="17"/>
              <w:spacing w:before="0" w:after="0" w:line="240" w:lineRule="auto"/>
              <w:jc w:val="center"/>
              <w:rPr>
                <w:highlight w:val="none"/>
              </w:rPr>
            </w:pPr>
            <w:r>
              <w:rPr>
                <w:rFonts w:ascii="宋体" w:hAnsi="宋体" w:eastAsia="宋体" w:cs="宋体"/>
                <w:b w:val="0"/>
                <w:color w:val="000000"/>
                <w:sz w:val="16"/>
                <w:highlight w:val="none"/>
              </w:rPr>
              <w:t>04</w:t>
            </w:r>
          </w:p>
        </w:tc>
        <w:tc>
          <w:tcPr>
            <w:tcW w:w="1050" w:type="dxa"/>
            <w:shd w:val="clear" w:color="auto" w:fill="FFFFFF"/>
            <w:tcMar>
              <w:top w:w="0" w:type="dxa"/>
              <w:left w:w="108" w:type="dxa"/>
              <w:bottom w:w="0" w:type="dxa"/>
              <w:right w:w="108" w:type="dxa"/>
            </w:tcMar>
            <w:vAlign w:val="center"/>
          </w:tcPr>
          <w:p w14:paraId="7734C1A4">
            <w:pPr>
              <w:pStyle w:val="17"/>
              <w:spacing w:before="0" w:after="0" w:line="240" w:lineRule="auto"/>
              <w:jc w:val="center"/>
              <w:rPr>
                <w:highlight w:val="none"/>
              </w:rPr>
            </w:pPr>
            <w:r>
              <w:rPr>
                <w:rFonts w:ascii="宋体" w:hAnsi="宋体" w:eastAsia="宋体" w:cs="宋体"/>
                <w:b w:val="0"/>
                <w:color w:val="000000"/>
                <w:sz w:val="16"/>
                <w:highlight w:val="none"/>
              </w:rPr>
              <w:t>物料平衡报告生成与推送</w:t>
            </w:r>
          </w:p>
        </w:tc>
        <w:tc>
          <w:tcPr>
            <w:tcW w:w="950" w:type="dxa"/>
            <w:shd w:val="clear" w:color="auto" w:fill="FFFFFF"/>
            <w:tcMar>
              <w:top w:w="0" w:type="dxa"/>
              <w:left w:w="108" w:type="dxa"/>
              <w:bottom w:w="0" w:type="dxa"/>
              <w:right w:w="108" w:type="dxa"/>
            </w:tcMar>
            <w:vAlign w:val="center"/>
          </w:tcPr>
          <w:p w14:paraId="20CE5453">
            <w:pPr>
              <w:pStyle w:val="17"/>
              <w:spacing w:before="0" w:after="0" w:line="240" w:lineRule="auto"/>
              <w:jc w:val="center"/>
              <w:rPr>
                <w:highlight w:val="none"/>
              </w:rPr>
            </w:pPr>
            <w:r>
              <w:rPr>
                <w:rFonts w:ascii="宋体" w:hAnsi="宋体" w:eastAsia="宋体" w:cs="宋体"/>
                <w:b w:val="0"/>
                <w:color w:val="000000"/>
                <w:sz w:val="16"/>
                <w:highlight w:val="none"/>
              </w:rPr>
              <w:t>平台门户</w:t>
            </w:r>
          </w:p>
        </w:tc>
        <w:tc>
          <w:tcPr>
            <w:tcW w:w="1350" w:type="dxa"/>
            <w:shd w:val="clear" w:color="auto" w:fill="FFFFFF"/>
            <w:tcMar>
              <w:top w:w="0" w:type="dxa"/>
              <w:left w:w="108" w:type="dxa"/>
              <w:bottom w:w="0" w:type="dxa"/>
              <w:right w:w="108" w:type="dxa"/>
            </w:tcMar>
            <w:vAlign w:val="center"/>
          </w:tcPr>
          <w:p w14:paraId="7D5147FC">
            <w:pPr>
              <w:pStyle w:val="17"/>
              <w:spacing w:before="0" w:after="0" w:line="240" w:lineRule="auto"/>
              <w:jc w:val="left"/>
              <w:rPr>
                <w:highlight w:val="none"/>
              </w:rPr>
            </w:pPr>
            <w:r>
              <w:rPr>
                <w:rFonts w:ascii="宋体" w:hAnsi="宋体" w:eastAsia="宋体" w:cs="宋体"/>
                <w:b w:val="0"/>
                <w:color w:val="000000"/>
                <w:sz w:val="16"/>
                <w:highlight w:val="none"/>
              </w:rPr>
              <w:t>平衡结果 → 物料平衡报告</w:t>
            </w:r>
          </w:p>
        </w:tc>
        <w:tc>
          <w:tcPr>
            <w:tcW w:w="2000" w:type="dxa"/>
            <w:shd w:val="clear" w:color="auto" w:fill="FFFFFF"/>
            <w:tcMar>
              <w:top w:w="0" w:type="dxa"/>
              <w:left w:w="108" w:type="dxa"/>
              <w:bottom w:w="0" w:type="dxa"/>
              <w:right w:w="108" w:type="dxa"/>
            </w:tcMar>
            <w:vAlign w:val="center"/>
          </w:tcPr>
          <w:p w14:paraId="7C31E4C8">
            <w:pPr>
              <w:pStyle w:val="17"/>
              <w:spacing w:before="0" w:after="0" w:line="240" w:lineRule="auto"/>
              <w:jc w:val="left"/>
              <w:rPr>
                <w:highlight w:val="none"/>
              </w:rPr>
            </w:pPr>
            <w:r>
              <w:rPr>
                <w:rFonts w:ascii="宋体" w:hAnsi="宋体" w:eastAsia="宋体" w:cs="宋体"/>
                <w:b w:val="0"/>
                <w:color w:val="000000"/>
                <w:sz w:val="16"/>
                <w:highlight w:val="none"/>
              </w:rPr>
              <w:t>自动生成与现有管理口径一致的班/日/周/月物料平衡报告并推送，保留计算依据与版本信息。</w:t>
            </w:r>
          </w:p>
        </w:tc>
        <w:tc>
          <w:tcPr>
            <w:tcW w:w="1072" w:type="dxa"/>
            <w:shd w:val="clear" w:color="auto" w:fill="FFFFFF"/>
            <w:tcMar>
              <w:top w:w="0" w:type="dxa"/>
              <w:left w:w="108" w:type="dxa"/>
              <w:bottom w:w="0" w:type="dxa"/>
              <w:right w:w="108" w:type="dxa"/>
            </w:tcMar>
            <w:vAlign w:val="center"/>
          </w:tcPr>
          <w:p w14:paraId="29117286">
            <w:pPr>
              <w:pStyle w:val="17"/>
              <w:spacing w:before="0" w:after="0" w:line="240" w:lineRule="auto"/>
              <w:jc w:val="left"/>
              <w:rPr>
                <w:highlight w:val="none"/>
              </w:rPr>
            </w:pPr>
            <w:r>
              <w:rPr>
                <w:rFonts w:ascii="宋体" w:hAnsi="宋体" w:eastAsia="宋体" w:cs="宋体"/>
                <w:b w:val="0"/>
                <w:color w:val="000000"/>
                <w:sz w:val="16"/>
                <w:highlight w:val="none"/>
              </w:rPr>
              <w:t>结束。</w:t>
            </w:r>
          </w:p>
        </w:tc>
        <w:tc>
          <w:tcPr>
            <w:tcW w:w="2000" w:type="dxa"/>
            <w:shd w:val="clear" w:color="auto" w:fill="FFFFFF"/>
            <w:tcMar>
              <w:top w:w="0" w:type="dxa"/>
              <w:left w:w="108" w:type="dxa"/>
              <w:bottom w:w="0" w:type="dxa"/>
              <w:right w:w="108" w:type="dxa"/>
            </w:tcMar>
            <w:vAlign w:val="center"/>
          </w:tcPr>
          <w:p w14:paraId="39521ADC">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3B72DE44">
        <w:trPr>
          <w:cantSplit/>
          <w:jc w:val="center"/>
        </w:trPr>
        <w:tc>
          <w:tcPr>
            <w:tcW w:w="650" w:type="dxa"/>
            <w:shd w:val="clear" w:color="auto" w:fill="FFFFFF"/>
            <w:tcMar>
              <w:top w:w="0" w:type="dxa"/>
              <w:left w:w="108" w:type="dxa"/>
              <w:bottom w:w="0" w:type="dxa"/>
              <w:right w:w="108" w:type="dxa"/>
            </w:tcMar>
            <w:vAlign w:val="center"/>
          </w:tcPr>
          <w:p w14:paraId="48F3DA5A">
            <w:pPr>
              <w:pStyle w:val="17"/>
              <w:spacing w:before="0" w:after="0" w:line="240" w:lineRule="auto"/>
              <w:jc w:val="center"/>
              <w:rPr>
                <w:highlight w:val="none"/>
              </w:rPr>
            </w:pPr>
            <w:r>
              <w:rPr>
                <w:rFonts w:ascii="宋体" w:hAnsi="宋体" w:eastAsia="宋体" w:cs="宋体"/>
                <w:b w:val="0"/>
                <w:color w:val="000000"/>
                <w:sz w:val="16"/>
                <w:highlight w:val="none"/>
              </w:rPr>
              <w:t>05</w:t>
            </w:r>
          </w:p>
        </w:tc>
        <w:tc>
          <w:tcPr>
            <w:tcW w:w="1050" w:type="dxa"/>
            <w:shd w:val="clear" w:color="auto" w:fill="FFFFFF"/>
            <w:tcMar>
              <w:top w:w="0" w:type="dxa"/>
              <w:left w:w="108" w:type="dxa"/>
              <w:bottom w:w="0" w:type="dxa"/>
              <w:right w:w="108" w:type="dxa"/>
            </w:tcMar>
            <w:vAlign w:val="center"/>
          </w:tcPr>
          <w:p w14:paraId="371A4ECA">
            <w:pPr>
              <w:pStyle w:val="17"/>
              <w:spacing w:before="0" w:after="0" w:line="240" w:lineRule="auto"/>
              <w:jc w:val="center"/>
              <w:rPr>
                <w:highlight w:val="none"/>
              </w:rPr>
            </w:pPr>
            <w:r>
              <w:rPr>
                <w:rFonts w:ascii="宋体" w:hAnsi="宋体" w:eastAsia="宋体" w:cs="宋体"/>
                <w:b w:val="0"/>
                <w:color w:val="000000"/>
                <w:sz w:val="16"/>
                <w:highlight w:val="none"/>
              </w:rPr>
              <w:t>提出偏差或趋势查询</w:t>
            </w:r>
          </w:p>
        </w:tc>
        <w:tc>
          <w:tcPr>
            <w:tcW w:w="950" w:type="dxa"/>
            <w:shd w:val="clear" w:color="auto" w:fill="FFFFFF"/>
            <w:tcMar>
              <w:top w:w="0" w:type="dxa"/>
              <w:left w:w="108" w:type="dxa"/>
              <w:bottom w:w="0" w:type="dxa"/>
              <w:right w:w="108" w:type="dxa"/>
            </w:tcMar>
            <w:vAlign w:val="center"/>
          </w:tcPr>
          <w:p w14:paraId="33D88816">
            <w:pPr>
              <w:pStyle w:val="17"/>
              <w:spacing w:before="0" w:after="0" w:line="240" w:lineRule="auto"/>
              <w:jc w:val="center"/>
              <w:rPr>
                <w:highlight w:val="none"/>
              </w:rPr>
            </w:pPr>
            <w:r>
              <w:rPr>
                <w:rFonts w:ascii="宋体" w:hAnsi="宋体" w:eastAsia="宋体" w:cs="宋体"/>
                <w:b w:val="0"/>
                <w:color w:val="000000"/>
                <w:sz w:val="16"/>
                <w:highlight w:val="none"/>
              </w:rPr>
              <w:t>业务事件源或用户</w:t>
            </w:r>
          </w:p>
        </w:tc>
        <w:tc>
          <w:tcPr>
            <w:tcW w:w="1350" w:type="dxa"/>
            <w:shd w:val="clear" w:color="auto" w:fill="FFFFFF"/>
            <w:tcMar>
              <w:top w:w="0" w:type="dxa"/>
              <w:left w:w="108" w:type="dxa"/>
              <w:bottom w:w="0" w:type="dxa"/>
              <w:right w:w="108" w:type="dxa"/>
            </w:tcMar>
            <w:vAlign w:val="center"/>
          </w:tcPr>
          <w:p w14:paraId="70805D04">
            <w:pPr>
              <w:pStyle w:val="17"/>
              <w:spacing w:before="0" w:after="0" w:line="240" w:lineRule="auto"/>
              <w:jc w:val="left"/>
              <w:rPr>
                <w:highlight w:val="none"/>
              </w:rPr>
            </w:pPr>
            <w:r>
              <w:rPr>
                <w:rFonts w:ascii="宋体" w:hAnsi="宋体" w:eastAsia="宋体" w:cs="宋体"/>
                <w:b w:val="0"/>
                <w:color w:val="000000"/>
                <w:sz w:val="16"/>
                <w:highlight w:val="none"/>
              </w:rPr>
              <w:t>问题 → 分析请求</w:t>
            </w:r>
          </w:p>
        </w:tc>
        <w:tc>
          <w:tcPr>
            <w:tcW w:w="2000" w:type="dxa"/>
            <w:shd w:val="clear" w:color="auto" w:fill="FFFFFF"/>
            <w:tcMar>
              <w:top w:w="0" w:type="dxa"/>
              <w:left w:w="108" w:type="dxa"/>
              <w:bottom w:w="0" w:type="dxa"/>
              <w:right w:w="108" w:type="dxa"/>
            </w:tcMar>
            <w:vAlign w:val="center"/>
          </w:tcPr>
          <w:p w14:paraId="3715E9D4">
            <w:pPr>
              <w:pStyle w:val="17"/>
              <w:spacing w:before="0" w:after="0" w:line="240" w:lineRule="auto"/>
              <w:jc w:val="left"/>
              <w:rPr>
                <w:highlight w:val="none"/>
              </w:rPr>
            </w:pPr>
            <w:r>
              <w:rPr>
                <w:rFonts w:ascii="宋体" w:hAnsi="宋体" w:eastAsia="宋体" w:cs="宋体"/>
                <w:b w:val="0"/>
                <w:color w:val="000000"/>
                <w:sz w:val="16"/>
                <w:highlight w:val="none"/>
              </w:rPr>
              <w:t>用户查询某工序损失异常或损失趋势。</w:t>
            </w:r>
          </w:p>
        </w:tc>
        <w:tc>
          <w:tcPr>
            <w:tcW w:w="1072" w:type="dxa"/>
            <w:shd w:val="clear" w:color="auto" w:fill="FFFFFF"/>
            <w:tcMar>
              <w:top w:w="0" w:type="dxa"/>
              <w:left w:w="108" w:type="dxa"/>
              <w:bottom w:w="0" w:type="dxa"/>
              <w:right w:w="108" w:type="dxa"/>
            </w:tcMar>
            <w:vAlign w:val="center"/>
          </w:tcPr>
          <w:p w14:paraId="7FA6DF54">
            <w:pPr>
              <w:pStyle w:val="17"/>
              <w:spacing w:before="0" w:after="0" w:line="240" w:lineRule="auto"/>
              <w:jc w:val="left"/>
              <w:rPr>
                <w:highlight w:val="none"/>
              </w:rPr>
            </w:pPr>
            <w:r>
              <w:rPr>
                <w:rFonts w:ascii="宋体" w:hAnsi="宋体" w:eastAsia="宋体" w:cs="宋体"/>
                <w:b w:val="0"/>
                <w:color w:val="000000"/>
                <w:sz w:val="16"/>
                <w:highlight w:val="none"/>
              </w:rPr>
              <w:t>偏差查询进入06；趋势查询进入07。</w:t>
            </w:r>
          </w:p>
        </w:tc>
        <w:tc>
          <w:tcPr>
            <w:tcW w:w="2000" w:type="dxa"/>
            <w:shd w:val="clear" w:color="auto" w:fill="FFFFFF"/>
            <w:tcMar>
              <w:top w:w="0" w:type="dxa"/>
              <w:left w:w="108" w:type="dxa"/>
              <w:bottom w:w="0" w:type="dxa"/>
              <w:right w:w="108" w:type="dxa"/>
            </w:tcMar>
            <w:vAlign w:val="center"/>
          </w:tcPr>
          <w:p w14:paraId="417A9DED">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49AEFFD0">
        <w:trPr>
          <w:cantSplit/>
          <w:jc w:val="center"/>
        </w:trPr>
        <w:tc>
          <w:tcPr>
            <w:tcW w:w="650" w:type="dxa"/>
            <w:shd w:val="clear" w:color="auto" w:fill="FFFFFF"/>
            <w:tcMar>
              <w:top w:w="0" w:type="dxa"/>
              <w:left w:w="108" w:type="dxa"/>
              <w:bottom w:w="0" w:type="dxa"/>
              <w:right w:w="108" w:type="dxa"/>
            </w:tcMar>
            <w:vAlign w:val="center"/>
          </w:tcPr>
          <w:p w14:paraId="7646329B">
            <w:pPr>
              <w:pStyle w:val="17"/>
              <w:spacing w:before="0" w:after="0" w:line="240" w:lineRule="auto"/>
              <w:jc w:val="center"/>
              <w:rPr>
                <w:highlight w:val="none"/>
              </w:rPr>
            </w:pPr>
            <w:r>
              <w:rPr>
                <w:rFonts w:ascii="宋体" w:hAnsi="宋体" w:eastAsia="宋体" w:cs="宋体"/>
                <w:b w:val="0"/>
                <w:color w:val="000000"/>
                <w:sz w:val="16"/>
                <w:highlight w:val="none"/>
              </w:rPr>
              <w:t>06</w:t>
            </w:r>
          </w:p>
        </w:tc>
        <w:tc>
          <w:tcPr>
            <w:tcW w:w="1050" w:type="dxa"/>
            <w:shd w:val="clear" w:color="auto" w:fill="FFFFFF"/>
            <w:tcMar>
              <w:top w:w="0" w:type="dxa"/>
              <w:left w:w="108" w:type="dxa"/>
              <w:bottom w:w="0" w:type="dxa"/>
              <w:right w:w="108" w:type="dxa"/>
            </w:tcMar>
            <w:vAlign w:val="center"/>
          </w:tcPr>
          <w:p w14:paraId="66999CD2">
            <w:pPr>
              <w:pStyle w:val="17"/>
              <w:spacing w:before="0" w:after="0" w:line="240" w:lineRule="auto"/>
              <w:jc w:val="center"/>
              <w:rPr>
                <w:highlight w:val="none"/>
              </w:rPr>
            </w:pPr>
            <w:r>
              <w:rPr>
                <w:rFonts w:ascii="宋体" w:hAnsi="宋体" w:eastAsia="宋体" w:cs="宋体"/>
                <w:b w:val="0"/>
                <w:color w:val="000000"/>
                <w:sz w:val="16"/>
                <w:highlight w:val="none"/>
              </w:rPr>
              <w:t>平衡偏差检测与定性分析</w:t>
            </w:r>
          </w:p>
        </w:tc>
        <w:tc>
          <w:tcPr>
            <w:tcW w:w="950" w:type="dxa"/>
            <w:shd w:val="clear" w:color="auto" w:fill="FFFFFF"/>
            <w:tcMar>
              <w:top w:w="0" w:type="dxa"/>
              <w:left w:w="108" w:type="dxa"/>
              <w:bottom w:w="0" w:type="dxa"/>
              <w:right w:w="108" w:type="dxa"/>
            </w:tcMar>
            <w:vAlign w:val="center"/>
          </w:tcPr>
          <w:p w14:paraId="69F16A2C">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0B7AB957">
            <w:pPr>
              <w:pStyle w:val="17"/>
              <w:spacing w:before="0" w:after="0" w:line="240" w:lineRule="auto"/>
              <w:jc w:val="left"/>
              <w:rPr>
                <w:highlight w:val="none"/>
              </w:rPr>
            </w:pPr>
            <w:r>
              <w:rPr>
                <w:rFonts w:ascii="宋体" w:hAnsi="宋体" w:eastAsia="宋体" w:cs="宋体"/>
                <w:b w:val="0"/>
                <w:color w:val="000000"/>
                <w:sz w:val="16"/>
                <w:highlight w:val="none"/>
              </w:rPr>
              <w:t>平衡结果、设备状态 → 异常工序与原因排序</w:t>
            </w:r>
          </w:p>
        </w:tc>
        <w:tc>
          <w:tcPr>
            <w:tcW w:w="2000" w:type="dxa"/>
            <w:shd w:val="clear" w:color="auto" w:fill="FFFFFF"/>
            <w:tcMar>
              <w:top w:w="0" w:type="dxa"/>
              <w:left w:w="108" w:type="dxa"/>
              <w:bottom w:w="0" w:type="dxa"/>
              <w:right w:w="108" w:type="dxa"/>
            </w:tcMar>
            <w:vAlign w:val="center"/>
          </w:tcPr>
          <w:p w14:paraId="536BA3C0">
            <w:pPr>
              <w:pStyle w:val="17"/>
              <w:spacing w:before="0" w:after="0" w:line="240" w:lineRule="auto"/>
              <w:jc w:val="left"/>
              <w:rPr>
                <w:highlight w:val="none"/>
              </w:rPr>
            </w:pPr>
            <w:r>
              <w:rPr>
                <w:rFonts w:ascii="宋体" w:hAnsi="宋体" w:eastAsia="宋体" w:cs="宋体"/>
                <w:b w:val="0"/>
                <w:color w:val="000000"/>
                <w:sz w:val="16"/>
                <w:highlight w:val="none"/>
              </w:rPr>
              <w:t>识别异常偏差并定位异常工序，区分计量偏差、库存变化与真实工艺损失，给出可能原因排序与数据证据。</w:t>
            </w:r>
          </w:p>
        </w:tc>
        <w:tc>
          <w:tcPr>
            <w:tcW w:w="1072" w:type="dxa"/>
            <w:shd w:val="clear" w:color="auto" w:fill="FFFFFF"/>
            <w:tcMar>
              <w:top w:w="0" w:type="dxa"/>
              <w:left w:w="108" w:type="dxa"/>
              <w:bottom w:w="0" w:type="dxa"/>
              <w:right w:w="108" w:type="dxa"/>
            </w:tcMar>
            <w:vAlign w:val="center"/>
          </w:tcPr>
          <w:p w14:paraId="38567DAC">
            <w:pPr>
              <w:pStyle w:val="17"/>
              <w:spacing w:before="0" w:after="0" w:line="240" w:lineRule="auto"/>
              <w:jc w:val="left"/>
              <w:rPr>
                <w:highlight w:val="none"/>
              </w:rPr>
            </w:pPr>
            <w:r>
              <w:rPr>
                <w:rFonts w:ascii="宋体" w:hAnsi="宋体" w:eastAsia="宋体" w:cs="宋体"/>
                <w:b w:val="0"/>
                <w:color w:val="000000"/>
                <w:sz w:val="16"/>
                <w:highlight w:val="none"/>
              </w:rPr>
              <w:t>进入08。</w:t>
            </w:r>
          </w:p>
        </w:tc>
        <w:tc>
          <w:tcPr>
            <w:tcW w:w="2000" w:type="dxa"/>
            <w:shd w:val="clear" w:color="auto" w:fill="FFFFFF"/>
            <w:tcMar>
              <w:top w:w="0" w:type="dxa"/>
              <w:left w:w="108" w:type="dxa"/>
              <w:bottom w:w="0" w:type="dxa"/>
              <w:right w:w="108" w:type="dxa"/>
            </w:tcMar>
            <w:vAlign w:val="center"/>
          </w:tcPr>
          <w:p w14:paraId="1788C858">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2FD35A0E">
        <w:trPr>
          <w:cantSplit/>
          <w:jc w:val="center"/>
        </w:trPr>
        <w:tc>
          <w:tcPr>
            <w:tcW w:w="650" w:type="dxa"/>
            <w:shd w:val="clear" w:color="auto" w:fill="FFFFFF"/>
            <w:tcMar>
              <w:top w:w="0" w:type="dxa"/>
              <w:left w:w="108" w:type="dxa"/>
              <w:bottom w:w="0" w:type="dxa"/>
              <w:right w:w="108" w:type="dxa"/>
            </w:tcMar>
            <w:vAlign w:val="center"/>
          </w:tcPr>
          <w:p w14:paraId="4B6F3FFA">
            <w:pPr>
              <w:pStyle w:val="17"/>
              <w:spacing w:before="0" w:after="0" w:line="240" w:lineRule="auto"/>
              <w:jc w:val="center"/>
              <w:rPr>
                <w:highlight w:val="none"/>
              </w:rPr>
            </w:pPr>
            <w:r>
              <w:rPr>
                <w:rFonts w:ascii="宋体" w:hAnsi="宋体" w:eastAsia="宋体" w:cs="宋体"/>
                <w:b w:val="0"/>
                <w:color w:val="000000"/>
                <w:sz w:val="16"/>
                <w:highlight w:val="none"/>
              </w:rPr>
              <w:t>07</w:t>
            </w:r>
          </w:p>
        </w:tc>
        <w:tc>
          <w:tcPr>
            <w:tcW w:w="1050" w:type="dxa"/>
            <w:shd w:val="clear" w:color="auto" w:fill="FFFFFF"/>
            <w:tcMar>
              <w:top w:w="0" w:type="dxa"/>
              <w:left w:w="108" w:type="dxa"/>
              <w:bottom w:w="0" w:type="dxa"/>
              <w:right w:w="108" w:type="dxa"/>
            </w:tcMar>
            <w:vAlign w:val="center"/>
          </w:tcPr>
          <w:p w14:paraId="71DE4124">
            <w:pPr>
              <w:pStyle w:val="17"/>
              <w:spacing w:before="0" w:after="0" w:line="240" w:lineRule="auto"/>
              <w:jc w:val="center"/>
              <w:rPr>
                <w:highlight w:val="none"/>
              </w:rPr>
            </w:pPr>
            <w:r>
              <w:rPr>
                <w:rFonts w:ascii="宋体" w:hAnsi="宋体" w:eastAsia="宋体" w:cs="宋体"/>
                <w:b w:val="0"/>
                <w:color w:val="000000"/>
                <w:sz w:val="16"/>
                <w:highlight w:val="none"/>
              </w:rPr>
              <w:t>损失趋势预测与风险预警</w:t>
            </w:r>
          </w:p>
        </w:tc>
        <w:tc>
          <w:tcPr>
            <w:tcW w:w="950" w:type="dxa"/>
            <w:shd w:val="clear" w:color="auto" w:fill="FFFFFF"/>
            <w:tcMar>
              <w:top w:w="0" w:type="dxa"/>
              <w:left w:w="108" w:type="dxa"/>
              <w:bottom w:w="0" w:type="dxa"/>
              <w:right w:w="108" w:type="dxa"/>
            </w:tcMar>
            <w:vAlign w:val="center"/>
          </w:tcPr>
          <w:p w14:paraId="3F01BBFA">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49806DD8">
            <w:pPr>
              <w:pStyle w:val="17"/>
              <w:spacing w:before="0" w:after="0" w:line="240" w:lineRule="auto"/>
              <w:jc w:val="left"/>
              <w:rPr>
                <w:highlight w:val="none"/>
              </w:rPr>
            </w:pPr>
            <w:r>
              <w:rPr>
                <w:rFonts w:ascii="宋体" w:hAnsi="宋体" w:eastAsia="宋体" w:cs="宋体"/>
                <w:b w:val="0"/>
                <w:color w:val="000000"/>
                <w:sz w:val="16"/>
                <w:highlight w:val="none"/>
              </w:rPr>
              <w:t>历史平衡结果 → 趋势与预警</w:t>
            </w:r>
          </w:p>
        </w:tc>
        <w:tc>
          <w:tcPr>
            <w:tcW w:w="2000" w:type="dxa"/>
            <w:shd w:val="clear" w:color="auto" w:fill="FFFFFF"/>
            <w:tcMar>
              <w:top w:w="0" w:type="dxa"/>
              <w:left w:w="108" w:type="dxa"/>
              <w:bottom w:w="0" w:type="dxa"/>
              <w:right w:w="108" w:type="dxa"/>
            </w:tcMar>
            <w:vAlign w:val="center"/>
          </w:tcPr>
          <w:p w14:paraId="526E9662">
            <w:pPr>
              <w:pStyle w:val="17"/>
              <w:spacing w:before="0" w:after="0" w:line="240" w:lineRule="auto"/>
              <w:jc w:val="left"/>
              <w:rPr>
                <w:highlight w:val="none"/>
              </w:rPr>
            </w:pPr>
            <w:r>
              <w:rPr>
                <w:rFonts w:ascii="宋体" w:hAnsi="宋体" w:eastAsia="宋体" w:cs="宋体"/>
                <w:b w:val="0"/>
                <w:color w:val="000000"/>
                <w:sz w:val="16"/>
                <w:highlight w:val="none"/>
              </w:rPr>
              <w:t>分析损失率多时间尺度趋势，识别变化点并给出预测区间与风险提示。</w:t>
            </w:r>
          </w:p>
        </w:tc>
        <w:tc>
          <w:tcPr>
            <w:tcW w:w="1072" w:type="dxa"/>
            <w:shd w:val="clear" w:color="auto" w:fill="FFFFFF"/>
            <w:tcMar>
              <w:top w:w="0" w:type="dxa"/>
              <w:left w:w="108" w:type="dxa"/>
              <w:bottom w:w="0" w:type="dxa"/>
              <w:right w:w="108" w:type="dxa"/>
            </w:tcMar>
            <w:vAlign w:val="center"/>
          </w:tcPr>
          <w:p w14:paraId="213E22C6">
            <w:pPr>
              <w:pStyle w:val="17"/>
              <w:spacing w:before="0" w:after="0" w:line="240" w:lineRule="auto"/>
              <w:jc w:val="left"/>
              <w:rPr>
                <w:highlight w:val="none"/>
              </w:rPr>
            </w:pPr>
            <w:r>
              <w:rPr>
                <w:rFonts w:ascii="宋体" w:hAnsi="宋体" w:eastAsia="宋体" w:cs="宋体"/>
                <w:b w:val="0"/>
                <w:color w:val="000000"/>
                <w:sz w:val="16"/>
                <w:highlight w:val="none"/>
              </w:rPr>
              <w:t>进入08。</w:t>
            </w:r>
          </w:p>
        </w:tc>
        <w:tc>
          <w:tcPr>
            <w:tcW w:w="2000" w:type="dxa"/>
            <w:shd w:val="clear" w:color="auto" w:fill="FFFFFF"/>
            <w:tcMar>
              <w:top w:w="0" w:type="dxa"/>
              <w:left w:w="108" w:type="dxa"/>
              <w:bottom w:w="0" w:type="dxa"/>
              <w:right w:w="108" w:type="dxa"/>
            </w:tcMar>
            <w:vAlign w:val="center"/>
          </w:tcPr>
          <w:p w14:paraId="79685CE6">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1F754B20">
        <w:trPr>
          <w:cantSplit/>
          <w:jc w:val="center"/>
        </w:trPr>
        <w:tc>
          <w:tcPr>
            <w:tcW w:w="650" w:type="dxa"/>
            <w:shd w:val="clear" w:color="auto" w:fill="FFFFFF"/>
            <w:tcMar>
              <w:top w:w="0" w:type="dxa"/>
              <w:left w:w="108" w:type="dxa"/>
              <w:bottom w:w="0" w:type="dxa"/>
              <w:right w:w="108" w:type="dxa"/>
            </w:tcMar>
            <w:vAlign w:val="center"/>
          </w:tcPr>
          <w:p w14:paraId="24A09CE8">
            <w:pPr>
              <w:pStyle w:val="17"/>
              <w:spacing w:before="0" w:after="0" w:line="240" w:lineRule="auto"/>
              <w:jc w:val="center"/>
              <w:rPr>
                <w:highlight w:val="none"/>
              </w:rPr>
            </w:pPr>
            <w:r>
              <w:rPr>
                <w:rFonts w:ascii="宋体" w:hAnsi="宋体" w:eastAsia="宋体" w:cs="宋体"/>
                <w:b w:val="0"/>
                <w:color w:val="000000"/>
                <w:sz w:val="16"/>
                <w:highlight w:val="none"/>
              </w:rPr>
              <w:t>08</w:t>
            </w:r>
          </w:p>
        </w:tc>
        <w:tc>
          <w:tcPr>
            <w:tcW w:w="1050" w:type="dxa"/>
            <w:shd w:val="clear" w:color="auto" w:fill="FFFFFF"/>
            <w:tcMar>
              <w:top w:w="0" w:type="dxa"/>
              <w:left w:w="108" w:type="dxa"/>
              <w:bottom w:w="0" w:type="dxa"/>
              <w:right w:w="108" w:type="dxa"/>
            </w:tcMar>
            <w:vAlign w:val="center"/>
          </w:tcPr>
          <w:p w14:paraId="01E9144A">
            <w:pPr>
              <w:pStyle w:val="17"/>
              <w:spacing w:before="0" w:after="0" w:line="240" w:lineRule="auto"/>
              <w:jc w:val="center"/>
              <w:rPr>
                <w:highlight w:val="none"/>
              </w:rPr>
            </w:pPr>
            <w:r>
              <w:rPr>
                <w:rFonts w:ascii="宋体" w:hAnsi="宋体" w:eastAsia="宋体" w:cs="宋体"/>
                <w:b w:val="0"/>
                <w:color w:val="000000"/>
                <w:sz w:val="16"/>
                <w:highlight w:val="none"/>
              </w:rPr>
              <w:t>分析报告输出</w:t>
            </w:r>
          </w:p>
        </w:tc>
        <w:tc>
          <w:tcPr>
            <w:tcW w:w="950" w:type="dxa"/>
            <w:shd w:val="clear" w:color="auto" w:fill="FFFFFF"/>
            <w:tcMar>
              <w:top w:w="0" w:type="dxa"/>
              <w:left w:w="108" w:type="dxa"/>
              <w:bottom w:w="0" w:type="dxa"/>
              <w:right w:w="108" w:type="dxa"/>
            </w:tcMar>
            <w:vAlign w:val="center"/>
          </w:tcPr>
          <w:p w14:paraId="6AEADC9A">
            <w:pPr>
              <w:pStyle w:val="17"/>
              <w:spacing w:before="0" w:after="0" w:line="240" w:lineRule="auto"/>
              <w:jc w:val="center"/>
              <w:rPr>
                <w:highlight w:val="none"/>
              </w:rPr>
            </w:pPr>
            <w:r>
              <w:rPr>
                <w:rFonts w:ascii="宋体" w:hAnsi="宋体" w:eastAsia="宋体" w:cs="宋体"/>
                <w:b w:val="0"/>
                <w:color w:val="000000"/>
                <w:sz w:val="16"/>
                <w:highlight w:val="none"/>
              </w:rPr>
              <w:t>平台门户</w:t>
            </w:r>
          </w:p>
        </w:tc>
        <w:tc>
          <w:tcPr>
            <w:tcW w:w="1350" w:type="dxa"/>
            <w:shd w:val="clear" w:color="auto" w:fill="FFFFFF"/>
            <w:tcMar>
              <w:top w:w="0" w:type="dxa"/>
              <w:left w:w="108" w:type="dxa"/>
              <w:bottom w:w="0" w:type="dxa"/>
              <w:right w:w="108" w:type="dxa"/>
            </w:tcMar>
            <w:vAlign w:val="center"/>
          </w:tcPr>
          <w:p w14:paraId="167A98A1">
            <w:pPr>
              <w:pStyle w:val="17"/>
              <w:spacing w:before="0" w:after="0" w:line="240" w:lineRule="auto"/>
              <w:jc w:val="left"/>
              <w:rPr>
                <w:highlight w:val="none"/>
              </w:rPr>
            </w:pPr>
            <w:r>
              <w:rPr>
                <w:rFonts w:ascii="宋体" w:hAnsi="宋体" w:eastAsia="宋体" w:cs="宋体"/>
                <w:b w:val="0"/>
                <w:color w:val="000000"/>
                <w:sz w:val="16"/>
                <w:highlight w:val="none"/>
              </w:rPr>
              <w:t>分析结果 → 分析报告</w:t>
            </w:r>
          </w:p>
        </w:tc>
        <w:tc>
          <w:tcPr>
            <w:tcW w:w="2000" w:type="dxa"/>
            <w:shd w:val="clear" w:color="auto" w:fill="FFFFFF"/>
            <w:tcMar>
              <w:top w:w="0" w:type="dxa"/>
              <w:left w:w="108" w:type="dxa"/>
              <w:bottom w:w="0" w:type="dxa"/>
              <w:right w:w="108" w:type="dxa"/>
            </w:tcMar>
            <w:vAlign w:val="center"/>
          </w:tcPr>
          <w:p w14:paraId="799CB62E">
            <w:pPr>
              <w:pStyle w:val="17"/>
              <w:spacing w:before="0" w:after="0" w:line="240" w:lineRule="auto"/>
              <w:jc w:val="left"/>
              <w:rPr>
                <w:highlight w:val="none"/>
              </w:rPr>
            </w:pPr>
            <w:r>
              <w:rPr>
                <w:rFonts w:ascii="宋体" w:hAnsi="宋体" w:eastAsia="宋体" w:cs="宋体"/>
                <w:b w:val="0"/>
                <w:color w:val="000000"/>
                <w:sz w:val="16"/>
                <w:highlight w:val="none"/>
              </w:rPr>
              <w:t>输出偏差分析与趋势分析报告，标注数据来源与计算口径。</w:t>
            </w:r>
          </w:p>
        </w:tc>
        <w:tc>
          <w:tcPr>
            <w:tcW w:w="1072" w:type="dxa"/>
            <w:shd w:val="clear" w:color="auto" w:fill="FFFFFF"/>
            <w:tcMar>
              <w:top w:w="0" w:type="dxa"/>
              <w:left w:w="108" w:type="dxa"/>
              <w:bottom w:w="0" w:type="dxa"/>
              <w:right w:w="108" w:type="dxa"/>
            </w:tcMar>
            <w:vAlign w:val="center"/>
          </w:tcPr>
          <w:p w14:paraId="3FB55FE0">
            <w:pPr>
              <w:pStyle w:val="17"/>
              <w:spacing w:before="0" w:after="0" w:line="240" w:lineRule="auto"/>
              <w:jc w:val="left"/>
              <w:rPr>
                <w:highlight w:val="none"/>
              </w:rPr>
            </w:pPr>
            <w:r>
              <w:rPr>
                <w:rFonts w:ascii="宋体" w:hAnsi="宋体" w:eastAsia="宋体" w:cs="宋体"/>
                <w:b w:val="0"/>
                <w:color w:val="000000"/>
                <w:sz w:val="16"/>
                <w:highlight w:val="none"/>
              </w:rPr>
              <w:t>结束。</w:t>
            </w:r>
          </w:p>
        </w:tc>
        <w:tc>
          <w:tcPr>
            <w:tcW w:w="2000" w:type="dxa"/>
            <w:shd w:val="clear" w:color="auto" w:fill="FFFFFF"/>
            <w:tcMar>
              <w:top w:w="0" w:type="dxa"/>
              <w:left w:w="108" w:type="dxa"/>
              <w:bottom w:w="0" w:type="dxa"/>
              <w:right w:w="108" w:type="dxa"/>
            </w:tcMar>
            <w:vAlign w:val="center"/>
          </w:tcPr>
          <w:p w14:paraId="07BE1502">
            <w:pPr>
              <w:pStyle w:val="17"/>
              <w:spacing w:before="0" w:after="0" w:line="240" w:lineRule="auto"/>
              <w:jc w:val="left"/>
              <w:rPr>
                <w:highlight w:val="none"/>
              </w:rPr>
            </w:pPr>
            <w:r>
              <w:rPr>
                <w:rFonts w:ascii="宋体" w:hAnsi="宋体" w:eastAsia="宋体" w:cs="宋体"/>
                <w:b w:val="0"/>
                <w:color w:val="000000"/>
                <w:sz w:val="16"/>
                <w:highlight w:val="none"/>
              </w:rPr>
              <w:t>—</w:t>
            </w:r>
          </w:p>
        </w:tc>
      </w:tr>
    </w:tbl>
    <w:p w14:paraId="7200000E">
      <w:pPr>
        <w:pStyle w:val="4"/>
        <w:snapToGrid w:val="0"/>
      </w:pPr>
      <w:bookmarkStart w:id="17" w:name="s3_2_5"/>
      <w:r>
        <w:rPr>
          <w:rFonts w:ascii="黑体" w:hAnsi="黑体" w:eastAsia="黑体" w:cs="黑体"/>
          <w:b/>
          <w:color w:val="000000"/>
        </w:rPr>
        <w:t>3.2.5　工序能量衡算</w:t>
      </w:r>
      <w:bookmarkEnd w:id="17"/>
    </w:p>
    <w:p w14:paraId="720003DB">
      <w:pPr>
        <w:keepNext/>
        <w:keepLines/>
        <w:shd w:val="clear" w:fill="DEE6EF"/>
        <w:snapToGrid w:val="0"/>
        <w:spacing w:before="0" w:after="0" w:line="240" w:lineRule="auto"/>
        <w:ind w:left="142" w:right="142" w:firstLine="0" w:firstLineChars="0"/>
        <w:jc w:val="left"/>
      </w:pPr>
      <w:r>
        <w:rPr>
          <w:rFonts w:ascii="宋体" w:hAnsi="宋体" w:eastAsia="宋体" w:cs="宋体"/>
          <w:b/>
          <w:color w:val="000000"/>
          <w:sz w:val="18"/>
          <w:szCs w:val="18"/>
        </w:rPr>
        <w:t>流程编号及名称：P-ZLTC-AI-GXNLHS-106  能量衡算流程</w:t>
      </w:r>
    </w:p>
    <w:p w14:paraId="31373E74">
      <w:pPr>
        <w:pStyle w:val="17"/>
        <w:keepNext/>
        <w:keepLines/>
        <w:snapToGrid w:val="0"/>
        <w:spacing w:before="0" w:after="0" w:line="240" w:lineRule="auto"/>
        <w:ind w:left="0" w:right="0" w:firstLine="0" w:firstLineChars="0"/>
        <w:jc w:val="center"/>
        <w:rPr>
          <w:highlight w:val="none"/>
        </w:rPr>
      </w:pPr>
      <w:r>
        <w:rPr>
          <w:highlight w:val="none"/>
        </w:rPr>
        <w:drawing>
          <wp:inline distT="0" distB="0" distL="114300" distR="114300">
            <wp:extent cx="5579745" cy="3310255"/>
            <wp:effectExtent l="0" t="0" r="0" b="0"/>
            <wp:docPr id="8" name="P-ZLTC-AI-GXNLHS-106 能量衡算流程" descr="P-ZLTC-AI-GXNLHS-106 能量衡算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ZLTC-AI-GXNLHS-106 能量衡算流程" descr="P-ZLTC-AI-GXNLHS-106 能量衡算流程"/>
                    <pic:cNvPicPr>
                      <a:picLocks noChangeAspect="1"/>
                    </pic:cNvPicPr>
                  </pic:nvPicPr>
                  <pic:blipFill>
                    <a:blip r:embed="rId16"/>
                    <a:srcRect t="5542"/>
                    <a:stretch>
                      <a:fillRect/>
                    </a:stretch>
                  </pic:blipFill>
                  <pic:spPr>
                    <a:xfrm>
                      <a:off x="0" y="0"/>
                      <a:ext cx="5579745" cy="3310342"/>
                    </a:xfrm>
                    <a:prstGeom prst="rect">
                      <a:avLst/>
                    </a:prstGeom>
                    <a:noFill/>
                    <a:ln>
                      <a:noFill/>
                    </a:ln>
                  </pic:spPr>
                </pic:pic>
              </a:graphicData>
            </a:graphic>
          </wp:inline>
        </w:drawing>
      </w:r>
    </w:p>
    <w:p w14:paraId="0AF6272C">
      <w:pPr>
        <w:pStyle w:val="17"/>
        <w:keepNext w:val="0"/>
        <w:spacing w:after="40"/>
        <w:jc w:val="center"/>
        <w:rPr>
          <w:highlight w:val="none"/>
        </w:rPr>
      </w:pPr>
      <w:r>
        <w:rPr>
          <w:rFonts w:ascii="宋体" w:hAnsi="宋体" w:eastAsia="宋体"/>
          <w:sz w:val="21"/>
          <w:highlight w:val="none"/>
        </w:rPr>
        <w:t>图3-6　能量衡算流程图</w:t>
      </w:r>
    </w:p>
    <w:p w14:paraId="5DA81332">
      <w:pPr>
        <w:pStyle w:val="17"/>
        <w:keepNext/>
        <w:spacing w:after="40"/>
        <w:jc w:val="center"/>
        <w:rPr>
          <w:highlight w:val="none"/>
        </w:rPr>
      </w:pPr>
      <w:r>
        <w:rPr>
          <w:rFonts w:ascii="宋体" w:hAnsi="宋体" w:eastAsia="宋体"/>
          <w:sz w:val="21"/>
          <w:highlight w:val="none"/>
        </w:rPr>
        <w:t>表3-6　能量衡算流程描述</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0A37CA21">
        <w:trPr>
          <w:cantSplit/>
          <w:tblHeader/>
          <w:jc w:val="center"/>
        </w:trPr>
        <w:tc>
          <w:tcPr>
            <w:tcW w:w="650" w:type="dxa"/>
            <w:shd w:val="clear" w:color="auto" w:fill="FFFFFF"/>
            <w:tcMar>
              <w:top w:w="0" w:type="dxa"/>
              <w:left w:w="108" w:type="dxa"/>
              <w:bottom w:w="0" w:type="dxa"/>
              <w:right w:w="108" w:type="dxa"/>
            </w:tcMar>
            <w:vAlign w:val="center"/>
          </w:tcPr>
          <w:p w14:paraId="61211CB1">
            <w:pPr>
              <w:pStyle w:val="17"/>
              <w:keepNext/>
              <w:spacing w:before="0" w:after="0" w:line="240" w:lineRule="auto"/>
              <w:jc w:val="center"/>
              <w:rPr>
                <w:highlight w:val="none"/>
              </w:rPr>
            </w:pPr>
            <w:r>
              <w:rPr>
                <w:rFonts w:ascii="宋体" w:hAnsi="宋体" w:eastAsia="宋体" w:cs="宋体"/>
                <w:b/>
                <w:bCs/>
                <w:color w:val="000000"/>
                <w:sz w:val="16"/>
                <w:highlight w:val="none"/>
              </w:rPr>
              <w:t>步骤编号</w:t>
            </w:r>
          </w:p>
        </w:tc>
        <w:tc>
          <w:tcPr>
            <w:tcW w:w="1050" w:type="dxa"/>
            <w:shd w:val="clear" w:color="auto" w:fill="FFFFFF"/>
            <w:tcMar>
              <w:top w:w="0" w:type="dxa"/>
              <w:left w:w="108" w:type="dxa"/>
              <w:bottom w:w="0" w:type="dxa"/>
              <w:right w:w="108" w:type="dxa"/>
            </w:tcMar>
            <w:vAlign w:val="center"/>
          </w:tcPr>
          <w:p w14:paraId="30078928">
            <w:pPr>
              <w:pStyle w:val="17"/>
              <w:keepNext/>
              <w:spacing w:before="0" w:after="0" w:line="240" w:lineRule="auto"/>
              <w:jc w:val="center"/>
              <w:rPr>
                <w:highlight w:val="none"/>
              </w:rPr>
            </w:pPr>
            <w:r>
              <w:rPr>
                <w:rFonts w:ascii="宋体" w:hAnsi="宋体" w:eastAsia="宋体" w:cs="宋体"/>
                <w:b/>
                <w:bCs/>
                <w:color w:val="000000"/>
                <w:sz w:val="16"/>
                <w:highlight w:val="none"/>
              </w:rPr>
              <w:t>节点名称</w:t>
            </w:r>
          </w:p>
        </w:tc>
        <w:tc>
          <w:tcPr>
            <w:tcW w:w="950" w:type="dxa"/>
            <w:shd w:val="clear" w:color="auto" w:fill="FFFFFF"/>
            <w:tcMar>
              <w:top w:w="0" w:type="dxa"/>
              <w:left w:w="108" w:type="dxa"/>
              <w:bottom w:w="0" w:type="dxa"/>
              <w:right w:w="108" w:type="dxa"/>
            </w:tcMar>
            <w:vAlign w:val="center"/>
          </w:tcPr>
          <w:p w14:paraId="326617D0">
            <w:pPr>
              <w:pStyle w:val="17"/>
              <w:keepNext/>
              <w:spacing w:before="0" w:after="0" w:line="240" w:lineRule="auto"/>
              <w:jc w:val="center"/>
              <w:rPr>
                <w:highlight w:val="none"/>
              </w:rPr>
            </w:pPr>
            <w:r>
              <w:rPr>
                <w:rFonts w:ascii="宋体" w:hAnsi="宋体" w:eastAsia="宋体" w:cs="宋体"/>
                <w:b/>
                <w:bCs/>
                <w:color w:val="000000"/>
                <w:sz w:val="16"/>
                <w:highlight w:val="none"/>
              </w:rPr>
              <w:t>责任节点</w:t>
            </w:r>
          </w:p>
        </w:tc>
        <w:tc>
          <w:tcPr>
            <w:tcW w:w="1350" w:type="dxa"/>
            <w:shd w:val="clear" w:color="auto" w:fill="FFFFFF"/>
            <w:tcMar>
              <w:top w:w="0" w:type="dxa"/>
              <w:left w:w="108" w:type="dxa"/>
              <w:bottom w:w="0" w:type="dxa"/>
              <w:right w:w="108" w:type="dxa"/>
            </w:tcMar>
            <w:vAlign w:val="center"/>
          </w:tcPr>
          <w:p w14:paraId="16414B4E">
            <w:pPr>
              <w:pStyle w:val="17"/>
              <w:keepNext/>
              <w:spacing w:before="0" w:after="0" w:line="240" w:lineRule="auto"/>
              <w:jc w:val="center"/>
              <w:rPr>
                <w:highlight w:val="none"/>
              </w:rPr>
            </w:pPr>
            <w:r>
              <w:rPr>
                <w:rFonts w:ascii="宋体" w:hAnsi="宋体" w:eastAsia="宋体" w:cs="宋体"/>
                <w:b/>
                <w:bCs/>
                <w:color w:val="000000"/>
                <w:sz w:val="16"/>
                <w:highlight w:val="none"/>
              </w:rPr>
              <w:t>输入/输出</w:t>
            </w:r>
          </w:p>
        </w:tc>
        <w:tc>
          <w:tcPr>
            <w:tcW w:w="2000" w:type="dxa"/>
            <w:shd w:val="clear" w:color="auto" w:fill="FFFFFF"/>
            <w:tcMar>
              <w:top w:w="0" w:type="dxa"/>
              <w:left w:w="108" w:type="dxa"/>
              <w:bottom w:w="0" w:type="dxa"/>
              <w:right w:w="108" w:type="dxa"/>
            </w:tcMar>
            <w:vAlign w:val="center"/>
          </w:tcPr>
          <w:p w14:paraId="5DC162E6">
            <w:pPr>
              <w:pStyle w:val="17"/>
              <w:keepNext/>
              <w:spacing w:before="0" w:after="0" w:line="240" w:lineRule="auto"/>
              <w:jc w:val="center"/>
              <w:rPr>
                <w:highlight w:val="none"/>
              </w:rPr>
            </w:pPr>
            <w:r>
              <w:rPr>
                <w:rFonts w:ascii="宋体" w:hAnsi="宋体" w:eastAsia="宋体" w:cs="宋体"/>
                <w:b/>
                <w:bCs/>
                <w:color w:val="000000"/>
                <w:sz w:val="16"/>
                <w:highlight w:val="none"/>
              </w:rPr>
              <w:t>处理说明</w:t>
            </w:r>
          </w:p>
        </w:tc>
        <w:tc>
          <w:tcPr>
            <w:tcW w:w="1072" w:type="dxa"/>
            <w:shd w:val="clear" w:color="auto" w:fill="FFFFFF"/>
            <w:tcMar>
              <w:top w:w="0" w:type="dxa"/>
              <w:left w:w="108" w:type="dxa"/>
              <w:bottom w:w="0" w:type="dxa"/>
              <w:right w:w="108" w:type="dxa"/>
            </w:tcMar>
            <w:vAlign w:val="center"/>
          </w:tcPr>
          <w:p w14:paraId="34518768">
            <w:pPr>
              <w:pStyle w:val="17"/>
              <w:keepNext/>
              <w:spacing w:before="0" w:after="0" w:line="240" w:lineRule="auto"/>
              <w:jc w:val="center"/>
              <w:rPr>
                <w:highlight w:val="none"/>
              </w:rPr>
            </w:pPr>
            <w:r>
              <w:rPr>
                <w:rFonts w:ascii="宋体" w:hAnsi="宋体" w:eastAsia="宋体" w:cs="宋体"/>
                <w:b/>
                <w:bCs/>
                <w:color w:val="000000"/>
                <w:sz w:val="16"/>
                <w:highlight w:val="none"/>
              </w:rPr>
              <w:t>异常/分支</w:t>
            </w:r>
          </w:p>
        </w:tc>
        <w:tc>
          <w:tcPr>
            <w:tcW w:w="2000" w:type="dxa"/>
            <w:shd w:val="clear" w:color="auto" w:fill="FFFFFF"/>
            <w:tcMar>
              <w:top w:w="0" w:type="dxa"/>
              <w:left w:w="108" w:type="dxa"/>
              <w:bottom w:w="0" w:type="dxa"/>
              <w:right w:w="108" w:type="dxa"/>
            </w:tcMar>
            <w:vAlign w:val="center"/>
          </w:tcPr>
          <w:p w14:paraId="0403C162">
            <w:pPr>
              <w:pStyle w:val="17"/>
              <w:keepNext/>
              <w:spacing w:before="0" w:after="0" w:line="240" w:lineRule="auto"/>
              <w:jc w:val="center"/>
              <w:rPr>
                <w:highlight w:val="none"/>
              </w:rPr>
            </w:pPr>
            <w:r>
              <w:rPr>
                <w:rFonts w:ascii="宋体" w:hAnsi="宋体" w:eastAsia="宋体" w:cs="宋体"/>
                <w:b/>
                <w:bCs/>
                <w:color w:val="000000"/>
                <w:sz w:val="16"/>
                <w:highlight w:val="none"/>
              </w:rPr>
              <w:t>关联规则</w:t>
            </w:r>
          </w:p>
        </w:tc>
      </w:tr>
      <w:tr w14:paraId="5682280C">
        <w:trPr>
          <w:cantSplit/>
          <w:jc w:val="center"/>
        </w:trPr>
        <w:tc>
          <w:tcPr>
            <w:tcW w:w="650" w:type="dxa"/>
            <w:shd w:val="clear" w:color="auto" w:fill="FFFFFF"/>
            <w:tcMar>
              <w:top w:w="0" w:type="dxa"/>
              <w:left w:w="108" w:type="dxa"/>
              <w:bottom w:w="0" w:type="dxa"/>
              <w:right w:w="108" w:type="dxa"/>
            </w:tcMar>
            <w:vAlign w:val="center"/>
          </w:tcPr>
          <w:p w14:paraId="5EE7F75D">
            <w:pPr>
              <w:pStyle w:val="17"/>
              <w:spacing w:before="0" w:after="0" w:line="240" w:lineRule="auto"/>
              <w:jc w:val="center"/>
              <w:rPr>
                <w:highlight w:val="none"/>
              </w:rPr>
            </w:pPr>
            <w:r>
              <w:rPr>
                <w:rFonts w:ascii="宋体" w:hAnsi="宋体" w:eastAsia="宋体" w:cs="宋体"/>
                <w:b w:val="0"/>
                <w:color w:val="000000"/>
                <w:sz w:val="16"/>
                <w:highlight w:val="none"/>
              </w:rPr>
              <w:t>01</w:t>
            </w:r>
          </w:p>
        </w:tc>
        <w:tc>
          <w:tcPr>
            <w:tcW w:w="1050" w:type="dxa"/>
            <w:shd w:val="clear" w:color="auto" w:fill="FFFFFF"/>
            <w:tcMar>
              <w:top w:w="0" w:type="dxa"/>
              <w:left w:w="108" w:type="dxa"/>
              <w:bottom w:w="0" w:type="dxa"/>
              <w:right w:w="108" w:type="dxa"/>
            </w:tcMar>
            <w:vAlign w:val="center"/>
          </w:tcPr>
          <w:p w14:paraId="0F596E2E">
            <w:pPr>
              <w:pStyle w:val="17"/>
              <w:spacing w:before="0" w:after="0" w:line="240" w:lineRule="auto"/>
              <w:jc w:val="center"/>
              <w:rPr>
                <w:highlight w:val="none"/>
              </w:rPr>
            </w:pPr>
            <w:r>
              <w:rPr>
                <w:rFonts w:ascii="宋体" w:hAnsi="宋体" w:eastAsia="宋体" w:cs="宋体"/>
                <w:b w:val="0"/>
                <w:color w:val="000000"/>
                <w:sz w:val="16"/>
                <w:highlight w:val="none"/>
              </w:rPr>
              <w:t>定时触发报告生成</w:t>
            </w:r>
          </w:p>
        </w:tc>
        <w:tc>
          <w:tcPr>
            <w:tcW w:w="950" w:type="dxa"/>
            <w:shd w:val="clear" w:color="auto" w:fill="FFFFFF"/>
            <w:tcMar>
              <w:top w:w="0" w:type="dxa"/>
              <w:left w:w="108" w:type="dxa"/>
              <w:bottom w:w="0" w:type="dxa"/>
              <w:right w:w="108" w:type="dxa"/>
            </w:tcMar>
            <w:vAlign w:val="center"/>
          </w:tcPr>
          <w:p w14:paraId="2281A40D">
            <w:pPr>
              <w:pStyle w:val="17"/>
              <w:spacing w:before="0" w:after="0" w:line="240" w:lineRule="auto"/>
              <w:jc w:val="center"/>
              <w:rPr>
                <w:highlight w:val="none"/>
              </w:rPr>
            </w:pPr>
            <w:r>
              <w:rPr>
                <w:rFonts w:ascii="宋体" w:hAnsi="宋体" w:eastAsia="宋体" w:cs="宋体"/>
                <w:b w:val="0"/>
                <w:color w:val="000000"/>
                <w:sz w:val="16"/>
                <w:highlight w:val="none"/>
              </w:rPr>
              <w:t>业务事件源或用户</w:t>
            </w:r>
          </w:p>
        </w:tc>
        <w:tc>
          <w:tcPr>
            <w:tcW w:w="1350" w:type="dxa"/>
            <w:shd w:val="clear" w:color="auto" w:fill="FFFFFF"/>
            <w:tcMar>
              <w:top w:w="0" w:type="dxa"/>
              <w:left w:w="108" w:type="dxa"/>
              <w:bottom w:w="0" w:type="dxa"/>
              <w:right w:w="108" w:type="dxa"/>
            </w:tcMar>
            <w:vAlign w:val="center"/>
          </w:tcPr>
          <w:p w14:paraId="292F3281">
            <w:pPr>
              <w:pStyle w:val="17"/>
              <w:spacing w:before="0" w:after="0" w:line="240" w:lineRule="auto"/>
              <w:jc w:val="left"/>
              <w:rPr>
                <w:highlight w:val="none"/>
              </w:rPr>
            </w:pPr>
            <w:r>
              <w:rPr>
                <w:rFonts w:ascii="宋体" w:hAnsi="宋体" w:eastAsia="宋体" w:cs="宋体"/>
                <w:b w:val="0"/>
                <w:color w:val="000000"/>
                <w:sz w:val="16"/>
                <w:highlight w:val="none"/>
              </w:rPr>
              <w:t>定时触发信号 → 核算任务</w:t>
            </w:r>
          </w:p>
        </w:tc>
        <w:tc>
          <w:tcPr>
            <w:tcW w:w="2000" w:type="dxa"/>
            <w:shd w:val="clear" w:color="auto" w:fill="FFFFFF"/>
            <w:tcMar>
              <w:top w:w="0" w:type="dxa"/>
              <w:left w:w="108" w:type="dxa"/>
              <w:bottom w:w="0" w:type="dxa"/>
              <w:right w:w="108" w:type="dxa"/>
            </w:tcMar>
            <w:vAlign w:val="center"/>
          </w:tcPr>
          <w:p w14:paraId="31555FBD">
            <w:pPr>
              <w:pStyle w:val="17"/>
              <w:spacing w:before="0" w:after="0" w:line="240" w:lineRule="auto"/>
              <w:jc w:val="left"/>
              <w:rPr>
                <w:highlight w:val="none"/>
              </w:rPr>
            </w:pPr>
            <w:r>
              <w:rPr>
                <w:rFonts w:ascii="宋体" w:hAnsi="宋体" w:eastAsia="宋体" w:cs="宋体"/>
                <w:b w:val="0"/>
                <w:color w:val="000000"/>
                <w:sz w:val="16"/>
                <w:highlight w:val="none"/>
              </w:rPr>
              <w:t>按班次/日/周/月定时触发能源报告生成任务，无需用户发起。</w:t>
            </w:r>
          </w:p>
        </w:tc>
        <w:tc>
          <w:tcPr>
            <w:tcW w:w="1072" w:type="dxa"/>
            <w:shd w:val="clear" w:color="auto" w:fill="FFFFFF"/>
            <w:tcMar>
              <w:top w:w="0" w:type="dxa"/>
              <w:left w:w="108" w:type="dxa"/>
              <w:bottom w:w="0" w:type="dxa"/>
              <w:right w:w="108" w:type="dxa"/>
            </w:tcMar>
            <w:vAlign w:val="center"/>
          </w:tcPr>
          <w:p w14:paraId="5A45B79A">
            <w:pPr>
              <w:pStyle w:val="17"/>
              <w:spacing w:before="0" w:after="0" w:line="240" w:lineRule="auto"/>
              <w:jc w:val="left"/>
              <w:rPr>
                <w:highlight w:val="none"/>
              </w:rPr>
            </w:pPr>
            <w:r>
              <w:rPr>
                <w:rFonts w:ascii="宋体" w:hAnsi="宋体" w:eastAsia="宋体" w:cs="宋体"/>
                <w:b w:val="0"/>
                <w:color w:val="000000"/>
                <w:sz w:val="16"/>
                <w:highlight w:val="none"/>
              </w:rPr>
              <w:t>进入02。</w:t>
            </w:r>
          </w:p>
        </w:tc>
        <w:tc>
          <w:tcPr>
            <w:tcW w:w="2000" w:type="dxa"/>
            <w:shd w:val="clear" w:color="auto" w:fill="FFFFFF"/>
            <w:tcMar>
              <w:top w:w="0" w:type="dxa"/>
              <w:left w:w="108" w:type="dxa"/>
              <w:bottom w:w="0" w:type="dxa"/>
              <w:right w:w="108" w:type="dxa"/>
            </w:tcMar>
            <w:vAlign w:val="center"/>
          </w:tcPr>
          <w:p w14:paraId="74E603A2">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77DCE5A0">
        <w:trPr>
          <w:cantSplit/>
          <w:jc w:val="center"/>
        </w:trPr>
        <w:tc>
          <w:tcPr>
            <w:tcW w:w="650" w:type="dxa"/>
            <w:shd w:val="clear" w:color="auto" w:fill="FFFFFF"/>
            <w:tcMar>
              <w:top w:w="0" w:type="dxa"/>
              <w:left w:w="108" w:type="dxa"/>
              <w:bottom w:w="0" w:type="dxa"/>
              <w:right w:w="108" w:type="dxa"/>
            </w:tcMar>
            <w:vAlign w:val="center"/>
          </w:tcPr>
          <w:p w14:paraId="046855E2">
            <w:pPr>
              <w:pStyle w:val="17"/>
              <w:spacing w:before="0" w:after="0" w:line="240" w:lineRule="auto"/>
              <w:jc w:val="center"/>
              <w:rPr>
                <w:highlight w:val="none"/>
              </w:rPr>
            </w:pPr>
            <w:r>
              <w:rPr>
                <w:rFonts w:ascii="宋体" w:hAnsi="宋体" w:eastAsia="宋体" w:cs="宋体"/>
                <w:b w:val="0"/>
                <w:color w:val="000000"/>
                <w:sz w:val="16"/>
                <w:highlight w:val="none"/>
              </w:rPr>
              <w:t>02</w:t>
            </w:r>
          </w:p>
        </w:tc>
        <w:tc>
          <w:tcPr>
            <w:tcW w:w="1050" w:type="dxa"/>
            <w:shd w:val="clear" w:color="auto" w:fill="FFFFFF"/>
            <w:tcMar>
              <w:top w:w="0" w:type="dxa"/>
              <w:left w:w="108" w:type="dxa"/>
              <w:bottom w:w="0" w:type="dxa"/>
              <w:right w:w="108" w:type="dxa"/>
            </w:tcMar>
            <w:vAlign w:val="center"/>
          </w:tcPr>
          <w:p w14:paraId="541D82CA">
            <w:pPr>
              <w:pStyle w:val="17"/>
              <w:spacing w:before="0" w:after="0" w:line="240" w:lineRule="auto"/>
              <w:jc w:val="center"/>
              <w:rPr>
                <w:highlight w:val="none"/>
              </w:rPr>
            </w:pPr>
            <w:r>
              <w:rPr>
                <w:rFonts w:ascii="宋体" w:hAnsi="宋体" w:eastAsia="宋体" w:cs="宋体"/>
                <w:b w:val="0"/>
                <w:color w:val="000000"/>
                <w:sz w:val="16"/>
                <w:highlight w:val="none"/>
              </w:rPr>
              <w:t>能源计量与数据校验</w:t>
            </w:r>
          </w:p>
        </w:tc>
        <w:tc>
          <w:tcPr>
            <w:tcW w:w="950" w:type="dxa"/>
            <w:shd w:val="clear" w:color="auto" w:fill="FFFFFF"/>
            <w:tcMar>
              <w:top w:w="0" w:type="dxa"/>
              <w:left w:w="108" w:type="dxa"/>
              <w:bottom w:w="0" w:type="dxa"/>
              <w:right w:w="108" w:type="dxa"/>
            </w:tcMar>
            <w:vAlign w:val="center"/>
          </w:tcPr>
          <w:p w14:paraId="15CBFA00">
            <w:pPr>
              <w:pStyle w:val="17"/>
              <w:spacing w:before="0" w:after="0" w:line="240" w:lineRule="auto"/>
              <w:jc w:val="center"/>
              <w:rPr>
                <w:highlight w:val="none"/>
              </w:rPr>
            </w:pPr>
            <w:r>
              <w:rPr>
                <w:rFonts w:ascii="宋体" w:hAnsi="宋体" w:eastAsia="宋体" w:cs="宋体"/>
                <w:b w:val="0"/>
                <w:color w:val="000000"/>
                <w:sz w:val="16"/>
                <w:highlight w:val="none"/>
              </w:rPr>
              <w:t>数据与模型服务</w:t>
            </w:r>
          </w:p>
        </w:tc>
        <w:tc>
          <w:tcPr>
            <w:tcW w:w="1350" w:type="dxa"/>
            <w:shd w:val="clear" w:color="auto" w:fill="FFFFFF"/>
            <w:tcMar>
              <w:top w:w="0" w:type="dxa"/>
              <w:left w:w="108" w:type="dxa"/>
              <w:bottom w:w="0" w:type="dxa"/>
              <w:right w:w="108" w:type="dxa"/>
            </w:tcMar>
            <w:vAlign w:val="center"/>
          </w:tcPr>
          <w:p w14:paraId="1F2B05B6">
            <w:pPr>
              <w:pStyle w:val="17"/>
              <w:spacing w:before="0" w:after="0" w:line="240" w:lineRule="auto"/>
              <w:jc w:val="left"/>
              <w:rPr>
                <w:highlight w:val="none"/>
              </w:rPr>
            </w:pPr>
            <w:r>
              <w:rPr>
                <w:rFonts w:ascii="宋体" w:hAnsi="宋体" w:eastAsia="宋体" w:cs="宋体"/>
                <w:b w:val="0"/>
                <w:color w:val="000000"/>
                <w:sz w:val="16"/>
                <w:highlight w:val="none"/>
              </w:rPr>
              <w:t>任务标签 → 统一口径的能源计量数据</w:t>
            </w:r>
          </w:p>
        </w:tc>
        <w:tc>
          <w:tcPr>
            <w:tcW w:w="2000" w:type="dxa"/>
            <w:shd w:val="clear" w:color="auto" w:fill="FFFFFF"/>
            <w:tcMar>
              <w:top w:w="0" w:type="dxa"/>
              <w:left w:w="108" w:type="dxa"/>
              <w:bottom w:w="0" w:type="dxa"/>
              <w:right w:w="108" w:type="dxa"/>
            </w:tcMar>
            <w:vAlign w:val="center"/>
          </w:tcPr>
          <w:p w14:paraId="062036F6">
            <w:pPr>
              <w:pStyle w:val="17"/>
              <w:spacing w:before="0" w:after="0" w:line="240" w:lineRule="auto"/>
              <w:jc w:val="left"/>
              <w:rPr>
                <w:highlight w:val="none"/>
              </w:rPr>
            </w:pPr>
            <w:r>
              <w:rPr>
                <w:rFonts w:ascii="宋体" w:hAnsi="宋体" w:eastAsia="宋体" w:cs="宋体"/>
                <w:b w:val="0"/>
                <w:color w:val="000000"/>
                <w:sz w:val="16"/>
                <w:highlight w:val="none"/>
              </w:rPr>
              <w:t>统一DCS蒸汽/电力/水计量、MES产量与ERP能源数据的时间窗与口径，校验完整性与合理性。</w:t>
            </w:r>
          </w:p>
        </w:tc>
        <w:tc>
          <w:tcPr>
            <w:tcW w:w="1072" w:type="dxa"/>
            <w:shd w:val="clear" w:color="auto" w:fill="FFFFFF"/>
            <w:tcMar>
              <w:top w:w="0" w:type="dxa"/>
              <w:left w:w="108" w:type="dxa"/>
              <w:bottom w:w="0" w:type="dxa"/>
              <w:right w:w="108" w:type="dxa"/>
            </w:tcMar>
            <w:vAlign w:val="center"/>
          </w:tcPr>
          <w:p w14:paraId="76FB9D80">
            <w:pPr>
              <w:pStyle w:val="17"/>
              <w:spacing w:before="0" w:after="0" w:line="240" w:lineRule="auto"/>
              <w:jc w:val="left"/>
              <w:rPr>
                <w:highlight w:val="none"/>
              </w:rPr>
            </w:pPr>
            <w:r>
              <w:rPr>
                <w:rFonts w:ascii="宋体" w:hAnsi="宋体" w:eastAsia="宋体" w:cs="宋体"/>
                <w:b w:val="0"/>
                <w:color w:val="000000"/>
                <w:sz w:val="16"/>
                <w:highlight w:val="none"/>
              </w:rPr>
              <w:t>数据齐备进入03；缺口进入04如实说明。</w:t>
            </w:r>
          </w:p>
        </w:tc>
        <w:tc>
          <w:tcPr>
            <w:tcW w:w="2000" w:type="dxa"/>
            <w:shd w:val="clear" w:color="auto" w:fill="FFFFFF"/>
            <w:tcMar>
              <w:top w:w="0" w:type="dxa"/>
              <w:left w:w="108" w:type="dxa"/>
              <w:bottom w:w="0" w:type="dxa"/>
              <w:right w:w="108" w:type="dxa"/>
            </w:tcMar>
            <w:vAlign w:val="center"/>
          </w:tcPr>
          <w:p w14:paraId="3618D298">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71409332">
        <w:trPr>
          <w:cantSplit/>
          <w:jc w:val="center"/>
        </w:trPr>
        <w:tc>
          <w:tcPr>
            <w:tcW w:w="650" w:type="dxa"/>
            <w:shd w:val="clear" w:color="auto" w:fill="FFFFFF"/>
            <w:tcMar>
              <w:top w:w="0" w:type="dxa"/>
              <w:left w:w="108" w:type="dxa"/>
              <w:bottom w:w="0" w:type="dxa"/>
              <w:right w:w="108" w:type="dxa"/>
            </w:tcMar>
            <w:vAlign w:val="center"/>
          </w:tcPr>
          <w:p w14:paraId="072C313C">
            <w:pPr>
              <w:pStyle w:val="17"/>
              <w:spacing w:before="0" w:after="0" w:line="240" w:lineRule="auto"/>
              <w:jc w:val="center"/>
              <w:rPr>
                <w:highlight w:val="none"/>
              </w:rPr>
            </w:pPr>
            <w:r>
              <w:rPr>
                <w:rFonts w:ascii="宋体" w:hAnsi="宋体" w:eastAsia="宋体" w:cs="宋体"/>
                <w:b w:val="0"/>
                <w:color w:val="000000"/>
                <w:sz w:val="16"/>
                <w:highlight w:val="none"/>
              </w:rPr>
              <w:t>03</w:t>
            </w:r>
          </w:p>
        </w:tc>
        <w:tc>
          <w:tcPr>
            <w:tcW w:w="1050" w:type="dxa"/>
            <w:shd w:val="clear" w:color="auto" w:fill="FFFFFF"/>
            <w:tcMar>
              <w:top w:w="0" w:type="dxa"/>
              <w:left w:w="108" w:type="dxa"/>
              <w:bottom w:w="0" w:type="dxa"/>
              <w:right w:w="108" w:type="dxa"/>
            </w:tcMar>
            <w:vAlign w:val="center"/>
          </w:tcPr>
          <w:p w14:paraId="034C03F4">
            <w:pPr>
              <w:pStyle w:val="17"/>
              <w:spacing w:before="0" w:after="0" w:line="240" w:lineRule="auto"/>
              <w:jc w:val="center"/>
              <w:rPr>
                <w:highlight w:val="none"/>
              </w:rPr>
            </w:pPr>
            <w:r>
              <w:rPr>
                <w:rFonts w:ascii="宋体" w:hAnsi="宋体" w:eastAsia="宋体" w:cs="宋体"/>
                <w:b w:val="0"/>
                <w:color w:val="000000"/>
                <w:sz w:val="16"/>
                <w:highlight w:val="none"/>
              </w:rPr>
              <w:t>分项能耗核算</w:t>
            </w:r>
          </w:p>
        </w:tc>
        <w:tc>
          <w:tcPr>
            <w:tcW w:w="950" w:type="dxa"/>
            <w:shd w:val="clear" w:color="auto" w:fill="FFFFFF"/>
            <w:tcMar>
              <w:top w:w="0" w:type="dxa"/>
              <w:left w:w="108" w:type="dxa"/>
              <w:bottom w:w="0" w:type="dxa"/>
              <w:right w:w="108" w:type="dxa"/>
            </w:tcMar>
            <w:vAlign w:val="center"/>
          </w:tcPr>
          <w:p w14:paraId="5C41BCA8">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580F8D64">
            <w:pPr>
              <w:pStyle w:val="17"/>
              <w:spacing w:before="0" w:after="0" w:line="240" w:lineRule="auto"/>
              <w:jc w:val="left"/>
              <w:rPr>
                <w:highlight w:val="none"/>
              </w:rPr>
            </w:pPr>
            <w:r>
              <w:rPr>
                <w:rFonts w:ascii="宋体" w:hAnsi="宋体" w:eastAsia="宋体" w:cs="宋体"/>
                <w:b w:val="0"/>
                <w:color w:val="000000"/>
                <w:sz w:val="16"/>
                <w:highlight w:val="none"/>
              </w:rPr>
              <w:t>能源计量数据 → 分项能耗结果</w:t>
            </w:r>
          </w:p>
        </w:tc>
        <w:tc>
          <w:tcPr>
            <w:tcW w:w="2000" w:type="dxa"/>
            <w:shd w:val="clear" w:color="auto" w:fill="FFFFFF"/>
            <w:tcMar>
              <w:top w:w="0" w:type="dxa"/>
              <w:left w:w="108" w:type="dxa"/>
              <w:bottom w:w="0" w:type="dxa"/>
              <w:right w:w="108" w:type="dxa"/>
            </w:tcMar>
            <w:vAlign w:val="center"/>
          </w:tcPr>
          <w:p w14:paraId="2A9441EE">
            <w:pPr>
              <w:pStyle w:val="17"/>
              <w:spacing w:before="0" w:after="0" w:line="240" w:lineRule="auto"/>
              <w:jc w:val="left"/>
              <w:rPr>
                <w:highlight w:val="none"/>
              </w:rPr>
            </w:pPr>
            <w:r>
              <w:rPr>
                <w:rFonts w:ascii="宋体" w:hAnsi="宋体" w:eastAsia="宋体" w:cs="宋体"/>
                <w:b w:val="0"/>
                <w:color w:val="000000"/>
                <w:sz w:val="16"/>
                <w:highlight w:val="none"/>
              </w:rPr>
              <w:t>按工序归集蒸汽、电力、水消耗，形成分工序、分能源品种的能耗结果。</w:t>
            </w:r>
          </w:p>
        </w:tc>
        <w:tc>
          <w:tcPr>
            <w:tcW w:w="1072" w:type="dxa"/>
            <w:shd w:val="clear" w:color="auto" w:fill="FFFFFF"/>
            <w:tcMar>
              <w:top w:w="0" w:type="dxa"/>
              <w:left w:w="108" w:type="dxa"/>
              <w:bottom w:w="0" w:type="dxa"/>
              <w:right w:w="108" w:type="dxa"/>
            </w:tcMar>
            <w:vAlign w:val="center"/>
          </w:tcPr>
          <w:p w14:paraId="4C4A1F29">
            <w:pPr>
              <w:pStyle w:val="17"/>
              <w:spacing w:before="0" w:after="0" w:line="240" w:lineRule="auto"/>
              <w:jc w:val="left"/>
              <w:rPr>
                <w:highlight w:val="none"/>
              </w:rPr>
            </w:pPr>
            <w:r>
              <w:rPr>
                <w:rFonts w:ascii="宋体" w:hAnsi="宋体" w:eastAsia="宋体" w:cs="宋体"/>
                <w:b w:val="0"/>
                <w:color w:val="000000"/>
                <w:sz w:val="16"/>
                <w:highlight w:val="none"/>
              </w:rPr>
              <w:t>进入04；核算结果同步作为06～08的分析数据基础。</w:t>
            </w:r>
          </w:p>
        </w:tc>
        <w:tc>
          <w:tcPr>
            <w:tcW w:w="2000" w:type="dxa"/>
            <w:shd w:val="clear" w:color="auto" w:fill="FFFFFF"/>
            <w:tcMar>
              <w:top w:w="0" w:type="dxa"/>
              <w:left w:w="108" w:type="dxa"/>
              <w:bottom w:w="0" w:type="dxa"/>
              <w:right w:w="108" w:type="dxa"/>
            </w:tcMar>
            <w:vAlign w:val="center"/>
          </w:tcPr>
          <w:p w14:paraId="009DE01F">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142C9C50">
        <w:trPr>
          <w:cantSplit/>
          <w:jc w:val="center"/>
        </w:trPr>
        <w:tc>
          <w:tcPr>
            <w:tcW w:w="650" w:type="dxa"/>
            <w:shd w:val="clear" w:color="auto" w:fill="FFFFFF"/>
            <w:tcMar>
              <w:top w:w="0" w:type="dxa"/>
              <w:left w:w="108" w:type="dxa"/>
              <w:bottom w:w="0" w:type="dxa"/>
              <w:right w:w="108" w:type="dxa"/>
            </w:tcMar>
            <w:vAlign w:val="center"/>
          </w:tcPr>
          <w:p w14:paraId="7DA11DA5">
            <w:pPr>
              <w:pStyle w:val="17"/>
              <w:spacing w:before="0" w:after="0" w:line="240" w:lineRule="auto"/>
              <w:jc w:val="center"/>
              <w:rPr>
                <w:highlight w:val="none"/>
              </w:rPr>
            </w:pPr>
            <w:r>
              <w:rPr>
                <w:rFonts w:ascii="宋体" w:hAnsi="宋体" w:eastAsia="宋体" w:cs="宋体"/>
                <w:b w:val="0"/>
                <w:color w:val="000000"/>
                <w:sz w:val="16"/>
                <w:highlight w:val="none"/>
              </w:rPr>
              <w:t>04</w:t>
            </w:r>
          </w:p>
        </w:tc>
        <w:tc>
          <w:tcPr>
            <w:tcW w:w="1050" w:type="dxa"/>
            <w:shd w:val="clear" w:color="auto" w:fill="FFFFFF"/>
            <w:tcMar>
              <w:top w:w="0" w:type="dxa"/>
              <w:left w:w="108" w:type="dxa"/>
              <w:bottom w:w="0" w:type="dxa"/>
              <w:right w:w="108" w:type="dxa"/>
            </w:tcMar>
            <w:vAlign w:val="center"/>
          </w:tcPr>
          <w:p w14:paraId="5D9AF3E0">
            <w:pPr>
              <w:pStyle w:val="17"/>
              <w:spacing w:before="0" w:after="0" w:line="240" w:lineRule="auto"/>
              <w:jc w:val="center"/>
              <w:rPr>
                <w:highlight w:val="none"/>
              </w:rPr>
            </w:pPr>
            <w:r>
              <w:rPr>
                <w:rFonts w:ascii="宋体" w:hAnsi="宋体" w:eastAsia="宋体" w:cs="宋体"/>
                <w:b w:val="0"/>
                <w:color w:val="000000"/>
                <w:sz w:val="16"/>
                <w:highlight w:val="none"/>
              </w:rPr>
              <w:t>能源报告生成与推送</w:t>
            </w:r>
          </w:p>
        </w:tc>
        <w:tc>
          <w:tcPr>
            <w:tcW w:w="950" w:type="dxa"/>
            <w:shd w:val="clear" w:color="auto" w:fill="FFFFFF"/>
            <w:tcMar>
              <w:top w:w="0" w:type="dxa"/>
              <w:left w:w="108" w:type="dxa"/>
              <w:bottom w:w="0" w:type="dxa"/>
              <w:right w:w="108" w:type="dxa"/>
            </w:tcMar>
            <w:vAlign w:val="center"/>
          </w:tcPr>
          <w:p w14:paraId="05CB667E">
            <w:pPr>
              <w:pStyle w:val="17"/>
              <w:spacing w:before="0" w:after="0" w:line="240" w:lineRule="auto"/>
              <w:jc w:val="center"/>
              <w:rPr>
                <w:highlight w:val="none"/>
              </w:rPr>
            </w:pPr>
            <w:r>
              <w:rPr>
                <w:rFonts w:ascii="宋体" w:hAnsi="宋体" w:eastAsia="宋体" w:cs="宋体"/>
                <w:b w:val="0"/>
                <w:color w:val="000000"/>
                <w:sz w:val="16"/>
                <w:highlight w:val="none"/>
              </w:rPr>
              <w:t>平台门户</w:t>
            </w:r>
          </w:p>
        </w:tc>
        <w:tc>
          <w:tcPr>
            <w:tcW w:w="1350" w:type="dxa"/>
            <w:shd w:val="clear" w:color="auto" w:fill="FFFFFF"/>
            <w:tcMar>
              <w:top w:w="0" w:type="dxa"/>
              <w:left w:w="108" w:type="dxa"/>
              <w:bottom w:w="0" w:type="dxa"/>
              <w:right w:w="108" w:type="dxa"/>
            </w:tcMar>
            <w:vAlign w:val="center"/>
          </w:tcPr>
          <w:p w14:paraId="3331FF7E">
            <w:pPr>
              <w:pStyle w:val="17"/>
              <w:spacing w:before="0" w:after="0" w:line="240" w:lineRule="auto"/>
              <w:jc w:val="left"/>
              <w:rPr>
                <w:highlight w:val="none"/>
              </w:rPr>
            </w:pPr>
            <w:r>
              <w:rPr>
                <w:rFonts w:ascii="宋体" w:hAnsi="宋体" w:eastAsia="宋体" w:cs="宋体"/>
                <w:b w:val="0"/>
                <w:color w:val="000000"/>
                <w:sz w:val="16"/>
                <w:highlight w:val="none"/>
              </w:rPr>
              <w:t>分项能耗结果 → 能源报告</w:t>
            </w:r>
          </w:p>
        </w:tc>
        <w:tc>
          <w:tcPr>
            <w:tcW w:w="2000" w:type="dxa"/>
            <w:shd w:val="clear" w:color="auto" w:fill="FFFFFF"/>
            <w:tcMar>
              <w:top w:w="0" w:type="dxa"/>
              <w:left w:w="108" w:type="dxa"/>
              <w:bottom w:w="0" w:type="dxa"/>
              <w:right w:w="108" w:type="dxa"/>
            </w:tcMar>
            <w:vAlign w:val="center"/>
          </w:tcPr>
          <w:p w14:paraId="24E6A2B5">
            <w:pPr>
              <w:pStyle w:val="17"/>
              <w:spacing w:before="0" w:after="0" w:line="240" w:lineRule="auto"/>
              <w:jc w:val="left"/>
              <w:rPr>
                <w:highlight w:val="none"/>
              </w:rPr>
            </w:pPr>
            <w:r>
              <w:rPr>
                <w:rFonts w:ascii="宋体" w:hAnsi="宋体" w:eastAsia="宋体" w:cs="宋体"/>
                <w:b w:val="0"/>
                <w:color w:val="000000"/>
                <w:sz w:val="16"/>
                <w:highlight w:val="none"/>
              </w:rPr>
              <w:t>自动生成与现有管理口径一致的班/日/周/月能源报告并推送，保留计算依据。</w:t>
            </w:r>
          </w:p>
        </w:tc>
        <w:tc>
          <w:tcPr>
            <w:tcW w:w="1072" w:type="dxa"/>
            <w:shd w:val="clear" w:color="auto" w:fill="FFFFFF"/>
            <w:tcMar>
              <w:top w:w="0" w:type="dxa"/>
              <w:left w:w="108" w:type="dxa"/>
              <w:bottom w:w="0" w:type="dxa"/>
              <w:right w:w="108" w:type="dxa"/>
            </w:tcMar>
            <w:vAlign w:val="center"/>
          </w:tcPr>
          <w:p w14:paraId="0EEEC9B5">
            <w:pPr>
              <w:pStyle w:val="17"/>
              <w:spacing w:before="0" w:after="0" w:line="240" w:lineRule="auto"/>
              <w:jc w:val="left"/>
              <w:rPr>
                <w:highlight w:val="none"/>
              </w:rPr>
            </w:pPr>
            <w:r>
              <w:rPr>
                <w:rFonts w:ascii="宋体" w:hAnsi="宋体" w:eastAsia="宋体" w:cs="宋体"/>
                <w:b w:val="0"/>
                <w:color w:val="000000"/>
                <w:sz w:val="16"/>
                <w:highlight w:val="none"/>
              </w:rPr>
              <w:t>结束。</w:t>
            </w:r>
          </w:p>
        </w:tc>
        <w:tc>
          <w:tcPr>
            <w:tcW w:w="2000" w:type="dxa"/>
            <w:shd w:val="clear" w:color="auto" w:fill="FFFFFF"/>
            <w:tcMar>
              <w:top w:w="0" w:type="dxa"/>
              <w:left w:w="108" w:type="dxa"/>
              <w:bottom w:w="0" w:type="dxa"/>
              <w:right w:w="108" w:type="dxa"/>
            </w:tcMar>
            <w:vAlign w:val="center"/>
          </w:tcPr>
          <w:p w14:paraId="33066234">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065FF15E">
        <w:trPr>
          <w:cantSplit/>
          <w:jc w:val="center"/>
        </w:trPr>
        <w:tc>
          <w:tcPr>
            <w:tcW w:w="650" w:type="dxa"/>
            <w:shd w:val="clear" w:color="auto" w:fill="FFFFFF"/>
            <w:tcMar>
              <w:top w:w="0" w:type="dxa"/>
              <w:left w:w="108" w:type="dxa"/>
              <w:bottom w:w="0" w:type="dxa"/>
              <w:right w:w="108" w:type="dxa"/>
            </w:tcMar>
            <w:vAlign w:val="center"/>
          </w:tcPr>
          <w:p w14:paraId="5BD26563">
            <w:pPr>
              <w:pStyle w:val="17"/>
              <w:spacing w:before="0" w:after="0" w:line="240" w:lineRule="auto"/>
              <w:jc w:val="center"/>
              <w:rPr>
                <w:highlight w:val="none"/>
              </w:rPr>
            </w:pPr>
            <w:r>
              <w:rPr>
                <w:rFonts w:ascii="宋体" w:hAnsi="宋体" w:eastAsia="宋体" w:cs="宋体"/>
                <w:b w:val="0"/>
                <w:color w:val="000000"/>
                <w:sz w:val="16"/>
                <w:highlight w:val="none"/>
              </w:rPr>
              <w:t>05</w:t>
            </w:r>
          </w:p>
        </w:tc>
        <w:tc>
          <w:tcPr>
            <w:tcW w:w="1050" w:type="dxa"/>
            <w:shd w:val="clear" w:color="auto" w:fill="FFFFFF"/>
            <w:tcMar>
              <w:top w:w="0" w:type="dxa"/>
              <w:left w:w="108" w:type="dxa"/>
              <w:bottom w:w="0" w:type="dxa"/>
              <w:right w:w="108" w:type="dxa"/>
            </w:tcMar>
            <w:vAlign w:val="center"/>
          </w:tcPr>
          <w:p w14:paraId="08AEE7AC">
            <w:pPr>
              <w:pStyle w:val="17"/>
              <w:spacing w:before="0" w:after="0" w:line="240" w:lineRule="auto"/>
              <w:jc w:val="center"/>
              <w:rPr>
                <w:highlight w:val="none"/>
              </w:rPr>
            </w:pPr>
            <w:r>
              <w:rPr>
                <w:rFonts w:ascii="宋体" w:hAnsi="宋体" w:eastAsia="宋体" w:cs="宋体"/>
                <w:b w:val="0"/>
                <w:color w:val="000000"/>
                <w:sz w:val="16"/>
                <w:highlight w:val="none"/>
              </w:rPr>
              <w:t>提出能耗分析查询</w:t>
            </w:r>
          </w:p>
        </w:tc>
        <w:tc>
          <w:tcPr>
            <w:tcW w:w="950" w:type="dxa"/>
            <w:shd w:val="clear" w:color="auto" w:fill="FFFFFF"/>
            <w:tcMar>
              <w:top w:w="0" w:type="dxa"/>
              <w:left w:w="108" w:type="dxa"/>
              <w:bottom w:w="0" w:type="dxa"/>
              <w:right w:w="108" w:type="dxa"/>
            </w:tcMar>
            <w:vAlign w:val="center"/>
          </w:tcPr>
          <w:p w14:paraId="2E901B7E">
            <w:pPr>
              <w:pStyle w:val="17"/>
              <w:spacing w:before="0" w:after="0" w:line="240" w:lineRule="auto"/>
              <w:jc w:val="center"/>
              <w:rPr>
                <w:highlight w:val="none"/>
              </w:rPr>
            </w:pPr>
            <w:r>
              <w:rPr>
                <w:rFonts w:ascii="宋体" w:hAnsi="宋体" w:eastAsia="宋体" w:cs="宋体"/>
                <w:b w:val="0"/>
                <w:color w:val="000000"/>
                <w:sz w:val="16"/>
                <w:highlight w:val="none"/>
              </w:rPr>
              <w:t>业务事件源或用户</w:t>
            </w:r>
          </w:p>
        </w:tc>
        <w:tc>
          <w:tcPr>
            <w:tcW w:w="1350" w:type="dxa"/>
            <w:shd w:val="clear" w:color="auto" w:fill="FFFFFF"/>
            <w:tcMar>
              <w:top w:w="0" w:type="dxa"/>
              <w:left w:w="108" w:type="dxa"/>
              <w:bottom w:w="0" w:type="dxa"/>
              <w:right w:w="108" w:type="dxa"/>
            </w:tcMar>
            <w:vAlign w:val="center"/>
          </w:tcPr>
          <w:p w14:paraId="5C9704A6">
            <w:pPr>
              <w:pStyle w:val="17"/>
              <w:spacing w:before="0" w:after="0" w:line="240" w:lineRule="auto"/>
              <w:jc w:val="left"/>
              <w:rPr>
                <w:highlight w:val="none"/>
              </w:rPr>
            </w:pPr>
            <w:r>
              <w:rPr>
                <w:rFonts w:ascii="宋体" w:hAnsi="宋体" w:eastAsia="宋体" w:cs="宋体"/>
                <w:b w:val="0"/>
                <w:color w:val="000000"/>
                <w:sz w:val="16"/>
                <w:highlight w:val="none"/>
              </w:rPr>
              <w:t>问题 → 分析请求</w:t>
            </w:r>
          </w:p>
        </w:tc>
        <w:tc>
          <w:tcPr>
            <w:tcW w:w="2000" w:type="dxa"/>
            <w:shd w:val="clear" w:color="auto" w:fill="FFFFFF"/>
            <w:tcMar>
              <w:top w:w="0" w:type="dxa"/>
              <w:left w:w="108" w:type="dxa"/>
              <w:bottom w:w="0" w:type="dxa"/>
              <w:right w:w="108" w:type="dxa"/>
            </w:tcMar>
            <w:vAlign w:val="center"/>
          </w:tcPr>
          <w:p w14:paraId="49D944D2">
            <w:pPr>
              <w:pStyle w:val="17"/>
              <w:spacing w:before="0" w:after="0" w:line="240" w:lineRule="auto"/>
              <w:jc w:val="left"/>
              <w:rPr>
                <w:highlight w:val="none"/>
              </w:rPr>
            </w:pPr>
            <w:r>
              <w:rPr>
                <w:rFonts w:ascii="宋体" w:hAnsi="宋体" w:eastAsia="宋体" w:cs="宋体"/>
                <w:b w:val="0"/>
                <w:color w:val="000000"/>
                <w:sz w:val="16"/>
                <w:highlight w:val="none"/>
              </w:rPr>
              <w:t>用户查询能耗异常、能耗趋势或能效关联。</w:t>
            </w:r>
          </w:p>
        </w:tc>
        <w:tc>
          <w:tcPr>
            <w:tcW w:w="1072" w:type="dxa"/>
            <w:shd w:val="clear" w:color="auto" w:fill="FFFFFF"/>
            <w:tcMar>
              <w:top w:w="0" w:type="dxa"/>
              <w:left w:w="108" w:type="dxa"/>
              <w:bottom w:w="0" w:type="dxa"/>
              <w:right w:w="108" w:type="dxa"/>
            </w:tcMar>
            <w:vAlign w:val="center"/>
          </w:tcPr>
          <w:p w14:paraId="6CAEA2EC">
            <w:pPr>
              <w:pStyle w:val="17"/>
              <w:spacing w:before="0" w:after="0" w:line="240" w:lineRule="auto"/>
              <w:jc w:val="left"/>
              <w:rPr>
                <w:highlight w:val="none"/>
              </w:rPr>
            </w:pPr>
            <w:r>
              <w:rPr>
                <w:rFonts w:ascii="宋体" w:hAnsi="宋体" w:eastAsia="宋体" w:cs="宋体"/>
                <w:b w:val="0"/>
                <w:color w:val="000000"/>
                <w:sz w:val="16"/>
                <w:highlight w:val="none"/>
              </w:rPr>
              <w:t>偏差查询进入06；趋势查询进入07；关联分析进入08。</w:t>
            </w:r>
          </w:p>
        </w:tc>
        <w:tc>
          <w:tcPr>
            <w:tcW w:w="2000" w:type="dxa"/>
            <w:shd w:val="clear" w:color="auto" w:fill="FFFFFF"/>
            <w:tcMar>
              <w:top w:w="0" w:type="dxa"/>
              <w:left w:w="108" w:type="dxa"/>
              <w:bottom w:w="0" w:type="dxa"/>
              <w:right w:w="108" w:type="dxa"/>
            </w:tcMar>
            <w:vAlign w:val="center"/>
          </w:tcPr>
          <w:p w14:paraId="316002AF">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1CA76AE5">
        <w:trPr>
          <w:cantSplit/>
          <w:jc w:val="center"/>
        </w:trPr>
        <w:tc>
          <w:tcPr>
            <w:tcW w:w="650" w:type="dxa"/>
            <w:shd w:val="clear" w:color="auto" w:fill="FFFFFF"/>
            <w:tcMar>
              <w:top w:w="0" w:type="dxa"/>
              <w:left w:w="108" w:type="dxa"/>
              <w:bottom w:w="0" w:type="dxa"/>
              <w:right w:w="108" w:type="dxa"/>
            </w:tcMar>
            <w:vAlign w:val="center"/>
          </w:tcPr>
          <w:p w14:paraId="6B6550C2">
            <w:pPr>
              <w:pStyle w:val="17"/>
              <w:spacing w:before="0" w:after="0" w:line="240" w:lineRule="auto"/>
              <w:jc w:val="center"/>
              <w:rPr>
                <w:highlight w:val="none"/>
              </w:rPr>
            </w:pPr>
            <w:r>
              <w:rPr>
                <w:rFonts w:ascii="宋体" w:hAnsi="宋体" w:eastAsia="宋体" w:cs="宋体"/>
                <w:b w:val="0"/>
                <w:color w:val="000000"/>
                <w:sz w:val="16"/>
                <w:highlight w:val="none"/>
              </w:rPr>
              <w:t>06</w:t>
            </w:r>
          </w:p>
        </w:tc>
        <w:tc>
          <w:tcPr>
            <w:tcW w:w="1050" w:type="dxa"/>
            <w:shd w:val="clear" w:color="auto" w:fill="FFFFFF"/>
            <w:tcMar>
              <w:top w:w="0" w:type="dxa"/>
              <w:left w:w="108" w:type="dxa"/>
              <w:bottom w:w="0" w:type="dxa"/>
              <w:right w:w="108" w:type="dxa"/>
            </w:tcMar>
            <w:vAlign w:val="center"/>
          </w:tcPr>
          <w:p w14:paraId="44B26987">
            <w:pPr>
              <w:pStyle w:val="17"/>
              <w:spacing w:before="0" w:after="0" w:line="240" w:lineRule="auto"/>
              <w:jc w:val="center"/>
              <w:rPr>
                <w:highlight w:val="none"/>
              </w:rPr>
            </w:pPr>
            <w:r>
              <w:rPr>
                <w:rFonts w:ascii="宋体" w:hAnsi="宋体" w:eastAsia="宋体" w:cs="宋体"/>
                <w:b w:val="0"/>
                <w:color w:val="000000"/>
                <w:sz w:val="16"/>
                <w:highlight w:val="none"/>
              </w:rPr>
              <w:t>能耗偏差检测与归因分析</w:t>
            </w:r>
          </w:p>
        </w:tc>
        <w:tc>
          <w:tcPr>
            <w:tcW w:w="950" w:type="dxa"/>
            <w:shd w:val="clear" w:color="auto" w:fill="FFFFFF"/>
            <w:tcMar>
              <w:top w:w="0" w:type="dxa"/>
              <w:left w:w="108" w:type="dxa"/>
              <w:bottom w:w="0" w:type="dxa"/>
              <w:right w:w="108" w:type="dxa"/>
            </w:tcMar>
            <w:vAlign w:val="center"/>
          </w:tcPr>
          <w:p w14:paraId="6CCB82B2">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47996CE6">
            <w:pPr>
              <w:pStyle w:val="17"/>
              <w:spacing w:before="0" w:after="0" w:line="240" w:lineRule="auto"/>
              <w:jc w:val="left"/>
              <w:rPr>
                <w:highlight w:val="none"/>
              </w:rPr>
            </w:pPr>
            <w:r>
              <w:rPr>
                <w:rFonts w:ascii="宋体" w:hAnsi="宋体" w:eastAsia="宋体" w:cs="宋体"/>
                <w:b w:val="0"/>
                <w:color w:val="000000"/>
                <w:sz w:val="16"/>
                <w:highlight w:val="none"/>
              </w:rPr>
              <w:t>能耗数据、设备状态 → 偏差工序与可能原因</w:t>
            </w:r>
          </w:p>
        </w:tc>
        <w:tc>
          <w:tcPr>
            <w:tcW w:w="2000" w:type="dxa"/>
            <w:shd w:val="clear" w:color="auto" w:fill="FFFFFF"/>
            <w:tcMar>
              <w:top w:w="0" w:type="dxa"/>
              <w:left w:w="108" w:type="dxa"/>
              <w:bottom w:w="0" w:type="dxa"/>
              <w:right w:w="108" w:type="dxa"/>
            </w:tcMar>
            <w:vAlign w:val="center"/>
          </w:tcPr>
          <w:p w14:paraId="1E481A5C">
            <w:pPr>
              <w:pStyle w:val="17"/>
              <w:spacing w:before="0" w:after="0" w:line="240" w:lineRule="auto"/>
              <w:jc w:val="left"/>
              <w:rPr>
                <w:highlight w:val="none"/>
              </w:rPr>
            </w:pPr>
            <w:r>
              <w:rPr>
                <w:rFonts w:ascii="宋体" w:hAnsi="宋体" w:eastAsia="宋体" w:cs="宋体"/>
                <w:b w:val="0"/>
                <w:color w:val="000000"/>
                <w:sz w:val="16"/>
                <w:highlight w:val="none"/>
              </w:rPr>
              <w:t>识别能耗异常偏差，经产量负荷归一化后定位重点偏差工序及主要关联因素，给出数据证据。</w:t>
            </w:r>
          </w:p>
        </w:tc>
        <w:tc>
          <w:tcPr>
            <w:tcW w:w="1072" w:type="dxa"/>
            <w:shd w:val="clear" w:color="auto" w:fill="FFFFFF"/>
            <w:tcMar>
              <w:top w:w="0" w:type="dxa"/>
              <w:left w:w="108" w:type="dxa"/>
              <w:bottom w:w="0" w:type="dxa"/>
              <w:right w:w="108" w:type="dxa"/>
            </w:tcMar>
            <w:vAlign w:val="center"/>
          </w:tcPr>
          <w:p w14:paraId="7273761B">
            <w:pPr>
              <w:pStyle w:val="17"/>
              <w:spacing w:before="0" w:after="0" w:line="240" w:lineRule="auto"/>
              <w:jc w:val="left"/>
              <w:rPr>
                <w:highlight w:val="none"/>
              </w:rPr>
            </w:pPr>
            <w:r>
              <w:rPr>
                <w:rFonts w:ascii="宋体" w:hAnsi="宋体" w:eastAsia="宋体" w:cs="宋体"/>
                <w:b w:val="0"/>
                <w:color w:val="000000"/>
                <w:sz w:val="16"/>
                <w:highlight w:val="none"/>
              </w:rPr>
              <w:t>进入09。</w:t>
            </w:r>
          </w:p>
        </w:tc>
        <w:tc>
          <w:tcPr>
            <w:tcW w:w="2000" w:type="dxa"/>
            <w:shd w:val="clear" w:color="auto" w:fill="FFFFFF"/>
            <w:tcMar>
              <w:top w:w="0" w:type="dxa"/>
              <w:left w:w="108" w:type="dxa"/>
              <w:bottom w:w="0" w:type="dxa"/>
              <w:right w:w="108" w:type="dxa"/>
            </w:tcMar>
            <w:vAlign w:val="center"/>
          </w:tcPr>
          <w:p w14:paraId="747A2A64">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6D7B99BA">
        <w:trPr>
          <w:cantSplit/>
          <w:jc w:val="center"/>
        </w:trPr>
        <w:tc>
          <w:tcPr>
            <w:tcW w:w="650" w:type="dxa"/>
            <w:shd w:val="clear" w:color="auto" w:fill="FFFFFF"/>
            <w:tcMar>
              <w:top w:w="0" w:type="dxa"/>
              <w:left w:w="108" w:type="dxa"/>
              <w:bottom w:w="0" w:type="dxa"/>
              <w:right w:w="108" w:type="dxa"/>
            </w:tcMar>
            <w:vAlign w:val="center"/>
          </w:tcPr>
          <w:p w14:paraId="63B0CFF6">
            <w:pPr>
              <w:pStyle w:val="17"/>
              <w:spacing w:before="0" w:after="0" w:line="240" w:lineRule="auto"/>
              <w:jc w:val="center"/>
              <w:rPr>
                <w:highlight w:val="none"/>
              </w:rPr>
            </w:pPr>
            <w:r>
              <w:rPr>
                <w:rFonts w:ascii="宋体" w:hAnsi="宋体" w:eastAsia="宋体" w:cs="宋体"/>
                <w:b w:val="0"/>
                <w:color w:val="000000"/>
                <w:sz w:val="16"/>
                <w:highlight w:val="none"/>
              </w:rPr>
              <w:t>07</w:t>
            </w:r>
          </w:p>
        </w:tc>
        <w:tc>
          <w:tcPr>
            <w:tcW w:w="1050" w:type="dxa"/>
            <w:shd w:val="clear" w:color="auto" w:fill="FFFFFF"/>
            <w:tcMar>
              <w:top w:w="0" w:type="dxa"/>
              <w:left w:w="108" w:type="dxa"/>
              <w:bottom w:w="0" w:type="dxa"/>
              <w:right w:w="108" w:type="dxa"/>
            </w:tcMar>
            <w:vAlign w:val="center"/>
          </w:tcPr>
          <w:p w14:paraId="12B64EA6">
            <w:pPr>
              <w:pStyle w:val="17"/>
              <w:spacing w:before="0" w:after="0" w:line="240" w:lineRule="auto"/>
              <w:jc w:val="center"/>
              <w:rPr>
                <w:highlight w:val="none"/>
              </w:rPr>
            </w:pPr>
            <w:r>
              <w:rPr>
                <w:rFonts w:ascii="宋体" w:hAnsi="宋体" w:eastAsia="宋体" w:cs="宋体"/>
                <w:b w:val="0"/>
                <w:color w:val="000000"/>
                <w:sz w:val="16"/>
                <w:highlight w:val="none"/>
              </w:rPr>
              <w:t>能耗趋势预测与变化点预警</w:t>
            </w:r>
          </w:p>
        </w:tc>
        <w:tc>
          <w:tcPr>
            <w:tcW w:w="950" w:type="dxa"/>
            <w:shd w:val="clear" w:color="auto" w:fill="FFFFFF"/>
            <w:tcMar>
              <w:top w:w="0" w:type="dxa"/>
              <w:left w:w="108" w:type="dxa"/>
              <w:bottom w:w="0" w:type="dxa"/>
              <w:right w:w="108" w:type="dxa"/>
            </w:tcMar>
            <w:vAlign w:val="center"/>
          </w:tcPr>
          <w:p w14:paraId="6F40102C">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2FC6055C">
            <w:pPr>
              <w:pStyle w:val="17"/>
              <w:spacing w:before="0" w:after="0" w:line="240" w:lineRule="auto"/>
              <w:jc w:val="left"/>
              <w:rPr>
                <w:highlight w:val="none"/>
              </w:rPr>
            </w:pPr>
            <w:r>
              <w:rPr>
                <w:rFonts w:ascii="宋体" w:hAnsi="宋体" w:eastAsia="宋体" w:cs="宋体"/>
                <w:b w:val="0"/>
                <w:color w:val="000000"/>
                <w:sz w:val="16"/>
                <w:highlight w:val="none"/>
              </w:rPr>
              <w:t>能耗历史数据 → 趋势与预警</w:t>
            </w:r>
          </w:p>
        </w:tc>
        <w:tc>
          <w:tcPr>
            <w:tcW w:w="2000" w:type="dxa"/>
            <w:shd w:val="clear" w:color="auto" w:fill="FFFFFF"/>
            <w:tcMar>
              <w:top w:w="0" w:type="dxa"/>
              <w:left w:w="108" w:type="dxa"/>
              <w:bottom w:w="0" w:type="dxa"/>
              <w:right w:w="108" w:type="dxa"/>
            </w:tcMar>
            <w:vAlign w:val="center"/>
          </w:tcPr>
          <w:p w14:paraId="15C056E4">
            <w:pPr>
              <w:pStyle w:val="17"/>
              <w:spacing w:before="0" w:after="0" w:line="240" w:lineRule="auto"/>
              <w:jc w:val="left"/>
              <w:rPr>
                <w:highlight w:val="none"/>
              </w:rPr>
            </w:pPr>
            <w:r>
              <w:rPr>
                <w:rFonts w:ascii="宋体" w:hAnsi="宋体" w:eastAsia="宋体" w:cs="宋体"/>
                <w:b w:val="0"/>
                <w:color w:val="000000"/>
                <w:sz w:val="16"/>
                <w:highlight w:val="none"/>
              </w:rPr>
              <w:t>分析能耗多时间尺度趋势，识别持续上升、波动放大与变化拐点。</w:t>
            </w:r>
          </w:p>
        </w:tc>
        <w:tc>
          <w:tcPr>
            <w:tcW w:w="1072" w:type="dxa"/>
            <w:shd w:val="clear" w:color="auto" w:fill="FFFFFF"/>
            <w:tcMar>
              <w:top w:w="0" w:type="dxa"/>
              <w:left w:w="108" w:type="dxa"/>
              <w:bottom w:w="0" w:type="dxa"/>
              <w:right w:w="108" w:type="dxa"/>
            </w:tcMar>
            <w:vAlign w:val="center"/>
          </w:tcPr>
          <w:p w14:paraId="783D4116">
            <w:pPr>
              <w:pStyle w:val="17"/>
              <w:spacing w:before="0" w:after="0" w:line="240" w:lineRule="auto"/>
              <w:jc w:val="left"/>
              <w:rPr>
                <w:highlight w:val="none"/>
              </w:rPr>
            </w:pPr>
            <w:r>
              <w:rPr>
                <w:rFonts w:ascii="宋体" w:hAnsi="宋体" w:eastAsia="宋体" w:cs="宋体"/>
                <w:b w:val="0"/>
                <w:color w:val="000000"/>
                <w:sz w:val="16"/>
                <w:highlight w:val="none"/>
              </w:rPr>
              <w:t>进入09。</w:t>
            </w:r>
          </w:p>
        </w:tc>
        <w:tc>
          <w:tcPr>
            <w:tcW w:w="2000" w:type="dxa"/>
            <w:shd w:val="clear" w:color="auto" w:fill="FFFFFF"/>
            <w:tcMar>
              <w:top w:w="0" w:type="dxa"/>
              <w:left w:w="108" w:type="dxa"/>
              <w:bottom w:w="0" w:type="dxa"/>
              <w:right w:w="108" w:type="dxa"/>
            </w:tcMar>
            <w:vAlign w:val="center"/>
          </w:tcPr>
          <w:p w14:paraId="52CADC5E">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1416DD70">
        <w:trPr>
          <w:cantSplit/>
          <w:jc w:val="center"/>
        </w:trPr>
        <w:tc>
          <w:tcPr>
            <w:tcW w:w="650" w:type="dxa"/>
            <w:shd w:val="clear" w:color="auto" w:fill="FFFFFF"/>
            <w:tcMar>
              <w:top w:w="0" w:type="dxa"/>
              <w:left w:w="108" w:type="dxa"/>
              <w:bottom w:w="0" w:type="dxa"/>
              <w:right w:w="108" w:type="dxa"/>
            </w:tcMar>
            <w:vAlign w:val="center"/>
          </w:tcPr>
          <w:p w14:paraId="1490D412">
            <w:pPr>
              <w:pStyle w:val="17"/>
              <w:spacing w:before="0" w:after="0" w:line="240" w:lineRule="auto"/>
              <w:jc w:val="center"/>
              <w:rPr>
                <w:highlight w:val="none"/>
              </w:rPr>
            </w:pPr>
            <w:r>
              <w:rPr>
                <w:rFonts w:ascii="宋体" w:hAnsi="宋体" w:eastAsia="宋体" w:cs="宋体"/>
                <w:b w:val="0"/>
                <w:color w:val="000000"/>
                <w:sz w:val="16"/>
                <w:highlight w:val="none"/>
              </w:rPr>
              <w:t>08</w:t>
            </w:r>
          </w:p>
        </w:tc>
        <w:tc>
          <w:tcPr>
            <w:tcW w:w="1050" w:type="dxa"/>
            <w:shd w:val="clear" w:color="auto" w:fill="FFFFFF"/>
            <w:tcMar>
              <w:top w:w="0" w:type="dxa"/>
              <w:left w:w="108" w:type="dxa"/>
              <w:bottom w:w="0" w:type="dxa"/>
              <w:right w:w="108" w:type="dxa"/>
            </w:tcMar>
            <w:vAlign w:val="center"/>
          </w:tcPr>
          <w:p w14:paraId="159004EE">
            <w:pPr>
              <w:pStyle w:val="17"/>
              <w:spacing w:before="0" w:after="0" w:line="240" w:lineRule="auto"/>
              <w:jc w:val="center"/>
              <w:rPr>
                <w:highlight w:val="none"/>
              </w:rPr>
            </w:pPr>
            <w:r>
              <w:rPr>
                <w:rFonts w:ascii="宋体" w:hAnsi="宋体" w:eastAsia="宋体" w:cs="宋体"/>
                <w:b w:val="0"/>
                <w:color w:val="000000"/>
                <w:sz w:val="16"/>
                <w:highlight w:val="none"/>
              </w:rPr>
              <w:t>能效关联分析</w:t>
            </w:r>
          </w:p>
        </w:tc>
        <w:tc>
          <w:tcPr>
            <w:tcW w:w="950" w:type="dxa"/>
            <w:shd w:val="clear" w:color="auto" w:fill="FFFFFF"/>
            <w:tcMar>
              <w:top w:w="0" w:type="dxa"/>
              <w:left w:w="108" w:type="dxa"/>
              <w:bottom w:w="0" w:type="dxa"/>
              <w:right w:w="108" w:type="dxa"/>
            </w:tcMar>
            <w:vAlign w:val="center"/>
          </w:tcPr>
          <w:p w14:paraId="18DE16C6">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26A5D6F8">
            <w:pPr>
              <w:pStyle w:val="17"/>
              <w:spacing w:before="0" w:after="0" w:line="240" w:lineRule="auto"/>
              <w:jc w:val="left"/>
              <w:rPr>
                <w:highlight w:val="none"/>
              </w:rPr>
            </w:pPr>
            <w:r>
              <w:rPr>
                <w:rFonts w:ascii="宋体" w:hAnsi="宋体" w:eastAsia="宋体" w:cs="宋体"/>
                <w:b w:val="0"/>
                <w:color w:val="000000"/>
                <w:sz w:val="16"/>
                <w:highlight w:val="none"/>
              </w:rPr>
              <w:t>核算结果、过程变量 → 相关性分析结果</w:t>
            </w:r>
          </w:p>
        </w:tc>
        <w:tc>
          <w:tcPr>
            <w:tcW w:w="2000" w:type="dxa"/>
            <w:shd w:val="clear" w:color="auto" w:fill="FFFFFF"/>
            <w:tcMar>
              <w:top w:w="0" w:type="dxa"/>
              <w:left w:w="108" w:type="dxa"/>
              <w:bottom w:w="0" w:type="dxa"/>
              <w:right w:w="108" w:type="dxa"/>
            </w:tcMar>
            <w:vAlign w:val="center"/>
          </w:tcPr>
          <w:p w14:paraId="2CFE4DDB">
            <w:pPr>
              <w:pStyle w:val="17"/>
              <w:spacing w:before="0" w:after="0" w:line="240" w:lineRule="auto"/>
              <w:jc w:val="left"/>
              <w:rPr>
                <w:highlight w:val="none"/>
              </w:rPr>
            </w:pPr>
            <w:r>
              <w:rPr>
                <w:rFonts w:ascii="宋体" w:hAnsi="宋体" w:eastAsia="宋体" w:cs="宋体"/>
                <w:b w:val="0"/>
                <w:color w:val="000000"/>
                <w:sz w:val="16"/>
                <w:highlight w:val="none"/>
              </w:rPr>
              <w:t>分析蒸发、液化等重点环节的过程变量与能耗之间的关联关系。</w:t>
            </w:r>
          </w:p>
        </w:tc>
        <w:tc>
          <w:tcPr>
            <w:tcW w:w="1072" w:type="dxa"/>
            <w:shd w:val="clear" w:color="auto" w:fill="FFFFFF"/>
            <w:tcMar>
              <w:top w:w="0" w:type="dxa"/>
              <w:left w:w="108" w:type="dxa"/>
              <w:bottom w:w="0" w:type="dxa"/>
              <w:right w:w="108" w:type="dxa"/>
            </w:tcMar>
            <w:vAlign w:val="center"/>
          </w:tcPr>
          <w:p w14:paraId="33A8414A">
            <w:pPr>
              <w:pStyle w:val="17"/>
              <w:spacing w:before="0" w:after="0" w:line="240" w:lineRule="auto"/>
              <w:jc w:val="left"/>
              <w:rPr>
                <w:highlight w:val="none"/>
              </w:rPr>
            </w:pPr>
            <w:r>
              <w:rPr>
                <w:rFonts w:ascii="宋体" w:hAnsi="宋体" w:eastAsia="宋体" w:cs="宋体"/>
                <w:b w:val="0"/>
                <w:color w:val="000000"/>
                <w:sz w:val="16"/>
                <w:highlight w:val="none"/>
              </w:rPr>
              <w:t>进入09。</w:t>
            </w:r>
          </w:p>
        </w:tc>
        <w:tc>
          <w:tcPr>
            <w:tcW w:w="2000" w:type="dxa"/>
            <w:shd w:val="clear" w:color="auto" w:fill="FFFFFF"/>
            <w:tcMar>
              <w:top w:w="0" w:type="dxa"/>
              <w:left w:w="108" w:type="dxa"/>
              <w:bottom w:w="0" w:type="dxa"/>
              <w:right w:w="108" w:type="dxa"/>
            </w:tcMar>
            <w:vAlign w:val="center"/>
          </w:tcPr>
          <w:p w14:paraId="16A95742">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3F211822">
        <w:trPr>
          <w:cantSplit/>
          <w:jc w:val="center"/>
        </w:trPr>
        <w:tc>
          <w:tcPr>
            <w:tcW w:w="650" w:type="dxa"/>
            <w:shd w:val="clear" w:color="auto" w:fill="FFFFFF"/>
            <w:tcMar>
              <w:top w:w="0" w:type="dxa"/>
              <w:left w:w="108" w:type="dxa"/>
              <w:bottom w:w="0" w:type="dxa"/>
              <w:right w:w="108" w:type="dxa"/>
            </w:tcMar>
            <w:vAlign w:val="center"/>
          </w:tcPr>
          <w:p w14:paraId="21C816C0">
            <w:pPr>
              <w:pStyle w:val="17"/>
              <w:spacing w:before="0" w:after="0" w:line="240" w:lineRule="auto"/>
              <w:jc w:val="center"/>
              <w:rPr>
                <w:highlight w:val="none"/>
              </w:rPr>
            </w:pPr>
            <w:r>
              <w:rPr>
                <w:rFonts w:ascii="宋体" w:hAnsi="宋体" w:eastAsia="宋体" w:cs="宋体"/>
                <w:b w:val="0"/>
                <w:color w:val="000000"/>
                <w:sz w:val="16"/>
                <w:highlight w:val="none"/>
              </w:rPr>
              <w:t>09</w:t>
            </w:r>
          </w:p>
        </w:tc>
        <w:tc>
          <w:tcPr>
            <w:tcW w:w="1050" w:type="dxa"/>
            <w:shd w:val="clear" w:color="auto" w:fill="FFFFFF"/>
            <w:tcMar>
              <w:top w:w="0" w:type="dxa"/>
              <w:left w:w="108" w:type="dxa"/>
              <w:bottom w:w="0" w:type="dxa"/>
              <w:right w:w="108" w:type="dxa"/>
            </w:tcMar>
            <w:vAlign w:val="center"/>
          </w:tcPr>
          <w:p w14:paraId="04D537A8">
            <w:pPr>
              <w:pStyle w:val="17"/>
              <w:spacing w:before="0" w:after="0" w:line="240" w:lineRule="auto"/>
              <w:jc w:val="center"/>
              <w:rPr>
                <w:highlight w:val="none"/>
              </w:rPr>
            </w:pPr>
            <w:r>
              <w:rPr>
                <w:rFonts w:ascii="宋体" w:hAnsi="宋体" w:eastAsia="宋体" w:cs="宋体"/>
                <w:b w:val="0"/>
                <w:color w:val="000000"/>
                <w:sz w:val="16"/>
                <w:highlight w:val="none"/>
              </w:rPr>
              <w:t>分析结果输出</w:t>
            </w:r>
          </w:p>
        </w:tc>
        <w:tc>
          <w:tcPr>
            <w:tcW w:w="950" w:type="dxa"/>
            <w:shd w:val="clear" w:color="auto" w:fill="FFFFFF"/>
            <w:tcMar>
              <w:top w:w="0" w:type="dxa"/>
              <w:left w:w="108" w:type="dxa"/>
              <w:bottom w:w="0" w:type="dxa"/>
              <w:right w:w="108" w:type="dxa"/>
            </w:tcMar>
            <w:vAlign w:val="center"/>
          </w:tcPr>
          <w:p w14:paraId="0369ABB0">
            <w:pPr>
              <w:pStyle w:val="17"/>
              <w:spacing w:before="0" w:after="0" w:line="240" w:lineRule="auto"/>
              <w:jc w:val="center"/>
              <w:rPr>
                <w:highlight w:val="none"/>
              </w:rPr>
            </w:pPr>
            <w:r>
              <w:rPr>
                <w:rFonts w:ascii="宋体" w:hAnsi="宋体" w:eastAsia="宋体" w:cs="宋体"/>
                <w:b w:val="0"/>
                <w:color w:val="000000"/>
                <w:sz w:val="16"/>
                <w:highlight w:val="none"/>
              </w:rPr>
              <w:t>平台门户</w:t>
            </w:r>
          </w:p>
        </w:tc>
        <w:tc>
          <w:tcPr>
            <w:tcW w:w="1350" w:type="dxa"/>
            <w:shd w:val="clear" w:color="auto" w:fill="FFFFFF"/>
            <w:tcMar>
              <w:top w:w="0" w:type="dxa"/>
              <w:left w:w="108" w:type="dxa"/>
              <w:bottom w:w="0" w:type="dxa"/>
              <w:right w:w="108" w:type="dxa"/>
            </w:tcMar>
            <w:vAlign w:val="center"/>
          </w:tcPr>
          <w:p w14:paraId="3EE59906">
            <w:pPr>
              <w:pStyle w:val="17"/>
              <w:spacing w:before="0" w:after="0" w:line="240" w:lineRule="auto"/>
              <w:jc w:val="left"/>
              <w:rPr>
                <w:highlight w:val="none"/>
              </w:rPr>
            </w:pPr>
            <w:r>
              <w:rPr>
                <w:rFonts w:ascii="宋体" w:hAnsi="宋体" w:eastAsia="宋体" w:cs="宋体"/>
                <w:b w:val="0"/>
                <w:color w:val="000000"/>
                <w:sz w:val="16"/>
                <w:highlight w:val="none"/>
              </w:rPr>
              <w:t>分析结果 → 分析结果呈现</w:t>
            </w:r>
          </w:p>
        </w:tc>
        <w:tc>
          <w:tcPr>
            <w:tcW w:w="2000" w:type="dxa"/>
            <w:shd w:val="clear" w:color="auto" w:fill="FFFFFF"/>
            <w:tcMar>
              <w:top w:w="0" w:type="dxa"/>
              <w:left w:w="108" w:type="dxa"/>
              <w:bottom w:w="0" w:type="dxa"/>
              <w:right w:w="108" w:type="dxa"/>
            </w:tcMar>
            <w:vAlign w:val="center"/>
          </w:tcPr>
          <w:p w14:paraId="5982D806">
            <w:pPr>
              <w:pStyle w:val="17"/>
              <w:spacing w:before="0" w:after="0" w:line="240" w:lineRule="auto"/>
              <w:jc w:val="left"/>
              <w:rPr>
                <w:highlight w:val="none"/>
              </w:rPr>
            </w:pPr>
            <w:r>
              <w:rPr>
                <w:rFonts w:ascii="宋体" w:hAnsi="宋体" w:eastAsia="宋体" w:cs="宋体"/>
                <w:b w:val="0"/>
                <w:color w:val="000000"/>
                <w:sz w:val="16"/>
                <w:highlight w:val="none"/>
              </w:rPr>
              <w:t>呈现偏差、趋势与关联分析结果，标注数据来源与计算口径；只提供数据分析，不给出操作建议。</w:t>
            </w:r>
          </w:p>
        </w:tc>
        <w:tc>
          <w:tcPr>
            <w:tcW w:w="1072" w:type="dxa"/>
            <w:shd w:val="clear" w:color="auto" w:fill="FFFFFF"/>
            <w:tcMar>
              <w:top w:w="0" w:type="dxa"/>
              <w:left w:w="108" w:type="dxa"/>
              <w:bottom w:w="0" w:type="dxa"/>
              <w:right w:w="108" w:type="dxa"/>
            </w:tcMar>
            <w:vAlign w:val="center"/>
          </w:tcPr>
          <w:p w14:paraId="7E4E90C3">
            <w:pPr>
              <w:pStyle w:val="17"/>
              <w:spacing w:before="0" w:after="0" w:line="240" w:lineRule="auto"/>
              <w:jc w:val="left"/>
              <w:rPr>
                <w:highlight w:val="none"/>
              </w:rPr>
            </w:pPr>
            <w:r>
              <w:rPr>
                <w:rFonts w:ascii="宋体" w:hAnsi="宋体" w:eastAsia="宋体" w:cs="宋体"/>
                <w:b w:val="0"/>
                <w:color w:val="000000"/>
                <w:sz w:val="16"/>
                <w:highlight w:val="none"/>
              </w:rPr>
              <w:t>结束。</w:t>
            </w:r>
          </w:p>
        </w:tc>
        <w:tc>
          <w:tcPr>
            <w:tcW w:w="2000" w:type="dxa"/>
            <w:shd w:val="clear" w:color="auto" w:fill="FFFFFF"/>
            <w:tcMar>
              <w:top w:w="0" w:type="dxa"/>
              <w:left w:w="108" w:type="dxa"/>
              <w:bottom w:w="0" w:type="dxa"/>
              <w:right w:w="108" w:type="dxa"/>
            </w:tcMar>
            <w:vAlign w:val="center"/>
          </w:tcPr>
          <w:p w14:paraId="20E5345C">
            <w:pPr>
              <w:pStyle w:val="17"/>
              <w:spacing w:before="0" w:after="0" w:line="240" w:lineRule="auto"/>
              <w:jc w:val="left"/>
              <w:rPr>
                <w:highlight w:val="none"/>
              </w:rPr>
            </w:pPr>
            <w:r>
              <w:rPr>
                <w:rFonts w:ascii="宋体" w:hAnsi="宋体" w:eastAsia="宋体" w:cs="宋体"/>
                <w:b w:val="0"/>
                <w:color w:val="000000"/>
                <w:sz w:val="16"/>
                <w:highlight w:val="none"/>
              </w:rPr>
              <w:t>—</w:t>
            </w:r>
          </w:p>
        </w:tc>
      </w:tr>
    </w:tbl>
    <w:p w14:paraId="72000010">
      <w:pPr>
        <w:pStyle w:val="4"/>
        <w:snapToGrid w:val="0"/>
      </w:pPr>
      <w:bookmarkStart w:id="18" w:name="s3_2_6"/>
      <w:r>
        <w:rPr>
          <w:rFonts w:ascii="黑体" w:hAnsi="黑体" w:eastAsia="黑体" w:cs="黑体"/>
          <w:b/>
          <w:color w:val="000000"/>
        </w:rPr>
        <w:t>3.2.6　成本追溯</w:t>
      </w:r>
      <w:bookmarkEnd w:id="18"/>
    </w:p>
    <w:p w14:paraId="30BD8FDC">
      <w:pPr>
        <w:pStyle w:val="12"/>
        <w:keepNext/>
        <w:snapToGrid w:val="0"/>
        <w:spacing w:before="0" w:after="40" w:line="240" w:lineRule="auto"/>
        <w:ind w:left="0" w:right="0" w:firstLine="0" w:firstLineChars="0"/>
        <w:jc w:val="center"/>
      </w:pPr>
      <w:r>
        <w:drawing>
          <wp:inline distT="0" distB="0" distL="0" distR="0">
            <wp:extent cx="5759450" cy="4787265"/>
            <wp:effectExtent l="0" t="0" r="0" b="0"/>
            <wp:docPr id="9" name="P-ZLTC-AI-CBZS-107 成本追溯业务流程" descr="P-ZLTC-AI-CBZS-107 成本追溯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ZLTC-AI-CBZS-107 成本追溯业务流程" descr="P-ZLTC-AI-CBZS-107 成本追溯业务流程"/>
                    <pic:cNvPicPr>
                      <a:picLocks noChangeAspect="1"/>
                    </pic:cNvPicPr>
                  </pic:nvPicPr>
                  <pic:blipFill>
                    <a:blip r:embed="rId17"/>
                    <a:stretch>
                      <a:fillRect/>
                    </a:stretch>
                  </pic:blipFill>
                  <pic:spPr>
                    <a:xfrm>
                      <a:off x="0" y="0"/>
                      <a:ext cx="5759450" cy="4787543"/>
                    </a:xfrm>
                    <a:prstGeom prst="rect">
                      <a:avLst/>
                    </a:prstGeom>
                  </pic:spPr>
                </pic:pic>
              </a:graphicData>
            </a:graphic>
          </wp:inline>
        </w:drawing>
      </w:r>
    </w:p>
    <w:p w14:paraId="06B24B6D">
      <w:pPr>
        <w:pStyle w:val="15"/>
        <w:keepNext w:val="0"/>
        <w:snapToGrid w:val="0"/>
        <w:jc w:val="center"/>
      </w:pPr>
      <w:r>
        <w:t>图3-7　成本追溯业务流程图</w:t>
      </w:r>
    </w:p>
    <w:p w14:paraId="3E9D1207">
      <w:pPr>
        <w:pStyle w:val="15"/>
        <w:keepNext/>
        <w:snapToGrid w:val="0"/>
        <w:jc w:val="center"/>
      </w:pPr>
      <w:r>
        <w:t>表3-7　成本追溯业务流程说明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1650DB14">
        <w:trPr>
          <w:cantSplit/>
          <w:tblHeader/>
          <w:jc w:val="center"/>
        </w:trPr>
        <w:tc>
          <w:tcPr>
            <w:tcW w:w="650" w:type="dxa"/>
            <w:shd w:val="clear" w:color="auto" w:fill="FFFFFF"/>
            <w:vAlign w:val="center"/>
          </w:tcPr>
          <w:p w14:paraId="7F3BDA90">
            <w:pPr>
              <w:keepNext/>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59477B01">
            <w:pPr>
              <w:keepNext/>
              <w:spacing w:before="0" w:after="0" w:line="240" w:lineRule="auto"/>
              <w:ind w:left="0" w:right="0" w:firstLine="0" w:firstLineChars="0"/>
              <w:jc w:val="center"/>
            </w:pPr>
            <w:r>
              <w:rPr>
                <w:rFonts w:ascii="宋体" w:hAnsi="宋体" w:eastAsia="宋体" w:cs="宋体"/>
                <w:b/>
                <w:bCs/>
                <w:color w:val="000000"/>
                <w:sz w:val="16"/>
                <w:szCs w:val="16"/>
              </w:rPr>
              <w:t>节点名称</w:t>
            </w:r>
          </w:p>
        </w:tc>
        <w:tc>
          <w:tcPr>
            <w:tcW w:w="950" w:type="dxa"/>
            <w:shd w:val="clear" w:color="auto" w:fill="FFFFFF"/>
            <w:vAlign w:val="center"/>
          </w:tcPr>
          <w:p w14:paraId="14F83698">
            <w:pPr>
              <w:keepNext/>
              <w:spacing w:before="0" w:after="0" w:line="240" w:lineRule="auto"/>
              <w:ind w:left="0" w:right="0" w:firstLine="0" w:firstLineChars="0"/>
              <w:jc w:val="center"/>
            </w:pPr>
            <w:r>
              <w:rPr>
                <w:rFonts w:ascii="宋体" w:hAnsi="宋体" w:eastAsia="宋体" w:cs="宋体"/>
                <w:b/>
                <w:bCs/>
                <w:color w:val="000000"/>
                <w:sz w:val="16"/>
                <w:szCs w:val="16"/>
              </w:rPr>
              <w:t>责任节点</w:t>
            </w:r>
          </w:p>
        </w:tc>
        <w:tc>
          <w:tcPr>
            <w:tcW w:w="1350" w:type="dxa"/>
            <w:shd w:val="clear" w:color="auto" w:fill="FFFFFF"/>
            <w:vAlign w:val="center"/>
          </w:tcPr>
          <w:p w14:paraId="493F4FFF">
            <w:pPr>
              <w:keepNext/>
              <w:spacing w:before="0" w:after="0" w:line="240" w:lineRule="auto"/>
              <w:ind w:left="0" w:right="0" w:firstLine="0" w:firstLineChars="0"/>
              <w:jc w:val="center"/>
            </w:pPr>
            <w:r>
              <w:rPr>
                <w:rFonts w:ascii="宋体" w:hAnsi="宋体" w:eastAsia="宋体" w:cs="宋体"/>
                <w:b/>
                <w:bCs/>
                <w:color w:val="000000"/>
                <w:sz w:val="16"/>
                <w:szCs w:val="16"/>
              </w:rPr>
              <w:t>输入/输出</w:t>
            </w:r>
          </w:p>
        </w:tc>
        <w:tc>
          <w:tcPr>
            <w:tcW w:w="2000" w:type="dxa"/>
            <w:shd w:val="clear" w:color="auto" w:fill="FFFFFF"/>
            <w:vAlign w:val="center"/>
          </w:tcPr>
          <w:p w14:paraId="2C106A61">
            <w:pPr>
              <w:keepNext/>
              <w:spacing w:before="0" w:after="0" w:line="240" w:lineRule="auto"/>
              <w:ind w:left="0" w:right="0" w:firstLine="0" w:firstLineChars="0"/>
              <w:jc w:val="center"/>
            </w:pPr>
            <w:r>
              <w:rPr>
                <w:rFonts w:ascii="宋体" w:hAnsi="宋体" w:eastAsia="宋体" w:cs="宋体"/>
                <w:b/>
                <w:bCs/>
                <w:color w:val="000000"/>
                <w:sz w:val="16"/>
                <w:szCs w:val="16"/>
              </w:rPr>
              <w:t>处理说明</w:t>
            </w:r>
          </w:p>
        </w:tc>
        <w:tc>
          <w:tcPr>
            <w:tcW w:w="1072" w:type="dxa"/>
            <w:shd w:val="clear" w:color="auto" w:fill="FFFFFF"/>
            <w:vAlign w:val="center"/>
          </w:tcPr>
          <w:p w14:paraId="098BB481">
            <w:pPr>
              <w:keepNext/>
              <w:spacing w:before="0" w:after="0" w:line="240" w:lineRule="auto"/>
              <w:ind w:left="0" w:right="0" w:firstLine="0" w:firstLineChars="0"/>
              <w:jc w:val="center"/>
            </w:pPr>
            <w:r>
              <w:rPr>
                <w:rFonts w:ascii="宋体" w:hAnsi="宋体" w:eastAsia="宋体" w:cs="宋体"/>
                <w:b/>
                <w:bCs/>
                <w:color w:val="000000"/>
                <w:sz w:val="16"/>
                <w:szCs w:val="16"/>
              </w:rPr>
              <w:t>异常/分支</w:t>
            </w:r>
          </w:p>
        </w:tc>
        <w:tc>
          <w:tcPr>
            <w:tcW w:w="2000" w:type="dxa"/>
            <w:shd w:val="clear" w:color="auto" w:fill="FFFFFF"/>
            <w:vAlign w:val="center"/>
          </w:tcPr>
          <w:p w14:paraId="3B5B6D41">
            <w:pPr>
              <w:keepNext/>
              <w:spacing w:before="0" w:after="0" w:line="240" w:lineRule="auto"/>
              <w:ind w:left="0" w:right="0" w:firstLine="0" w:firstLineChars="0"/>
              <w:jc w:val="center"/>
            </w:pPr>
            <w:r>
              <w:rPr>
                <w:rFonts w:ascii="宋体" w:hAnsi="宋体" w:eastAsia="宋体" w:cs="宋体"/>
                <w:b/>
                <w:bCs/>
                <w:color w:val="000000"/>
                <w:sz w:val="16"/>
                <w:szCs w:val="16"/>
              </w:rPr>
              <w:t>关联规则</w:t>
            </w:r>
          </w:p>
        </w:tc>
      </w:tr>
      <w:tr w14:paraId="442D1E7C">
        <w:trPr>
          <w:cantSplit/>
          <w:jc w:val="center"/>
        </w:trPr>
        <w:tc>
          <w:tcPr>
            <w:tcW w:w="650" w:type="dxa"/>
            <w:shd w:val="clear" w:color="auto" w:fill="FFFFFF"/>
            <w:vAlign w:val="center"/>
          </w:tcPr>
          <w:p w14:paraId="487156AE">
            <w:pPr>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17CDF034">
            <w:pPr>
              <w:spacing w:before="0" w:after="0" w:line="240" w:lineRule="auto"/>
              <w:ind w:left="0" w:right="0" w:firstLine="0" w:firstLineChars="0"/>
              <w:jc w:val="center"/>
            </w:pPr>
            <w:r>
              <w:rPr>
                <w:rFonts w:ascii="宋体" w:hAnsi="宋体" w:eastAsia="宋体" w:cs="宋体"/>
                <w:b w:val="0"/>
                <w:bCs w:val="0"/>
                <w:color w:val="000000"/>
                <w:sz w:val="16"/>
                <w:szCs w:val="16"/>
              </w:rPr>
              <w:t>接收成本偏差或提问</w:t>
            </w:r>
          </w:p>
        </w:tc>
        <w:tc>
          <w:tcPr>
            <w:tcW w:w="950" w:type="dxa"/>
            <w:shd w:val="clear" w:color="auto" w:fill="FFFFFF"/>
            <w:vAlign w:val="center"/>
          </w:tcPr>
          <w:p w14:paraId="795F004A">
            <w:pPr>
              <w:spacing w:before="0" w:after="0" w:line="240" w:lineRule="auto"/>
              <w:ind w:left="0" w:right="0" w:firstLine="0" w:firstLineChars="0"/>
              <w:jc w:val="center"/>
            </w:pPr>
            <w:r>
              <w:rPr>
                <w:rFonts w:ascii="宋体" w:hAnsi="宋体" w:eastAsia="宋体" w:cs="宋体"/>
                <w:b w:val="0"/>
                <w:bCs w:val="0"/>
                <w:color w:val="000000"/>
                <w:sz w:val="16"/>
                <w:szCs w:val="16"/>
              </w:rPr>
              <w:t>事件源与用户</w:t>
            </w:r>
          </w:p>
        </w:tc>
        <w:tc>
          <w:tcPr>
            <w:tcW w:w="1350" w:type="dxa"/>
            <w:shd w:val="clear" w:color="auto" w:fill="FFFFFF"/>
            <w:vAlign w:val="center"/>
          </w:tcPr>
          <w:p w14:paraId="733C3C2B">
            <w:pPr>
              <w:spacing w:before="0" w:after="0" w:line="240" w:lineRule="auto"/>
              <w:ind w:left="0" w:right="0" w:firstLine="0" w:firstLineChars="0"/>
              <w:jc w:val="left"/>
            </w:pPr>
            <w:r>
              <w:rPr>
                <w:rFonts w:ascii="宋体" w:hAnsi="宋体" w:eastAsia="宋体" w:cs="宋体"/>
                <w:b w:val="0"/>
                <w:bCs w:val="0"/>
                <w:color w:val="000000"/>
                <w:sz w:val="16"/>
                <w:szCs w:val="16"/>
              </w:rPr>
              <w:t>输入：过程成本偏差事件或主动提问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输出：分析任务</w:t>
            </w:r>
          </w:p>
        </w:tc>
        <w:tc>
          <w:tcPr>
            <w:tcW w:w="2000" w:type="dxa"/>
            <w:shd w:val="clear" w:color="auto" w:fill="FFFFFF"/>
            <w:vAlign w:val="center"/>
          </w:tcPr>
          <w:p w14:paraId="00DC08D8">
            <w:pPr>
              <w:spacing w:before="0" w:after="0" w:line="240" w:lineRule="auto"/>
              <w:ind w:left="0" w:right="0" w:firstLine="0" w:firstLineChars="0"/>
              <w:jc w:val="left"/>
            </w:pPr>
            <w:r>
              <w:rPr>
                <w:rFonts w:ascii="宋体" w:hAnsi="宋体" w:eastAsia="宋体" w:cs="宋体"/>
                <w:b w:val="0"/>
                <w:bCs w:val="0"/>
                <w:color w:val="000000"/>
                <w:sz w:val="16"/>
                <w:szCs w:val="16"/>
              </w:rPr>
              <w:t>接收按已确认过程成本口径形成的核算和偏差结果，或由用户按工序、批次及时段主动查询分析。</w:t>
            </w:r>
          </w:p>
        </w:tc>
        <w:tc>
          <w:tcPr>
            <w:tcW w:w="1072" w:type="dxa"/>
            <w:shd w:val="clear" w:color="auto" w:fill="FFFFFF"/>
            <w:vAlign w:val="center"/>
          </w:tcPr>
          <w:p w14:paraId="0330B9EC">
            <w:pPr>
              <w:spacing w:before="0" w:after="0" w:line="240" w:lineRule="auto"/>
              <w:ind w:left="0" w:right="0" w:firstLine="0" w:firstLineChars="0"/>
              <w:jc w:val="left"/>
            </w:pPr>
            <w:r>
              <w:rPr>
                <w:rFonts w:ascii="宋体" w:hAnsi="宋体" w:eastAsia="宋体" w:cs="宋体"/>
                <w:b w:val="0"/>
                <w:bCs w:val="0"/>
                <w:color w:val="000000"/>
                <w:sz w:val="16"/>
                <w:szCs w:val="16"/>
              </w:rPr>
              <w:t>→02</w:t>
            </w:r>
          </w:p>
        </w:tc>
        <w:tc>
          <w:tcPr>
            <w:tcW w:w="2000" w:type="dxa"/>
            <w:shd w:val="clear" w:color="auto" w:fill="FFFFFF"/>
            <w:vAlign w:val="center"/>
          </w:tcPr>
          <w:p w14:paraId="5AB2DE47">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P-ZLTC-AI-ZNWS-101-08-002</w:t>
            </w:r>
          </w:p>
        </w:tc>
      </w:tr>
      <w:tr w14:paraId="4A16A2F4">
        <w:trPr>
          <w:cantSplit/>
          <w:jc w:val="center"/>
        </w:trPr>
        <w:tc>
          <w:tcPr>
            <w:tcW w:w="650" w:type="dxa"/>
            <w:shd w:val="clear" w:color="auto" w:fill="FFFFFF"/>
            <w:vAlign w:val="center"/>
          </w:tcPr>
          <w:p w14:paraId="3BFF37E4">
            <w:pPr>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1C4BC074">
            <w:pPr>
              <w:spacing w:before="0" w:after="0" w:line="240" w:lineRule="auto"/>
              <w:ind w:left="0" w:right="0" w:firstLine="0" w:firstLineChars="0"/>
              <w:jc w:val="center"/>
            </w:pPr>
            <w:r>
              <w:rPr>
                <w:rFonts w:ascii="宋体" w:hAnsi="宋体" w:eastAsia="宋体" w:cs="宋体"/>
                <w:b w:val="0"/>
                <w:bCs w:val="0"/>
                <w:color w:val="000000"/>
                <w:sz w:val="16"/>
                <w:szCs w:val="16"/>
              </w:rPr>
              <w:t>合并事件并检索台账</w:t>
            </w:r>
          </w:p>
        </w:tc>
        <w:tc>
          <w:tcPr>
            <w:tcW w:w="950" w:type="dxa"/>
            <w:shd w:val="clear" w:color="auto" w:fill="FFFFFF"/>
            <w:vAlign w:val="center"/>
          </w:tcPr>
          <w:p w14:paraId="7E470566">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768FF889">
            <w:pPr>
              <w:spacing w:before="0" w:after="0" w:line="240" w:lineRule="auto"/>
              <w:ind w:left="0" w:right="0" w:firstLine="0" w:firstLineChars="0"/>
              <w:jc w:val="left"/>
            </w:pPr>
            <w:r>
              <w:rPr>
                <w:rFonts w:ascii="宋体" w:hAnsi="宋体" w:eastAsia="宋体" w:cs="宋体"/>
                <w:b w:val="0"/>
                <w:bCs w:val="0"/>
                <w:color w:val="000000"/>
                <w:sz w:val="16"/>
                <w:szCs w:val="16"/>
              </w:rPr>
              <w:t>输入：对象、时间窗与授权</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输出：既有报告或新任务</w:t>
            </w:r>
          </w:p>
        </w:tc>
        <w:tc>
          <w:tcPr>
            <w:tcW w:w="2000" w:type="dxa"/>
            <w:shd w:val="clear" w:color="auto" w:fill="FFFFFF"/>
            <w:vAlign w:val="center"/>
          </w:tcPr>
          <w:p w14:paraId="30E45C6D">
            <w:pPr>
              <w:spacing w:before="0" w:after="0" w:line="240" w:lineRule="auto"/>
              <w:ind w:left="0" w:right="0" w:firstLine="0" w:firstLineChars="0"/>
              <w:jc w:val="left"/>
            </w:pPr>
            <w:r>
              <w:rPr>
                <w:rFonts w:ascii="宋体" w:hAnsi="宋体" w:eastAsia="宋体" w:cs="宋体"/>
                <w:b w:val="0"/>
                <w:bCs w:val="0"/>
                <w:color w:val="000000"/>
                <w:sz w:val="16"/>
                <w:szCs w:val="16"/>
              </w:rPr>
              <w:t>同源归一后按业务授权查既有报告，命中时保留来源与确认状态。</w:t>
            </w:r>
          </w:p>
        </w:tc>
        <w:tc>
          <w:tcPr>
            <w:tcW w:w="1072" w:type="dxa"/>
            <w:shd w:val="clear" w:color="auto" w:fill="FFFFFF"/>
            <w:vAlign w:val="center"/>
          </w:tcPr>
          <w:p w14:paraId="28FDA096">
            <w:pPr>
              <w:spacing w:before="0" w:after="0" w:line="240" w:lineRule="auto"/>
              <w:ind w:left="0" w:right="0" w:firstLine="0" w:firstLineChars="0"/>
              <w:jc w:val="left"/>
            </w:pPr>
            <w:r>
              <w:rPr>
                <w:rFonts w:ascii="宋体" w:hAnsi="宋体" w:eastAsia="宋体" w:cs="宋体"/>
                <w:b w:val="0"/>
                <w:bCs w:val="0"/>
                <w:color w:val="000000"/>
                <w:sz w:val="16"/>
                <w:szCs w:val="16"/>
              </w:rPr>
              <w:t>报告命中→09；</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新分析→03</w:t>
            </w:r>
          </w:p>
        </w:tc>
        <w:tc>
          <w:tcPr>
            <w:tcW w:w="2000" w:type="dxa"/>
            <w:shd w:val="clear" w:color="auto" w:fill="FFFFFF"/>
            <w:vAlign w:val="center"/>
          </w:tcPr>
          <w:p w14:paraId="75ADA7F6">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P-ZLTC-AI-WLPHGY-102-01-001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64DAC957">
        <w:trPr>
          <w:cantSplit/>
          <w:jc w:val="center"/>
        </w:trPr>
        <w:tc>
          <w:tcPr>
            <w:tcW w:w="650" w:type="dxa"/>
            <w:shd w:val="clear" w:color="auto" w:fill="FFFFFF"/>
            <w:vAlign w:val="center"/>
          </w:tcPr>
          <w:p w14:paraId="579768B4">
            <w:pPr>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752D6E79">
            <w:pPr>
              <w:spacing w:before="0" w:after="0" w:line="240" w:lineRule="auto"/>
              <w:ind w:left="0" w:right="0" w:firstLine="0" w:firstLineChars="0"/>
              <w:jc w:val="center"/>
            </w:pPr>
            <w:r>
              <w:rPr>
                <w:rFonts w:ascii="宋体" w:hAnsi="宋体" w:eastAsia="宋体" w:cs="宋体"/>
                <w:b w:val="0"/>
                <w:bCs w:val="0"/>
                <w:color w:val="000000"/>
                <w:sz w:val="16"/>
                <w:szCs w:val="16"/>
              </w:rPr>
              <w:t>取得核算及构成依据</w:t>
            </w:r>
          </w:p>
        </w:tc>
        <w:tc>
          <w:tcPr>
            <w:tcW w:w="950" w:type="dxa"/>
            <w:shd w:val="clear" w:color="auto" w:fill="FFFFFF"/>
            <w:vAlign w:val="center"/>
          </w:tcPr>
          <w:p w14:paraId="106453A1">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50C8EB9B">
            <w:pPr>
              <w:spacing w:before="0" w:after="0" w:line="240" w:lineRule="auto"/>
              <w:ind w:left="0" w:right="0" w:firstLine="0" w:firstLineChars="0"/>
              <w:jc w:val="left"/>
            </w:pPr>
            <w:r>
              <w:rPr>
                <w:rFonts w:ascii="宋体" w:hAnsi="宋体" w:eastAsia="宋体" w:cs="宋体"/>
                <w:b w:val="0"/>
                <w:bCs w:val="0"/>
                <w:color w:val="000000"/>
                <w:sz w:val="16"/>
                <w:szCs w:val="16"/>
              </w:rPr>
              <w:t>输入：工序、时间窗与身份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输出：成本构成及核定结果、物料能源消耗量、价格与费率口径</w:t>
            </w:r>
          </w:p>
        </w:tc>
        <w:tc>
          <w:tcPr>
            <w:tcW w:w="2000" w:type="dxa"/>
            <w:shd w:val="clear" w:color="auto" w:fill="FFFFFF"/>
            <w:vAlign w:val="center"/>
          </w:tcPr>
          <w:p w14:paraId="6211BBF1">
            <w:pPr>
              <w:spacing w:before="0" w:after="0" w:line="240" w:lineRule="auto"/>
              <w:ind w:left="0" w:right="0" w:firstLine="0" w:firstLineChars="0"/>
              <w:jc w:val="left"/>
            </w:pPr>
            <w:r>
              <w:rPr>
                <w:rFonts w:ascii="宋体" w:hAnsi="宋体" w:eastAsia="宋体" w:cs="宋体"/>
                <w:b w:val="0"/>
                <w:bCs w:val="0"/>
                <w:color w:val="000000"/>
                <w:sz w:val="16"/>
                <w:szCs w:val="16"/>
              </w:rPr>
              <w:t>读取按生产、工艺侧共识口径核算的物料、能源动力、人工、环保、折旧及维护成本；构成关系由治理指标定义自动生成，不另行人工维护。成本核算及构成由AI数据治理提供，关联MES生产与物料消耗、EMS能源消耗、SCOS价格和EAM维护依据；人工、环保、折旧及公摊费用沿用已确认的费用资料及分摊口径。</w:t>
            </w:r>
          </w:p>
        </w:tc>
        <w:tc>
          <w:tcPr>
            <w:tcW w:w="1072" w:type="dxa"/>
            <w:shd w:val="clear" w:color="auto" w:fill="FFFFFF"/>
            <w:vAlign w:val="center"/>
          </w:tcPr>
          <w:p w14:paraId="5DFBA19B">
            <w:pPr>
              <w:spacing w:before="0" w:after="0" w:line="240" w:lineRule="auto"/>
              <w:ind w:left="0" w:right="0" w:firstLine="0" w:firstLineChars="0"/>
              <w:jc w:val="left"/>
            </w:pPr>
            <w:r>
              <w:rPr>
                <w:rFonts w:ascii="宋体" w:hAnsi="宋体" w:eastAsia="宋体" w:cs="宋体"/>
                <w:b w:val="0"/>
                <w:bCs w:val="0"/>
                <w:color w:val="000000"/>
                <w:sz w:val="16"/>
                <w:szCs w:val="16"/>
              </w:rPr>
              <w:t>必需证据缺失→04；</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证据可用→05</w:t>
            </w:r>
          </w:p>
        </w:tc>
        <w:tc>
          <w:tcPr>
            <w:tcW w:w="2000" w:type="dxa"/>
            <w:shd w:val="clear" w:color="auto" w:fill="FFFFFF"/>
            <w:vAlign w:val="center"/>
          </w:tcPr>
          <w:p w14:paraId="64FECFA6">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P-ZLTC-AI-ZNWS-101-08-002</w:t>
            </w:r>
          </w:p>
        </w:tc>
      </w:tr>
      <w:tr w14:paraId="65200432">
        <w:trPr>
          <w:cantSplit/>
          <w:jc w:val="center"/>
        </w:trPr>
        <w:tc>
          <w:tcPr>
            <w:tcW w:w="650" w:type="dxa"/>
            <w:shd w:val="clear" w:color="auto" w:fill="FFFFFF"/>
            <w:vAlign w:val="center"/>
          </w:tcPr>
          <w:p w14:paraId="5661D017">
            <w:pPr>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335590D1">
            <w:pPr>
              <w:spacing w:before="0" w:after="0" w:line="240" w:lineRule="auto"/>
              <w:ind w:left="0" w:right="0" w:firstLine="0" w:firstLineChars="0"/>
              <w:jc w:val="center"/>
            </w:pPr>
            <w:r>
              <w:rPr>
                <w:rFonts w:ascii="宋体" w:hAnsi="宋体" w:eastAsia="宋体" w:cs="宋体"/>
                <w:b w:val="0"/>
                <w:bCs w:val="0"/>
                <w:color w:val="000000"/>
                <w:sz w:val="16"/>
                <w:szCs w:val="16"/>
              </w:rPr>
              <w:t>说明取证失败</w:t>
            </w:r>
          </w:p>
        </w:tc>
        <w:tc>
          <w:tcPr>
            <w:tcW w:w="950" w:type="dxa"/>
            <w:shd w:val="clear" w:color="auto" w:fill="FFFFFF"/>
            <w:vAlign w:val="center"/>
          </w:tcPr>
          <w:p w14:paraId="75B8F140">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431FCB62">
            <w:pPr>
              <w:spacing w:before="0" w:after="0" w:line="240" w:lineRule="auto"/>
              <w:ind w:left="0" w:right="0" w:firstLine="0" w:firstLineChars="0"/>
              <w:jc w:val="left"/>
            </w:pPr>
            <w:r>
              <w:rPr>
                <w:rFonts w:ascii="宋体" w:hAnsi="宋体" w:eastAsia="宋体" w:cs="宋体"/>
                <w:b w:val="0"/>
                <w:bCs w:val="0"/>
                <w:color w:val="000000"/>
                <w:sz w:val="16"/>
                <w:szCs w:val="16"/>
              </w:rPr>
              <w:t>输入：必需证据失败</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输出：终止说明</w:t>
            </w:r>
          </w:p>
        </w:tc>
        <w:tc>
          <w:tcPr>
            <w:tcW w:w="2000" w:type="dxa"/>
            <w:shd w:val="clear" w:color="auto" w:fill="FFFFFF"/>
            <w:vAlign w:val="center"/>
          </w:tcPr>
          <w:p w14:paraId="0D696696">
            <w:pPr>
              <w:spacing w:before="0" w:after="0" w:line="240" w:lineRule="auto"/>
              <w:ind w:left="0" w:right="0" w:firstLine="0" w:firstLineChars="0"/>
              <w:jc w:val="left"/>
            </w:pPr>
            <w:r>
              <w:rPr>
                <w:rFonts w:ascii="宋体" w:hAnsi="宋体" w:eastAsia="宋体" w:cs="宋体"/>
                <w:b w:val="0"/>
                <w:bCs w:val="0"/>
                <w:color w:val="000000"/>
                <w:sz w:val="16"/>
                <w:szCs w:val="16"/>
              </w:rPr>
              <w:t>如实说明权限、数据缺失或执行问题，保留必需证据获取状态和相关记录。</w:t>
            </w:r>
          </w:p>
        </w:tc>
        <w:tc>
          <w:tcPr>
            <w:tcW w:w="1072" w:type="dxa"/>
            <w:shd w:val="clear" w:color="auto" w:fill="FFFFFF"/>
            <w:vAlign w:val="center"/>
          </w:tcPr>
          <w:p w14:paraId="294A2B11">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4A8B8664">
            <w:pPr>
              <w:spacing w:before="0" w:after="0" w:line="240" w:lineRule="auto"/>
              <w:ind w:left="0" w:right="0" w:firstLine="0" w:firstLineChars="0"/>
              <w:jc w:val="left"/>
            </w:pPr>
            <w:r>
              <w:rPr>
                <w:rFonts w:ascii="宋体" w:hAnsi="宋体" w:eastAsia="宋体" w:cs="宋体"/>
                <w:b w:val="0"/>
                <w:bCs w:val="0"/>
                <w:color w:val="000000"/>
                <w:sz w:val="16"/>
                <w:szCs w:val="16"/>
              </w:rPr>
              <w:t>P-ZLTC-AI-ZNWS-101-08-003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4B389475">
        <w:trPr>
          <w:cantSplit/>
          <w:jc w:val="center"/>
        </w:trPr>
        <w:tc>
          <w:tcPr>
            <w:tcW w:w="650" w:type="dxa"/>
            <w:shd w:val="clear" w:color="auto" w:fill="FFFFFF"/>
            <w:vAlign w:val="center"/>
          </w:tcPr>
          <w:p w14:paraId="7C963C28">
            <w:pPr>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2D83B802">
            <w:pPr>
              <w:spacing w:before="0" w:after="0" w:line="240" w:lineRule="auto"/>
              <w:ind w:left="0" w:right="0" w:firstLine="0" w:firstLineChars="0"/>
              <w:jc w:val="center"/>
            </w:pPr>
            <w:r>
              <w:rPr>
                <w:rFonts w:ascii="宋体" w:hAnsi="宋体" w:eastAsia="宋体" w:cs="宋体"/>
                <w:b w:val="0"/>
                <w:bCs w:val="0"/>
                <w:color w:val="000000"/>
                <w:sz w:val="16"/>
                <w:szCs w:val="16"/>
              </w:rPr>
              <w:t>拆解构成并定位偏差</w:t>
            </w:r>
          </w:p>
        </w:tc>
        <w:tc>
          <w:tcPr>
            <w:tcW w:w="950" w:type="dxa"/>
            <w:shd w:val="clear" w:color="auto" w:fill="FFFFFF"/>
            <w:vAlign w:val="center"/>
          </w:tcPr>
          <w:p w14:paraId="62FA9BF0">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5A858F37">
            <w:pPr>
              <w:spacing w:before="0" w:after="0" w:line="240" w:lineRule="auto"/>
              <w:ind w:left="0" w:right="0" w:firstLine="0" w:firstLineChars="0"/>
              <w:jc w:val="left"/>
            </w:pPr>
            <w:r>
              <w:rPr>
                <w:rFonts w:ascii="宋体" w:hAnsi="宋体" w:eastAsia="宋体" w:cs="宋体"/>
                <w:b w:val="0"/>
                <w:bCs w:val="0"/>
                <w:color w:val="000000"/>
                <w:sz w:val="16"/>
                <w:szCs w:val="16"/>
              </w:rPr>
              <w:t>输入：核算结果与构成</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输出：偏差要素及对应工序</w:t>
            </w:r>
          </w:p>
        </w:tc>
        <w:tc>
          <w:tcPr>
            <w:tcW w:w="2000" w:type="dxa"/>
            <w:shd w:val="clear" w:color="auto" w:fill="FFFFFF"/>
            <w:vAlign w:val="center"/>
          </w:tcPr>
          <w:p w14:paraId="296DD57D">
            <w:pPr>
              <w:spacing w:before="0" w:after="0" w:line="240" w:lineRule="auto"/>
              <w:ind w:left="0" w:right="0" w:firstLine="0" w:firstLineChars="0"/>
              <w:jc w:val="left"/>
            </w:pPr>
            <w:r>
              <w:rPr>
                <w:rFonts w:ascii="宋体" w:hAnsi="宋体" w:eastAsia="宋体" w:cs="宋体"/>
                <w:b w:val="0"/>
                <w:bCs w:val="0"/>
                <w:color w:val="000000"/>
                <w:sz w:val="16"/>
                <w:szCs w:val="16"/>
              </w:rPr>
              <w:t>按时间切片和约定口径展示构成、定位超出要素，拆解结果挂接工艺拓扑。</w:t>
            </w:r>
          </w:p>
        </w:tc>
        <w:tc>
          <w:tcPr>
            <w:tcW w:w="1072" w:type="dxa"/>
            <w:shd w:val="clear" w:color="auto" w:fill="FFFFFF"/>
            <w:vAlign w:val="center"/>
          </w:tcPr>
          <w:p w14:paraId="18ABC4C8">
            <w:pPr>
              <w:spacing w:before="0" w:after="0" w:line="240" w:lineRule="auto"/>
              <w:ind w:left="0" w:right="0" w:firstLine="0" w:firstLineChars="0"/>
              <w:jc w:val="left"/>
            </w:pPr>
            <w:r>
              <w:rPr>
                <w:rFonts w:ascii="宋体" w:hAnsi="宋体" w:eastAsia="宋体" w:cs="宋体"/>
                <w:b w:val="0"/>
                <w:bCs w:val="0"/>
                <w:color w:val="000000"/>
                <w:sz w:val="16"/>
                <w:szCs w:val="16"/>
              </w:rPr>
              <w:t>→06</w:t>
            </w:r>
          </w:p>
        </w:tc>
        <w:tc>
          <w:tcPr>
            <w:tcW w:w="2000" w:type="dxa"/>
            <w:shd w:val="clear" w:color="auto" w:fill="FFFFFF"/>
            <w:vAlign w:val="center"/>
          </w:tcPr>
          <w:p w14:paraId="096C0227">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P-ZLTC-AI-ZNWS-101-08-002</w:t>
            </w:r>
          </w:p>
        </w:tc>
      </w:tr>
      <w:tr w14:paraId="23A7BFD4">
        <w:trPr>
          <w:cantSplit/>
          <w:jc w:val="center"/>
        </w:trPr>
        <w:tc>
          <w:tcPr>
            <w:tcW w:w="650" w:type="dxa"/>
            <w:shd w:val="clear" w:color="auto" w:fill="FFFFFF"/>
            <w:vAlign w:val="center"/>
          </w:tcPr>
          <w:p w14:paraId="48061668">
            <w:pPr>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23CF6293">
            <w:pPr>
              <w:spacing w:before="0" w:after="0" w:line="240" w:lineRule="auto"/>
              <w:ind w:left="0" w:right="0" w:firstLine="0" w:firstLineChars="0"/>
              <w:jc w:val="center"/>
            </w:pPr>
            <w:r>
              <w:rPr>
                <w:rFonts w:ascii="宋体" w:hAnsi="宋体" w:eastAsia="宋体" w:cs="宋体"/>
                <w:b w:val="0"/>
                <w:bCs w:val="0"/>
                <w:color w:val="000000"/>
                <w:sz w:val="16"/>
                <w:szCs w:val="16"/>
              </w:rPr>
              <w:t>查询设备与相关结论</w:t>
            </w:r>
          </w:p>
        </w:tc>
        <w:tc>
          <w:tcPr>
            <w:tcW w:w="950" w:type="dxa"/>
            <w:shd w:val="clear" w:color="auto" w:fill="FFFFFF"/>
            <w:vAlign w:val="center"/>
          </w:tcPr>
          <w:p w14:paraId="0DBCA298">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0CA2483A">
            <w:pPr>
              <w:spacing w:before="0" w:after="0" w:line="240" w:lineRule="auto"/>
              <w:ind w:left="0" w:right="0" w:firstLine="0" w:firstLineChars="0"/>
              <w:jc w:val="left"/>
            </w:pPr>
            <w:r>
              <w:rPr>
                <w:rFonts w:ascii="宋体" w:hAnsi="宋体" w:eastAsia="宋体" w:cs="宋体"/>
                <w:b w:val="0"/>
                <w:bCs w:val="0"/>
                <w:color w:val="000000"/>
                <w:sz w:val="16"/>
                <w:szCs w:val="16"/>
              </w:rPr>
              <w:t>输入：偏差工序及主要设备</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输出：运行证据及相关场景报告</w:t>
            </w:r>
          </w:p>
        </w:tc>
        <w:tc>
          <w:tcPr>
            <w:tcW w:w="2000" w:type="dxa"/>
            <w:shd w:val="clear" w:color="auto" w:fill="FFFFFF"/>
            <w:vAlign w:val="center"/>
          </w:tcPr>
          <w:p w14:paraId="3D693792">
            <w:pPr>
              <w:spacing w:before="0" w:after="0" w:line="240" w:lineRule="auto"/>
              <w:ind w:left="0" w:right="0" w:firstLine="0" w:firstLineChars="0"/>
              <w:jc w:val="left"/>
            </w:pPr>
            <w:r>
              <w:rPr>
                <w:rFonts w:ascii="宋体" w:hAnsi="宋体" w:eastAsia="宋体" w:cs="宋体"/>
                <w:b w:val="0"/>
                <w:bCs w:val="0"/>
                <w:color w:val="000000"/>
                <w:sz w:val="16"/>
                <w:szCs w:val="16"/>
              </w:rPr>
              <w:t>联查实际功率、额定参数、工况与故障证据，查询物料平衡、能量平衡、能耗异常、动设备场景已有结论。经AI数据治理关联EMS用能数据及EAM设备资料，并从平台分析结论台账取得相关场景的既有报告和证据；关联报告保留其原始DCS、PHM等来源及确认状态。</w:t>
            </w:r>
          </w:p>
        </w:tc>
        <w:tc>
          <w:tcPr>
            <w:tcW w:w="1072" w:type="dxa"/>
            <w:shd w:val="clear" w:color="auto" w:fill="FFFFFF"/>
            <w:vAlign w:val="center"/>
          </w:tcPr>
          <w:p w14:paraId="3B430EC1">
            <w:pPr>
              <w:spacing w:before="0" w:after="0" w:line="240" w:lineRule="auto"/>
              <w:ind w:left="0" w:right="0" w:firstLine="0" w:firstLineChars="0"/>
              <w:jc w:val="left"/>
            </w:pPr>
            <w:r>
              <w:rPr>
                <w:rFonts w:ascii="宋体" w:hAnsi="宋体" w:eastAsia="宋体" w:cs="宋体"/>
                <w:b w:val="0"/>
                <w:bCs w:val="0"/>
                <w:color w:val="000000"/>
                <w:sz w:val="16"/>
                <w:szCs w:val="16"/>
              </w:rPr>
              <w:t>已有原因→07；</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暂无原因→08</w:t>
            </w:r>
          </w:p>
        </w:tc>
        <w:tc>
          <w:tcPr>
            <w:tcW w:w="2000" w:type="dxa"/>
            <w:shd w:val="clear" w:color="auto" w:fill="FFFFFF"/>
            <w:vAlign w:val="center"/>
          </w:tcPr>
          <w:p w14:paraId="1CDD17FD">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1F52DE9B">
        <w:trPr>
          <w:cantSplit/>
          <w:jc w:val="center"/>
        </w:trPr>
        <w:tc>
          <w:tcPr>
            <w:tcW w:w="650" w:type="dxa"/>
            <w:shd w:val="clear" w:color="auto" w:fill="FFFFFF"/>
            <w:vAlign w:val="center"/>
          </w:tcPr>
          <w:p w14:paraId="25E0FDC2">
            <w:pPr>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764A5439">
            <w:pPr>
              <w:spacing w:before="0" w:after="0" w:line="240" w:lineRule="auto"/>
              <w:ind w:left="0" w:right="0" w:firstLine="0" w:firstLineChars="0"/>
              <w:jc w:val="center"/>
            </w:pPr>
            <w:r>
              <w:rPr>
                <w:rFonts w:ascii="宋体" w:hAnsi="宋体" w:eastAsia="宋体" w:cs="宋体"/>
                <w:b w:val="0"/>
                <w:bCs w:val="0"/>
                <w:color w:val="000000"/>
                <w:sz w:val="16"/>
                <w:szCs w:val="16"/>
              </w:rPr>
              <w:t>引用原因与确认状态</w:t>
            </w:r>
          </w:p>
        </w:tc>
        <w:tc>
          <w:tcPr>
            <w:tcW w:w="950" w:type="dxa"/>
            <w:shd w:val="clear" w:color="auto" w:fill="FFFFFF"/>
            <w:vAlign w:val="center"/>
          </w:tcPr>
          <w:p w14:paraId="7BFEA0C7">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7AF55CC6">
            <w:pPr>
              <w:spacing w:before="0" w:after="0" w:line="240" w:lineRule="auto"/>
              <w:ind w:left="0" w:right="0" w:firstLine="0" w:firstLineChars="0"/>
              <w:jc w:val="left"/>
            </w:pPr>
            <w:r>
              <w:rPr>
                <w:rFonts w:ascii="宋体" w:hAnsi="宋体" w:eastAsia="宋体" w:cs="宋体"/>
                <w:b w:val="0"/>
                <w:bCs w:val="0"/>
                <w:color w:val="000000"/>
                <w:sz w:val="16"/>
                <w:szCs w:val="16"/>
              </w:rPr>
              <w:t>输入：关联场景结论及证据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输出：带来源的原因说明</w:t>
            </w:r>
          </w:p>
        </w:tc>
        <w:tc>
          <w:tcPr>
            <w:tcW w:w="2000" w:type="dxa"/>
            <w:shd w:val="clear" w:color="auto" w:fill="FFFFFF"/>
            <w:vAlign w:val="center"/>
          </w:tcPr>
          <w:p w14:paraId="64CFB34B">
            <w:pPr>
              <w:spacing w:before="0" w:after="0" w:line="240" w:lineRule="auto"/>
              <w:ind w:left="0" w:right="0" w:firstLine="0" w:firstLineChars="0"/>
              <w:jc w:val="left"/>
            </w:pPr>
            <w:r>
              <w:rPr>
                <w:rFonts w:ascii="宋体" w:hAnsi="宋体" w:eastAsia="宋体" w:cs="宋体"/>
                <w:b w:val="0"/>
                <w:bCs w:val="0"/>
                <w:color w:val="000000"/>
                <w:sz w:val="16"/>
                <w:szCs w:val="16"/>
              </w:rPr>
              <w:t>引用物料、能量、能耗及设备场景已有原因和证据，保留来源、适用时段及确认状态，并区分已验证结论与候选原因。</w:t>
            </w:r>
          </w:p>
        </w:tc>
        <w:tc>
          <w:tcPr>
            <w:tcW w:w="1072" w:type="dxa"/>
            <w:shd w:val="clear" w:color="auto" w:fill="FFFFFF"/>
            <w:vAlign w:val="center"/>
          </w:tcPr>
          <w:p w14:paraId="1C2F7DB6">
            <w:pPr>
              <w:spacing w:before="0" w:after="0" w:line="240" w:lineRule="auto"/>
              <w:ind w:left="0" w:right="0" w:firstLine="0" w:firstLineChars="0"/>
              <w:jc w:val="left"/>
            </w:pPr>
            <w:r>
              <w:rPr>
                <w:rFonts w:ascii="宋体" w:hAnsi="宋体" w:eastAsia="宋体" w:cs="宋体"/>
                <w:b w:val="0"/>
                <w:bCs w:val="0"/>
                <w:color w:val="000000"/>
                <w:sz w:val="16"/>
                <w:szCs w:val="16"/>
              </w:rPr>
              <w:t>→08</w:t>
            </w:r>
          </w:p>
        </w:tc>
        <w:tc>
          <w:tcPr>
            <w:tcW w:w="2000" w:type="dxa"/>
            <w:shd w:val="clear" w:color="auto" w:fill="FFFFFF"/>
            <w:vAlign w:val="center"/>
          </w:tcPr>
          <w:p w14:paraId="40A97835">
            <w:pPr>
              <w:spacing w:before="0" w:after="0" w:line="240" w:lineRule="auto"/>
              <w:ind w:left="0" w:right="0" w:firstLine="0" w:firstLineChars="0"/>
              <w:jc w:val="left"/>
            </w:pPr>
            <w:r>
              <w:rPr>
                <w:rFonts w:ascii="宋体" w:hAnsi="宋体" w:eastAsia="宋体" w:cs="宋体"/>
                <w:b w:val="0"/>
                <w:bCs w:val="0"/>
                <w:color w:val="000000"/>
                <w:sz w:val="16"/>
                <w:szCs w:val="16"/>
              </w:rPr>
              <w:t>P-ZLTC-AI-WLPHGY-102-07-001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p>
        </w:tc>
      </w:tr>
      <w:tr w14:paraId="0EDBDC31">
        <w:trPr>
          <w:cantSplit/>
          <w:jc w:val="center"/>
        </w:trPr>
        <w:tc>
          <w:tcPr>
            <w:tcW w:w="650" w:type="dxa"/>
            <w:shd w:val="clear" w:color="auto" w:fill="FFFFFF"/>
            <w:vAlign w:val="center"/>
          </w:tcPr>
          <w:p w14:paraId="200DCDCD">
            <w:pPr>
              <w:spacing w:before="0" w:after="0" w:line="240" w:lineRule="auto"/>
              <w:ind w:left="0" w:right="0" w:firstLine="0" w:firstLineChars="0"/>
              <w:jc w:val="center"/>
            </w:pPr>
            <w:r>
              <w:rPr>
                <w:rFonts w:ascii="宋体" w:hAnsi="宋体" w:eastAsia="宋体" w:cs="宋体"/>
                <w:b w:val="0"/>
                <w:bCs w:val="0"/>
                <w:color w:val="000000"/>
                <w:sz w:val="16"/>
                <w:szCs w:val="16"/>
              </w:rPr>
              <w:t>08</w:t>
            </w:r>
          </w:p>
        </w:tc>
        <w:tc>
          <w:tcPr>
            <w:tcW w:w="1050" w:type="dxa"/>
            <w:shd w:val="clear" w:color="auto" w:fill="FFFFFF"/>
            <w:vAlign w:val="center"/>
          </w:tcPr>
          <w:p w14:paraId="6EFEE4B3">
            <w:pPr>
              <w:spacing w:before="0" w:after="0" w:line="240" w:lineRule="auto"/>
              <w:ind w:left="0" w:right="0" w:firstLine="0" w:firstLineChars="0"/>
              <w:jc w:val="center"/>
            </w:pPr>
            <w:r>
              <w:rPr>
                <w:rFonts w:ascii="宋体" w:hAnsi="宋体" w:eastAsia="宋体" w:cs="宋体"/>
                <w:b w:val="0"/>
                <w:bCs w:val="0"/>
                <w:color w:val="000000"/>
                <w:sz w:val="16"/>
                <w:szCs w:val="16"/>
              </w:rPr>
              <w:t>生成并归档成本报告</w:t>
            </w:r>
          </w:p>
        </w:tc>
        <w:tc>
          <w:tcPr>
            <w:tcW w:w="950" w:type="dxa"/>
            <w:shd w:val="clear" w:color="auto" w:fill="FFFFFF"/>
            <w:vAlign w:val="center"/>
          </w:tcPr>
          <w:p w14:paraId="243B8278">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5B6EB137">
            <w:pPr>
              <w:spacing w:before="0" w:after="0" w:line="240" w:lineRule="auto"/>
              <w:ind w:left="0" w:right="0" w:firstLine="0" w:firstLineChars="0"/>
              <w:jc w:val="left"/>
            </w:pPr>
            <w:r>
              <w:rPr>
                <w:rFonts w:ascii="宋体" w:hAnsi="宋体" w:eastAsia="宋体" w:cs="宋体"/>
                <w:b w:val="0"/>
                <w:bCs w:val="0"/>
                <w:color w:val="000000"/>
                <w:sz w:val="16"/>
                <w:szCs w:val="16"/>
              </w:rPr>
              <w:t>输入：构成、偏差及可用原因</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输出：过程成本分析报告</w:t>
            </w:r>
          </w:p>
        </w:tc>
        <w:tc>
          <w:tcPr>
            <w:tcW w:w="2000" w:type="dxa"/>
            <w:shd w:val="clear" w:color="auto" w:fill="FFFFFF"/>
            <w:vAlign w:val="center"/>
          </w:tcPr>
          <w:p w14:paraId="5FCBFDC8">
            <w:pPr>
              <w:spacing w:before="0" w:after="0" w:line="240" w:lineRule="auto"/>
              <w:ind w:left="0" w:right="0" w:firstLine="0" w:firstLineChars="0"/>
              <w:jc w:val="left"/>
            </w:pPr>
            <w:r>
              <w:rPr>
                <w:rFonts w:ascii="宋体" w:hAnsi="宋体" w:eastAsia="宋体" w:cs="宋体"/>
                <w:b w:val="0"/>
                <w:bCs w:val="0"/>
                <w:color w:val="000000"/>
                <w:sz w:val="16"/>
                <w:szCs w:val="16"/>
              </w:rPr>
              <w:t>输出成本构成分解、偏差要素、工艺拓扑位置及可用原因；尚未取得关联原因时标注该状态，归档核算口径与依据。</w:t>
            </w:r>
          </w:p>
        </w:tc>
        <w:tc>
          <w:tcPr>
            <w:tcW w:w="1072" w:type="dxa"/>
            <w:shd w:val="clear" w:color="auto" w:fill="FFFFFF"/>
            <w:vAlign w:val="center"/>
          </w:tcPr>
          <w:p w14:paraId="6B99DF35">
            <w:pPr>
              <w:spacing w:before="0" w:after="0" w:line="240" w:lineRule="auto"/>
              <w:ind w:left="0" w:right="0" w:firstLine="0" w:firstLineChars="0"/>
              <w:jc w:val="left"/>
            </w:pPr>
            <w:r>
              <w:rPr>
                <w:rFonts w:ascii="宋体" w:hAnsi="宋体" w:eastAsia="宋体" w:cs="宋体"/>
                <w:b w:val="0"/>
                <w:bCs w:val="0"/>
                <w:color w:val="000000"/>
                <w:sz w:val="16"/>
                <w:szCs w:val="16"/>
              </w:rPr>
              <w:t>→09</w:t>
            </w:r>
          </w:p>
        </w:tc>
        <w:tc>
          <w:tcPr>
            <w:tcW w:w="2000" w:type="dxa"/>
            <w:shd w:val="clear" w:color="auto" w:fill="FFFFFF"/>
            <w:vAlign w:val="center"/>
          </w:tcPr>
          <w:p w14:paraId="60D9D6C8">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P-ZLTC-AI-ZNWS-101-08-002</w:t>
            </w:r>
          </w:p>
        </w:tc>
      </w:tr>
      <w:tr w14:paraId="45DD114D">
        <w:trPr>
          <w:cantSplit/>
          <w:jc w:val="center"/>
        </w:trPr>
        <w:tc>
          <w:tcPr>
            <w:tcW w:w="650" w:type="dxa"/>
            <w:shd w:val="clear" w:color="auto" w:fill="FFFFFF"/>
            <w:vAlign w:val="center"/>
          </w:tcPr>
          <w:p w14:paraId="164F4518">
            <w:pPr>
              <w:spacing w:before="0" w:after="0" w:line="240" w:lineRule="auto"/>
              <w:ind w:left="0" w:right="0" w:firstLine="0" w:firstLineChars="0"/>
              <w:jc w:val="center"/>
            </w:pPr>
            <w:r>
              <w:rPr>
                <w:rFonts w:ascii="宋体" w:hAnsi="宋体" w:eastAsia="宋体" w:cs="宋体"/>
                <w:b w:val="0"/>
                <w:bCs w:val="0"/>
                <w:color w:val="000000"/>
                <w:sz w:val="16"/>
                <w:szCs w:val="16"/>
              </w:rPr>
              <w:t>09</w:t>
            </w:r>
          </w:p>
        </w:tc>
        <w:tc>
          <w:tcPr>
            <w:tcW w:w="1050" w:type="dxa"/>
            <w:shd w:val="clear" w:color="auto" w:fill="FFFFFF"/>
            <w:vAlign w:val="center"/>
          </w:tcPr>
          <w:p w14:paraId="612E59BE">
            <w:pPr>
              <w:spacing w:before="0" w:after="0" w:line="240" w:lineRule="auto"/>
              <w:ind w:left="0" w:right="0" w:firstLine="0" w:firstLineChars="0"/>
              <w:jc w:val="center"/>
            </w:pPr>
            <w:r>
              <w:rPr>
                <w:rFonts w:ascii="宋体" w:hAnsi="宋体" w:eastAsia="宋体" w:cs="宋体"/>
                <w:b w:val="0"/>
                <w:bCs w:val="0"/>
                <w:color w:val="000000"/>
                <w:sz w:val="16"/>
                <w:szCs w:val="16"/>
              </w:rPr>
              <w:t>呈现结果并按授权推送</w:t>
            </w:r>
          </w:p>
        </w:tc>
        <w:tc>
          <w:tcPr>
            <w:tcW w:w="950" w:type="dxa"/>
            <w:shd w:val="clear" w:color="auto" w:fill="FFFFFF"/>
            <w:vAlign w:val="center"/>
          </w:tcPr>
          <w:p w14:paraId="679ED5F7">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6094DBA2">
            <w:pPr>
              <w:spacing w:before="0" w:after="0" w:line="240" w:lineRule="auto"/>
              <w:ind w:left="0" w:right="0" w:firstLine="0" w:firstLineChars="0"/>
              <w:jc w:val="left"/>
            </w:pPr>
            <w:r>
              <w:rPr>
                <w:rFonts w:ascii="宋体" w:hAnsi="宋体" w:eastAsia="宋体" w:cs="宋体"/>
                <w:b w:val="0"/>
                <w:bCs w:val="0"/>
                <w:color w:val="000000"/>
                <w:sz w:val="16"/>
                <w:szCs w:val="16"/>
              </w:rPr>
              <w:t>输入：新报告或原报告</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输出：展示及送达状态</w:t>
            </w:r>
          </w:p>
        </w:tc>
        <w:tc>
          <w:tcPr>
            <w:tcW w:w="2000" w:type="dxa"/>
            <w:shd w:val="clear" w:color="auto" w:fill="FFFFFF"/>
            <w:vAlign w:val="center"/>
          </w:tcPr>
          <w:p w14:paraId="6260DDBE">
            <w:pPr>
              <w:spacing w:before="0" w:after="0" w:line="240" w:lineRule="auto"/>
              <w:ind w:left="0" w:right="0" w:firstLine="0" w:firstLineChars="0"/>
              <w:jc w:val="left"/>
            </w:pPr>
            <w:r>
              <w:rPr>
                <w:rFonts w:ascii="宋体" w:hAnsi="宋体" w:eastAsia="宋体" w:cs="宋体"/>
                <w:b w:val="0"/>
                <w:bCs w:val="0"/>
                <w:color w:val="000000"/>
                <w:sz w:val="16"/>
                <w:szCs w:val="16"/>
              </w:rPr>
              <w:t>在会话内呈现，并按事件责任关系、订阅和业务授权推送归档报告；身份或授权不满足时交运营核实。</w:t>
            </w:r>
          </w:p>
        </w:tc>
        <w:tc>
          <w:tcPr>
            <w:tcW w:w="1072" w:type="dxa"/>
            <w:shd w:val="clear" w:color="auto" w:fill="FFFFFF"/>
            <w:vAlign w:val="center"/>
          </w:tcPr>
          <w:p w14:paraId="75557798">
            <w:pPr>
              <w:spacing w:before="0" w:after="0" w:line="240" w:lineRule="auto"/>
              <w:ind w:left="0" w:right="0" w:firstLine="0" w:firstLineChars="0"/>
              <w:jc w:val="left"/>
            </w:pPr>
            <w:r>
              <w:rPr>
                <w:rFonts w:ascii="宋体" w:hAnsi="宋体" w:eastAsia="宋体" w:cs="宋体"/>
                <w:b w:val="0"/>
                <w:bCs w:val="0"/>
                <w:color w:val="000000"/>
                <w:sz w:val="16"/>
                <w:szCs w:val="16"/>
              </w:rPr>
              <w:t>确认反馈→10；</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月度修订查询→11；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查看完成→结束</w:t>
            </w:r>
          </w:p>
        </w:tc>
        <w:tc>
          <w:tcPr>
            <w:tcW w:w="2000" w:type="dxa"/>
            <w:shd w:val="clear" w:color="auto" w:fill="FFFFFF"/>
            <w:vAlign w:val="center"/>
          </w:tcPr>
          <w:p w14:paraId="1F9C750A">
            <w:pPr>
              <w:spacing w:before="0" w:after="0" w:line="240" w:lineRule="auto"/>
              <w:ind w:left="0" w:right="0" w:firstLine="0" w:firstLineChars="0"/>
              <w:jc w:val="left"/>
            </w:pPr>
            <w:r>
              <w:rPr>
                <w:rFonts w:ascii="宋体" w:hAnsi="宋体" w:eastAsia="宋体" w:cs="宋体"/>
                <w:b w:val="0"/>
                <w:bCs w:val="0"/>
                <w:color w:val="000000"/>
                <w:sz w:val="16"/>
                <w:szCs w:val="16"/>
              </w:rPr>
              <w:t>P-ZLTC-AI-WLPHGY-102-11-001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2BD1DA3D">
        <w:trPr>
          <w:cantSplit/>
          <w:jc w:val="center"/>
        </w:trPr>
        <w:tc>
          <w:tcPr>
            <w:tcW w:w="650" w:type="dxa"/>
            <w:shd w:val="clear" w:color="auto" w:fill="FFFFFF"/>
            <w:vAlign w:val="center"/>
          </w:tcPr>
          <w:p w14:paraId="689F897C">
            <w:pPr>
              <w:spacing w:before="0" w:after="0" w:line="240" w:lineRule="auto"/>
              <w:ind w:left="0" w:right="0" w:firstLine="0" w:firstLineChars="0"/>
              <w:jc w:val="center"/>
            </w:pPr>
            <w:r>
              <w:rPr>
                <w:rFonts w:ascii="宋体" w:hAnsi="宋体" w:eastAsia="宋体" w:cs="宋体"/>
                <w:b w:val="0"/>
                <w:bCs w:val="0"/>
                <w:color w:val="000000"/>
                <w:sz w:val="16"/>
                <w:szCs w:val="16"/>
              </w:rPr>
              <w:t>10</w:t>
            </w:r>
          </w:p>
        </w:tc>
        <w:tc>
          <w:tcPr>
            <w:tcW w:w="1050" w:type="dxa"/>
            <w:shd w:val="clear" w:color="auto" w:fill="FFFFFF"/>
            <w:vAlign w:val="center"/>
          </w:tcPr>
          <w:p w14:paraId="6DA5D4CC">
            <w:pPr>
              <w:spacing w:before="0" w:after="0" w:line="240" w:lineRule="auto"/>
              <w:ind w:left="0" w:right="0" w:firstLine="0" w:firstLineChars="0"/>
              <w:jc w:val="center"/>
            </w:pPr>
            <w:r>
              <w:rPr>
                <w:rFonts w:ascii="宋体" w:hAnsi="宋体" w:eastAsia="宋体" w:cs="宋体"/>
                <w:b w:val="0"/>
                <w:bCs w:val="0"/>
                <w:color w:val="000000"/>
                <w:sz w:val="16"/>
                <w:szCs w:val="16"/>
              </w:rPr>
              <w:t>接收确认并分流线索</w:t>
            </w:r>
          </w:p>
        </w:tc>
        <w:tc>
          <w:tcPr>
            <w:tcW w:w="950" w:type="dxa"/>
            <w:shd w:val="clear" w:color="auto" w:fill="FFFFFF"/>
            <w:vAlign w:val="center"/>
          </w:tcPr>
          <w:p w14:paraId="7D6B76BE">
            <w:pPr>
              <w:spacing w:before="0" w:after="0" w:line="240" w:lineRule="auto"/>
              <w:ind w:left="0" w:right="0" w:firstLine="0" w:firstLineChars="0"/>
              <w:jc w:val="center"/>
            </w:pPr>
            <w:r>
              <w:rPr>
                <w:rFonts w:ascii="宋体" w:hAnsi="宋体" w:eastAsia="宋体" w:cs="宋体"/>
                <w:b w:val="0"/>
                <w:bCs w:val="0"/>
                <w:color w:val="000000"/>
                <w:sz w:val="16"/>
                <w:szCs w:val="16"/>
              </w:rPr>
              <w:t>责任人</w:t>
            </w:r>
          </w:p>
        </w:tc>
        <w:tc>
          <w:tcPr>
            <w:tcW w:w="1350" w:type="dxa"/>
            <w:shd w:val="clear" w:color="auto" w:fill="FFFFFF"/>
            <w:vAlign w:val="center"/>
          </w:tcPr>
          <w:p w14:paraId="50EDC8AE">
            <w:pPr>
              <w:spacing w:before="0" w:after="0" w:line="240" w:lineRule="auto"/>
              <w:ind w:left="0" w:right="0" w:firstLine="0" w:firstLineChars="0"/>
              <w:jc w:val="left"/>
            </w:pPr>
            <w:r>
              <w:rPr>
                <w:rFonts w:ascii="宋体" w:hAnsi="宋体" w:eastAsia="宋体" w:cs="宋体"/>
                <w:b w:val="0"/>
                <w:bCs w:val="0"/>
                <w:color w:val="000000"/>
                <w:sz w:val="16"/>
                <w:szCs w:val="16"/>
              </w:rPr>
              <w:t>输入：报告与反馈</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输出：确认案例或纠正线索</w:t>
            </w:r>
          </w:p>
        </w:tc>
        <w:tc>
          <w:tcPr>
            <w:tcW w:w="2000" w:type="dxa"/>
            <w:shd w:val="clear" w:color="auto" w:fill="FFFFFF"/>
            <w:vAlign w:val="center"/>
          </w:tcPr>
          <w:p w14:paraId="0B784E20">
            <w:pPr>
              <w:spacing w:before="0" w:after="0" w:line="240" w:lineRule="auto"/>
              <w:ind w:left="0" w:right="0" w:firstLine="0" w:firstLineChars="0"/>
              <w:jc w:val="left"/>
            </w:pPr>
            <w:r>
              <w:rPr>
                <w:rFonts w:ascii="宋体" w:hAnsi="宋体" w:eastAsia="宋体" w:cs="宋体"/>
                <w:b w:val="0"/>
                <w:bCs w:val="0"/>
                <w:color w:val="000000"/>
                <w:sz w:val="16"/>
                <w:szCs w:val="16"/>
              </w:rPr>
              <w:t>由事件指定责任人选择结论确认或与实际不符，并可补充实际原因；确认案例及纠正线索按5.5.4及6.7审核，待核问题按5.4.2及6.7跟进。</w:t>
            </w:r>
          </w:p>
        </w:tc>
        <w:tc>
          <w:tcPr>
            <w:tcW w:w="1072" w:type="dxa"/>
            <w:shd w:val="clear" w:color="auto" w:fill="FFFFFF"/>
            <w:vAlign w:val="center"/>
          </w:tcPr>
          <w:p w14:paraId="461F27E0">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70FCC239">
            <w:pPr>
              <w:spacing w:before="0" w:after="0" w:line="240" w:lineRule="auto"/>
              <w:ind w:left="0" w:right="0" w:firstLine="0" w:firstLineChars="0"/>
              <w:jc w:val="left"/>
            </w:pPr>
            <w:r>
              <w:rPr>
                <w:rFonts w:ascii="宋体" w:hAnsi="宋体" w:eastAsia="宋体" w:cs="宋体"/>
                <w:b w:val="0"/>
                <w:bCs w:val="0"/>
                <w:color w:val="000000"/>
                <w:sz w:val="16"/>
                <w:szCs w:val="16"/>
              </w:rPr>
              <w:t>P-ZLTC-AI-WLPHGY-102-13-001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P-ZLTC-AI-WLPHGY-102-14-001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P-ZLTC-AI-ZNWS-101-06-001</w:t>
            </w:r>
          </w:p>
        </w:tc>
      </w:tr>
      <w:tr w14:paraId="4237EA3B">
        <w:trPr>
          <w:cantSplit/>
          <w:jc w:val="center"/>
        </w:trPr>
        <w:tc>
          <w:tcPr>
            <w:tcW w:w="650" w:type="dxa"/>
            <w:shd w:val="clear" w:color="auto" w:fill="FFFFFF"/>
            <w:vAlign w:val="center"/>
          </w:tcPr>
          <w:p w14:paraId="46DD77EE">
            <w:pPr>
              <w:spacing w:before="0" w:after="0" w:line="240" w:lineRule="auto"/>
              <w:ind w:left="0" w:right="0" w:firstLine="0" w:firstLineChars="0"/>
              <w:jc w:val="center"/>
            </w:pPr>
            <w:r>
              <w:rPr>
                <w:rFonts w:ascii="宋体" w:hAnsi="宋体" w:eastAsia="宋体" w:cs="宋体"/>
                <w:b w:val="0"/>
                <w:bCs w:val="0"/>
                <w:color w:val="000000"/>
                <w:sz w:val="16"/>
                <w:szCs w:val="16"/>
              </w:rPr>
              <w:t>11</w:t>
            </w:r>
          </w:p>
        </w:tc>
        <w:tc>
          <w:tcPr>
            <w:tcW w:w="1050" w:type="dxa"/>
            <w:shd w:val="clear" w:color="auto" w:fill="FFFFFF"/>
            <w:vAlign w:val="center"/>
          </w:tcPr>
          <w:p w14:paraId="5B114E17">
            <w:pPr>
              <w:spacing w:before="0" w:after="0" w:line="240" w:lineRule="auto"/>
              <w:ind w:left="0" w:right="0" w:firstLine="0" w:firstLineChars="0"/>
              <w:jc w:val="center"/>
            </w:pPr>
            <w:r>
              <w:rPr>
                <w:rFonts w:ascii="宋体" w:hAnsi="宋体" w:eastAsia="宋体" w:cs="宋体"/>
                <w:b w:val="0"/>
                <w:bCs w:val="0"/>
                <w:color w:val="000000"/>
                <w:sz w:val="16"/>
                <w:szCs w:val="16"/>
              </w:rPr>
              <w:t>查询月度修订结果</w:t>
            </w:r>
          </w:p>
        </w:tc>
        <w:tc>
          <w:tcPr>
            <w:tcW w:w="950" w:type="dxa"/>
            <w:shd w:val="clear" w:color="auto" w:fill="FFFFFF"/>
            <w:vAlign w:val="center"/>
          </w:tcPr>
          <w:p w14:paraId="59C40B59">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3ADE35E7">
            <w:pPr>
              <w:spacing w:before="0" w:after="0" w:line="240" w:lineRule="auto"/>
              <w:ind w:left="0" w:right="0" w:firstLine="0" w:firstLineChars="0"/>
              <w:jc w:val="left"/>
            </w:pPr>
            <w:r>
              <w:rPr>
                <w:rFonts w:ascii="宋体" w:hAnsi="宋体" w:eastAsia="宋体" w:cs="宋体"/>
                <w:b w:val="0"/>
                <w:bCs w:val="0"/>
                <w:color w:val="000000"/>
                <w:sz w:val="16"/>
                <w:szCs w:val="16"/>
              </w:rPr>
              <w:t>输入：月度结算后的核定结果</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输出：修订前后版本</w:t>
            </w:r>
          </w:p>
        </w:tc>
        <w:tc>
          <w:tcPr>
            <w:tcW w:w="2000" w:type="dxa"/>
            <w:shd w:val="clear" w:color="auto" w:fill="FFFFFF"/>
            <w:vAlign w:val="center"/>
          </w:tcPr>
          <w:p w14:paraId="27917BEA">
            <w:pPr>
              <w:spacing w:before="0" w:after="0" w:line="240" w:lineRule="auto"/>
              <w:ind w:left="0" w:right="0" w:firstLine="0" w:firstLineChars="0"/>
              <w:jc w:val="left"/>
            </w:pPr>
            <w:r>
              <w:rPr>
                <w:rFonts w:ascii="宋体" w:hAnsi="宋体" w:eastAsia="宋体" w:cs="宋体"/>
                <w:b w:val="0"/>
                <w:bCs w:val="0"/>
                <w:color w:val="000000"/>
                <w:sz w:val="16"/>
                <w:szCs w:val="16"/>
              </w:rPr>
              <w:t>月度结算后按实际结算薪资与费用池公摊费用重新核定当月批次过程成本，保留修订前后数值、口径与版本，供生产过程管理查询。</w:t>
            </w:r>
          </w:p>
        </w:tc>
        <w:tc>
          <w:tcPr>
            <w:tcW w:w="1072" w:type="dxa"/>
            <w:shd w:val="clear" w:color="auto" w:fill="FFFFFF"/>
            <w:vAlign w:val="center"/>
          </w:tcPr>
          <w:p w14:paraId="1CA2BA23">
            <w:pPr>
              <w:spacing w:before="0" w:after="0" w:line="240" w:lineRule="auto"/>
              <w:ind w:left="0" w:right="0" w:firstLine="0" w:firstLineChars="0"/>
              <w:jc w:val="left"/>
            </w:pPr>
            <w:r>
              <w:rPr>
                <w:rFonts w:ascii="宋体" w:hAnsi="宋体" w:eastAsia="宋体" w:cs="宋体"/>
                <w:b w:val="0"/>
                <w:bCs w:val="0"/>
                <w:color w:val="000000"/>
                <w:sz w:val="16"/>
                <w:szCs w:val="16"/>
              </w:rPr>
              <w:t>返回版本→09</w:t>
            </w:r>
          </w:p>
        </w:tc>
        <w:tc>
          <w:tcPr>
            <w:tcW w:w="2000" w:type="dxa"/>
            <w:shd w:val="clear" w:color="auto" w:fill="FFFFFF"/>
            <w:vAlign w:val="center"/>
          </w:tcPr>
          <w:p w14:paraId="2D60B7A7">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p>
        </w:tc>
      </w:tr>
    </w:tbl>
    <w:p w14:paraId="72000012">
      <w:pPr>
        <w:pStyle w:val="4"/>
        <w:snapToGrid w:val="0"/>
      </w:pPr>
      <w:bookmarkStart w:id="19" w:name="s3_2_7"/>
      <w:r>
        <w:rPr>
          <w:rFonts w:ascii="黑体" w:hAnsi="黑体" w:eastAsia="黑体" w:cs="黑体"/>
          <w:b/>
          <w:color w:val="000000"/>
        </w:rPr>
        <w:t>3.2.7　智能质量追溯</w:t>
      </w:r>
      <w:bookmarkEnd w:id="19"/>
    </w:p>
    <w:p w14:paraId="74884121">
      <w:pPr>
        <w:pStyle w:val="12"/>
        <w:keepNext/>
        <w:snapToGrid w:val="0"/>
        <w:spacing w:before="0" w:after="40" w:line="240" w:lineRule="auto"/>
        <w:ind w:left="0" w:right="0" w:firstLine="0" w:firstLineChars="0"/>
        <w:jc w:val="center"/>
      </w:pPr>
      <w:r>
        <w:drawing>
          <wp:inline distT="0" distB="0" distL="0" distR="0">
            <wp:extent cx="5759450" cy="6313170"/>
            <wp:effectExtent l="0" t="0" r="6350" b="11430"/>
            <wp:docPr id="10" name="P-ZLTC-AI-ZNZLZS-108 智能质量追溯业务流程" descr="P-ZLTC-AI-ZNZLZS-108 智能质量追溯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ZLTC-AI-ZNZLZS-108 智能质量追溯业务流程" descr="P-ZLTC-AI-ZNZLZS-108 智能质量追溯业务流程"/>
                    <pic:cNvPicPr>
                      <a:picLocks noChangeAspect="1"/>
                    </pic:cNvPicPr>
                  </pic:nvPicPr>
                  <pic:blipFill>
                    <a:blip r:embed="rId18"/>
                    <a:stretch>
                      <a:fillRect/>
                    </a:stretch>
                  </pic:blipFill>
                  <pic:spPr>
                    <a:xfrm>
                      <a:off x="0" y="0"/>
                      <a:ext cx="5759450" cy="6313797"/>
                    </a:xfrm>
                    <a:prstGeom prst="rect">
                      <a:avLst/>
                    </a:prstGeom>
                  </pic:spPr>
                </pic:pic>
              </a:graphicData>
            </a:graphic>
          </wp:inline>
        </w:drawing>
      </w:r>
    </w:p>
    <w:p w14:paraId="569DB48F">
      <w:pPr>
        <w:pStyle w:val="15"/>
        <w:keepNext w:val="0"/>
        <w:snapToGrid w:val="0"/>
        <w:jc w:val="center"/>
      </w:pPr>
      <w:r>
        <w:t>图3-8　智能质量追溯业务流程图</w:t>
      </w:r>
    </w:p>
    <w:p w14:paraId="127C2D0D">
      <w:pPr>
        <w:pStyle w:val="15"/>
        <w:keepNext/>
        <w:snapToGrid w:val="0"/>
        <w:jc w:val="center"/>
      </w:pPr>
      <w:r>
        <w:t>表3-8　智能质量追溯业务流程说明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0A7B509F">
        <w:trPr>
          <w:cantSplit/>
          <w:tblHeader/>
          <w:jc w:val="center"/>
        </w:trPr>
        <w:tc>
          <w:tcPr>
            <w:tcW w:w="650" w:type="dxa"/>
            <w:shd w:val="clear" w:color="auto" w:fill="FFFFFF"/>
            <w:vAlign w:val="center"/>
          </w:tcPr>
          <w:p w14:paraId="46D83BFD">
            <w:pPr>
              <w:keepNext/>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60CDA5E5">
            <w:pPr>
              <w:keepNext/>
              <w:spacing w:before="0" w:after="0" w:line="240" w:lineRule="auto"/>
              <w:ind w:left="0" w:right="0" w:firstLine="0" w:firstLineChars="0"/>
              <w:jc w:val="center"/>
            </w:pPr>
            <w:r>
              <w:rPr>
                <w:rFonts w:ascii="宋体" w:hAnsi="宋体" w:eastAsia="宋体" w:cs="宋体"/>
                <w:b/>
                <w:bCs/>
                <w:color w:val="000000"/>
                <w:sz w:val="16"/>
                <w:szCs w:val="16"/>
              </w:rPr>
              <w:t>节点名称</w:t>
            </w:r>
          </w:p>
        </w:tc>
        <w:tc>
          <w:tcPr>
            <w:tcW w:w="950" w:type="dxa"/>
            <w:shd w:val="clear" w:color="auto" w:fill="FFFFFF"/>
            <w:vAlign w:val="center"/>
          </w:tcPr>
          <w:p w14:paraId="67FB6399">
            <w:pPr>
              <w:keepNext/>
              <w:spacing w:before="0" w:after="0" w:line="240" w:lineRule="auto"/>
              <w:ind w:left="0" w:right="0" w:firstLine="0" w:firstLineChars="0"/>
              <w:jc w:val="center"/>
            </w:pPr>
            <w:r>
              <w:rPr>
                <w:rFonts w:ascii="宋体" w:hAnsi="宋体" w:eastAsia="宋体" w:cs="宋体"/>
                <w:b/>
                <w:bCs/>
                <w:color w:val="000000"/>
                <w:sz w:val="16"/>
                <w:szCs w:val="16"/>
              </w:rPr>
              <w:t>责任节点</w:t>
            </w:r>
          </w:p>
        </w:tc>
        <w:tc>
          <w:tcPr>
            <w:tcW w:w="1350" w:type="dxa"/>
            <w:shd w:val="clear" w:color="auto" w:fill="FFFFFF"/>
            <w:vAlign w:val="center"/>
          </w:tcPr>
          <w:p w14:paraId="3BBA17FE">
            <w:pPr>
              <w:keepNext/>
              <w:spacing w:before="0" w:after="0" w:line="240" w:lineRule="auto"/>
              <w:ind w:left="0" w:right="0" w:firstLine="0" w:firstLineChars="0"/>
              <w:jc w:val="center"/>
            </w:pPr>
            <w:r>
              <w:rPr>
                <w:rFonts w:ascii="宋体" w:hAnsi="宋体" w:eastAsia="宋体" w:cs="宋体"/>
                <w:b/>
                <w:bCs/>
                <w:color w:val="000000"/>
                <w:sz w:val="16"/>
                <w:szCs w:val="16"/>
              </w:rPr>
              <w:t>输入/输出</w:t>
            </w:r>
          </w:p>
        </w:tc>
        <w:tc>
          <w:tcPr>
            <w:tcW w:w="2000" w:type="dxa"/>
            <w:shd w:val="clear" w:color="auto" w:fill="FFFFFF"/>
            <w:vAlign w:val="center"/>
          </w:tcPr>
          <w:p w14:paraId="29A09D89">
            <w:pPr>
              <w:keepNext/>
              <w:spacing w:before="0" w:after="0" w:line="240" w:lineRule="auto"/>
              <w:ind w:left="0" w:right="0" w:firstLine="0" w:firstLineChars="0"/>
              <w:jc w:val="center"/>
            </w:pPr>
            <w:r>
              <w:rPr>
                <w:rFonts w:ascii="宋体" w:hAnsi="宋体" w:eastAsia="宋体" w:cs="宋体"/>
                <w:b/>
                <w:bCs/>
                <w:color w:val="000000"/>
                <w:sz w:val="16"/>
                <w:szCs w:val="16"/>
              </w:rPr>
              <w:t>处理说明</w:t>
            </w:r>
          </w:p>
        </w:tc>
        <w:tc>
          <w:tcPr>
            <w:tcW w:w="1072" w:type="dxa"/>
            <w:shd w:val="clear" w:color="auto" w:fill="FFFFFF"/>
            <w:vAlign w:val="center"/>
          </w:tcPr>
          <w:p w14:paraId="4851C0BC">
            <w:pPr>
              <w:keepNext/>
              <w:spacing w:before="0" w:after="0" w:line="240" w:lineRule="auto"/>
              <w:ind w:left="0" w:right="0" w:firstLine="0" w:firstLineChars="0"/>
              <w:jc w:val="center"/>
            </w:pPr>
            <w:r>
              <w:rPr>
                <w:rFonts w:ascii="宋体" w:hAnsi="宋体" w:eastAsia="宋体" w:cs="宋体"/>
                <w:b/>
                <w:bCs/>
                <w:color w:val="000000"/>
                <w:sz w:val="16"/>
                <w:szCs w:val="16"/>
              </w:rPr>
              <w:t>异常/分支</w:t>
            </w:r>
          </w:p>
        </w:tc>
        <w:tc>
          <w:tcPr>
            <w:tcW w:w="2000" w:type="dxa"/>
            <w:shd w:val="clear" w:color="auto" w:fill="FFFFFF"/>
            <w:vAlign w:val="center"/>
          </w:tcPr>
          <w:p w14:paraId="171C48EC">
            <w:pPr>
              <w:keepNext/>
              <w:spacing w:before="0" w:after="0" w:line="240" w:lineRule="auto"/>
              <w:ind w:left="0" w:right="0" w:firstLine="0" w:firstLineChars="0"/>
              <w:jc w:val="center"/>
            </w:pPr>
            <w:r>
              <w:rPr>
                <w:rFonts w:ascii="宋体" w:hAnsi="宋体" w:eastAsia="宋体" w:cs="宋体"/>
                <w:b/>
                <w:bCs/>
                <w:color w:val="000000"/>
                <w:sz w:val="16"/>
                <w:szCs w:val="16"/>
              </w:rPr>
              <w:t>关联规则</w:t>
            </w:r>
          </w:p>
        </w:tc>
      </w:tr>
      <w:tr w14:paraId="77BB7C78">
        <w:trPr>
          <w:cantSplit/>
          <w:jc w:val="center"/>
        </w:trPr>
        <w:tc>
          <w:tcPr>
            <w:tcW w:w="650" w:type="dxa"/>
            <w:shd w:val="clear" w:color="auto" w:fill="FFFFFF"/>
            <w:vAlign w:val="center"/>
          </w:tcPr>
          <w:p w14:paraId="3B329B3F">
            <w:pPr>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6E55337B">
            <w:pPr>
              <w:spacing w:before="0" w:after="0" w:line="240" w:lineRule="auto"/>
              <w:ind w:left="0" w:right="0" w:firstLine="0" w:firstLineChars="0"/>
              <w:jc w:val="center"/>
            </w:pPr>
            <w:r>
              <w:rPr>
                <w:rFonts w:ascii="宋体" w:hAnsi="宋体" w:eastAsia="宋体" w:cs="宋体"/>
                <w:b w:val="0"/>
                <w:bCs w:val="0"/>
                <w:color w:val="000000"/>
                <w:sz w:val="16"/>
                <w:szCs w:val="16"/>
              </w:rPr>
              <w:t>发起或接收质量追溯</w:t>
            </w:r>
          </w:p>
        </w:tc>
        <w:tc>
          <w:tcPr>
            <w:tcW w:w="950" w:type="dxa"/>
            <w:shd w:val="clear" w:color="auto" w:fill="FFFFFF"/>
            <w:vAlign w:val="center"/>
          </w:tcPr>
          <w:p w14:paraId="5AEF6BC0">
            <w:pPr>
              <w:spacing w:before="0" w:after="0" w:line="240" w:lineRule="auto"/>
              <w:ind w:left="0" w:right="0" w:firstLine="0" w:firstLineChars="0"/>
              <w:jc w:val="center"/>
            </w:pPr>
            <w:r>
              <w:rPr>
                <w:rFonts w:ascii="宋体" w:hAnsi="宋体" w:eastAsia="宋体" w:cs="宋体"/>
                <w:b w:val="0"/>
                <w:bCs w:val="0"/>
                <w:color w:val="000000"/>
                <w:sz w:val="16"/>
                <w:szCs w:val="16"/>
              </w:rPr>
              <w:t>事件源与用户</w:t>
            </w:r>
          </w:p>
        </w:tc>
        <w:tc>
          <w:tcPr>
            <w:tcW w:w="1350" w:type="dxa"/>
            <w:shd w:val="clear" w:color="auto" w:fill="FFFFFF"/>
            <w:vAlign w:val="center"/>
          </w:tcPr>
          <w:p w14:paraId="42DE969D">
            <w:pPr>
              <w:spacing w:before="0" w:after="0" w:line="240" w:lineRule="auto"/>
              <w:ind w:left="0" w:right="0" w:firstLine="0" w:firstLineChars="0"/>
              <w:jc w:val="left"/>
            </w:pPr>
            <w:r>
              <w:rPr>
                <w:rFonts w:ascii="宋体" w:hAnsi="宋体" w:eastAsia="宋体" w:cs="宋体"/>
                <w:b w:val="0"/>
                <w:bCs w:val="0"/>
                <w:color w:val="000000"/>
                <w:sz w:val="16"/>
                <w:szCs w:val="16"/>
              </w:rPr>
              <w:t>输入：批次、时间范围或质量不合格事件</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输出：追溯请求</w:t>
            </w:r>
          </w:p>
        </w:tc>
        <w:tc>
          <w:tcPr>
            <w:tcW w:w="2000" w:type="dxa"/>
            <w:shd w:val="clear" w:color="auto" w:fill="FFFFFF"/>
            <w:vAlign w:val="center"/>
          </w:tcPr>
          <w:p w14:paraId="3CE3BA93">
            <w:pPr>
              <w:spacing w:before="0" w:after="0" w:line="240" w:lineRule="auto"/>
              <w:ind w:left="0" w:right="0" w:firstLine="0" w:firstLineChars="0"/>
              <w:jc w:val="left"/>
            </w:pPr>
            <w:r>
              <w:rPr>
                <w:rFonts w:ascii="宋体" w:hAnsi="宋体" w:eastAsia="宋体" w:cs="宋体"/>
                <w:b w:val="0"/>
                <w:bCs w:val="0"/>
                <w:color w:val="000000"/>
                <w:sz w:val="16"/>
                <w:szCs w:val="16"/>
              </w:rPr>
              <w:t>用户主动追溯，或以QMS质量不合格事件作为触发源，事件及业务数据由AI数据治理提供。</w:t>
            </w:r>
          </w:p>
        </w:tc>
        <w:tc>
          <w:tcPr>
            <w:tcW w:w="1072" w:type="dxa"/>
            <w:shd w:val="clear" w:color="auto" w:fill="FFFFFF"/>
            <w:vAlign w:val="center"/>
          </w:tcPr>
          <w:p w14:paraId="2A64D90A">
            <w:pPr>
              <w:spacing w:before="0" w:after="0" w:line="240" w:lineRule="auto"/>
              <w:ind w:left="0" w:right="0" w:firstLine="0" w:firstLineChars="0"/>
              <w:jc w:val="left"/>
            </w:pPr>
            <w:r>
              <w:rPr>
                <w:rFonts w:ascii="宋体" w:hAnsi="宋体" w:eastAsia="宋体" w:cs="宋体"/>
                <w:b w:val="0"/>
                <w:bCs w:val="0"/>
                <w:color w:val="000000"/>
                <w:sz w:val="16"/>
                <w:szCs w:val="16"/>
              </w:rPr>
              <w:t>→02</w:t>
            </w:r>
          </w:p>
        </w:tc>
        <w:tc>
          <w:tcPr>
            <w:tcW w:w="2000" w:type="dxa"/>
            <w:shd w:val="clear" w:color="auto" w:fill="FFFFFF"/>
            <w:vAlign w:val="center"/>
          </w:tcPr>
          <w:p w14:paraId="43F5CBB7">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4502EB8B">
        <w:trPr>
          <w:cantSplit/>
          <w:jc w:val="center"/>
        </w:trPr>
        <w:tc>
          <w:tcPr>
            <w:tcW w:w="650" w:type="dxa"/>
            <w:shd w:val="clear" w:color="auto" w:fill="FFFFFF"/>
            <w:vAlign w:val="center"/>
          </w:tcPr>
          <w:p w14:paraId="7A311683">
            <w:pPr>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0B76C55B">
            <w:pPr>
              <w:spacing w:before="0" w:after="0" w:line="240" w:lineRule="auto"/>
              <w:ind w:left="0" w:right="0" w:firstLine="0" w:firstLineChars="0"/>
              <w:jc w:val="center"/>
            </w:pPr>
            <w:r>
              <w:rPr>
                <w:rFonts w:ascii="宋体" w:hAnsi="宋体" w:eastAsia="宋体" w:cs="宋体"/>
                <w:b w:val="0"/>
                <w:bCs w:val="0"/>
                <w:color w:val="000000"/>
                <w:sz w:val="16"/>
                <w:szCs w:val="16"/>
              </w:rPr>
              <w:t>确认对象与追溯方向</w:t>
            </w:r>
          </w:p>
        </w:tc>
        <w:tc>
          <w:tcPr>
            <w:tcW w:w="950" w:type="dxa"/>
            <w:shd w:val="clear" w:color="auto" w:fill="FFFFFF"/>
            <w:vAlign w:val="center"/>
          </w:tcPr>
          <w:p w14:paraId="74605F12">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7B16D5E0">
            <w:pPr>
              <w:spacing w:before="0" w:after="0" w:line="240" w:lineRule="auto"/>
              <w:ind w:left="0" w:right="0" w:firstLine="0" w:firstLineChars="0"/>
              <w:jc w:val="left"/>
            </w:pPr>
            <w:r>
              <w:rPr>
                <w:rFonts w:ascii="宋体" w:hAnsi="宋体" w:eastAsia="宋体" w:cs="宋体"/>
                <w:b w:val="0"/>
                <w:bCs w:val="0"/>
                <w:color w:val="000000"/>
                <w:sz w:val="16"/>
                <w:szCs w:val="16"/>
              </w:rPr>
              <w:t>输入：问题及批次条件</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输出：正向或反向追溯任务</w:t>
            </w:r>
          </w:p>
        </w:tc>
        <w:tc>
          <w:tcPr>
            <w:tcW w:w="2000" w:type="dxa"/>
            <w:shd w:val="clear" w:color="auto" w:fill="FFFFFF"/>
            <w:vAlign w:val="center"/>
          </w:tcPr>
          <w:p w14:paraId="323B2EB8">
            <w:pPr>
              <w:spacing w:before="0" w:after="0" w:line="240" w:lineRule="auto"/>
              <w:ind w:left="0" w:right="0" w:firstLine="0" w:firstLineChars="0"/>
              <w:jc w:val="left"/>
            </w:pPr>
            <w:r>
              <w:rPr>
                <w:rFonts w:ascii="宋体" w:hAnsi="宋体" w:eastAsia="宋体" w:cs="宋体"/>
                <w:b w:val="0"/>
                <w:bCs w:val="0"/>
                <w:color w:val="000000"/>
                <w:sz w:val="16"/>
                <w:szCs w:val="16"/>
              </w:rPr>
              <w:t>确认从原辅料批次向下游正向追踪，或从不合格成品批次反向追溯；指定时间范围时按该范围组织查询。</w:t>
            </w:r>
          </w:p>
        </w:tc>
        <w:tc>
          <w:tcPr>
            <w:tcW w:w="1072" w:type="dxa"/>
            <w:shd w:val="clear" w:color="auto" w:fill="FFFFFF"/>
            <w:vAlign w:val="center"/>
          </w:tcPr>
          <w:p w14:paraId="5327F1E2">
            <w:pPr>
              <w:spacing w:before="0" w:after="0" w:line="240" w:lineRule="auto"/>
              <w:ind w:left="0" w:right="0" w:firstLine="0" w:firstLineChars="0"/>
              <w:jc w:val="left"/>
            </w:pPr>
            <w:r>
              <w:rPr>
                <w:rFonts w:ascii="宋体" w:hAnsi="宋体" w:eastAsia="宋体" w:cs="宋体"/>
                <w:b w:val="0"/>
                <w:bCs w:val="0"/>
                <w:color w:val="000000"/>
                <w:sz w:val="16"/>
                <w:szCs w:val="16"/>
              </w:rPr>
              <w:t>→03</w:t>
            </w:r>
          </w:p>
        </w:tc>
        <w:tc>
          <w:tcPr>
            <w:tcW w:w="2000" w:type="dxa"/>
            <w:shd w:val="clear" w:color="auto" w:fill="FFFFFF"/>
            <w:vAlign w:val="center"/>
          </w:tcPr>
          <w:p w14:paraId="549E4A05">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p>
        </w:tc>
      </w:tr>
      <w:tr w14:paraId="38C90D0D">
        <w:trPr>
          <w:cantSplit/>
          <w:jc w:val="center"/>
        </w:trPr>
        <w:tc>
          <w:tcPr>
            <w:tcW w:w="650" w:type="dxa"/>
            <w:shd w:val="clear" w:color="auto" w:fill="FFFFFF"/>
            <w:vAlign w:val="center"/>
          </w:tcPr>
          <w:p w14:paraId="7236A0BD">
            <w:pPr>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2C98761C">
            <w:pPr>
              <w:spacing w:before="0" w:after="0" w:line="240" w:lineRule="auto"/>
              <w:ind w:left="0" w:right="0" w:firstLine="0" w:firstLineChars="0"/>
              <w:jc w:val="center"/>
            </w:pPr>
            <w:r>
              <w:rPr>
                <w:rFonts w:ascii="宋体" w:hAnsi="宋体" w:eastAsia="宋体" w:cs="宋体"/>
                <w:b w:val="0"/>
                <w:bCs w:val="0"/>
                <w:color w:val="000000"/>
                <w:sz w:val="16"/>
                <w:szCs w:val="16"/>
              </w:rPr>
              <w:t>检索已有追溯报告</w:t>
            </w:r>
          </w:p>
        </w:tc>
        <w:tc>
          <w:tcPr>
            <w:tcW w:w="950" w:type="dxa"/>
            <w:shd w:val="clear" w:color="auto" w:fill="FFFFFF"/>
            <w:vAlign w:val="center"/>
          </w:tcPr>
          <w:p w14:paraId="142FB12A">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5FBCBC24">
            <w:pPr>
              <w:spacing w:before="0" w:after="0" w:line="240" w:lineRule="auto"/>
              <w:ind w:left="0" w:right="0" w:firstLine="0" w:firstLineChars="0"/>
              <w:jc w:val="left"/>
            </w:pPr>
            <w:r>
              <w:rPr>
                <w:rFonts w:ascii="宋体" w:hAnsi="宋体" w:eastAsia="宋体" w:cs="宋体"/>
                <w:b w:val="0"/>
                <w:bCs w:val="0"/>
                <w:color w:val="000000"/>
                <w:sz w:val="16"/>
                <w:szCs w:val="16"/>
              </w:rPr>
              <w:t>输入：对象、时间窗、业务身份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输出：已有报告或新取证任务</w:t>
            </w:r>
          </w:p>
        </w:tc>
        <w:tc>
          <w:tcPr>
            <w:tcW w:w="2000" w:type="dxa"/>
            <w:shd w:val="clear" w:color="auto" w:fill="FFFFFF"/>
            <w:vAlign w:val="center"/>
          </w:tcPr>
          <w:p w14:paraId="6433E326">
            <w:pPr>
              <w:spacing w:before="0" w:after="0" w:line="240" w:lineRule="auto"/>
              <w:ind w:left="0" w:right="0" w:firstLine="0" w:firstLineChars="0"/>
              <w:jc w:val="left"/>
            </w:pPr>
            <w:r>
              <w:rPr>
                <w:rFonts w:ascii="宋体" w:hAnsi="宋体" w:eastAsia="宋体" w:cs="宋体"/>
                <w:b w:val="0"/>
                <w:bCs w:val="0"/>
                <w:color w:val="000000"/>
                <w:sz w:val="16"/>
                <w:szCs w:val="16"/>
              </w:rPr>
              <w:t>按对象、时间窗与业务授权查台账，引用原报告及确认状态。</w:t>
            </w:r>
          </w:p>
        </w:tc>
        <w:tc>
          <w:tcPr>
            <w:tcW w:w="1072" w:type="dxa"/>
            <w:shd w:val="clear" w:color="auto" w:fill="FFFFFF"/>
            <w:vAlign w:val="center"/>
          </w:tcPr>
          <w:p w14:paraId="5468BDB7">
            <w:pPr>
              <w:spacing w:before="0" w:after="0" w:line="240" w:lineRule="auto"/>
              <w:ind w:left="0" w:right="0" w:firstLine="0" w:firstLineChars="0"/>
              <w:jc w:val="left"/>
            </w:pPr>
            <w:r>
              <w:rPr>
                <w:rFonts w:ascii="宋体" w:hAnsi="宋体" w:eastAsia="宋体" w:cs="宋体"/>
                <w:b w:val="0"/>
                <w:bCs w:val="0"/>
                <w:color w:val="000000"/>
                <w:sz w:val="16"/>
                <w:szCs w:val="16"/>
              </w:rPr>
              <w:t>报告可复用→12；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重新追溯→04</w:t>
            </w:r>
          </w:p>
        </w:tc>
        <w:tc>
          <w:tcPr>
            <w:tcW w:w="2000" w:type="dxa"/>
            <w:shd w:val="clear" w:color="auto" w:fill="FFFFFF"/>
            <w:vAlign w:val="center"/>
          </w:tcPr>
          <w:p w14:paraId="3B3633EA">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0C790823">
        <w:trPr>
          <w:cantSplit/>
          <w:jc w:val="center"/>
        </w:trPr>
        <w:tc>
          <w:tcPr>
            <w:tcW w:w="650" w:type="dxa"/>
            <w:shd w:val="clear" w:color="auto" w:fill="FFFFFF"/>
            <w:vAlign w:val="center"/>
          </w:tcPr>
          <w:p w14:paraId="1B92A3BA">
            <w:pPr>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507D1A20">
            <w:pPr>
              <w:spacing w:before="0" w:after="0" w:line="240" w:lineRule="auto"/>
              <w:ind w:left="0" w:right="0" w:firstLine="0" w:firstLineChars="0"/>
              <w:jc w:val="center"/>
            </w:pPr>
            <w:r>
              <w:rPr>
                <w:rFonts w:ascii="宋体" w:hAnsi="宋体" w:eastAsia="宋体" w:cs="宋体"/>
                <w:b w:val="0"/>
                <w:bCs w:val="0"/>
                <w:color w:val="000000"/>
                <w:sz w:val="16"/>
                <w:szCs w:val="16"/>
              </w:rPr>
              <w:t>按批次谱系遍历取证</w:t>
            </w:r>
          </w:p>
        </w:tc>
        <w:tc>
          <w:tcPr>
            <w:tcW w:w="950" w:type="dxa"/>
            <w:shd w:val="clear" w:color="auto" w:fill="FFFFFF"/>
            <w:vAlign w:val="center"/>
          </w:tcPr>
          <w:p w14:paraId="68D8DD1F">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54AD2350">
            <w:pPr>
              <w:spacing w:before="0" w:after="0" w:line="240" w:lineRule="auto"/>
              <w:ind w:left="0" w:right="0" w:firstLine="0" w:firstLineChars="0"/>
              <w:jc w:val="left"/>
            </w:pPr>
            <w:r>
              <w:rPr>
                <w:rFonts w:ascii="宋体" w:hAnsi="宋体" w:eastAsia="宋体" w:cs="宋体"/>
                <w:b w:val="0"/>
                <w:bCs w:val="0"/>
                <w:color w:val="000000"/>
                <w:sz w:val="16"/>
                <w:szCs w:val="16"/>
              </w:rPr>
              <w:t>输入：方向、批次与身份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输出：批次树及逐节点证据</w:t>
            </w:r>
          </w:p>
        </w:tc>
        <w:tc>
          <w:tcPr>
            <w:tcW w:w="2000" w:type="dxa"/>
            <w:shd w:val="clear" w:color="auto" w:fill="FFFFFF"/>
            <w:vAlign w:val="center"/>
          </w:tcPr>
          <w:p w14:paraId="51CFFEFA">
            <w:pPr>
              <w:spacing w:before="0" w:after="0" w:line="240" w:lineRule="auto"/>
              <w:ind w:left="0" w:right="0" w:firstLine="0" w:firstLineChars="0"/>
              <w:jc w:val="left"/>
            </w:pPr>
            <w:r>
              <w:rPr>
                <w:rFonts w:ascii="宋体" w:hAnsi="宋体" w:eastAsia="宋体" w:cs="宋体"/>
                <w:b w:val="0"/>
                <w:bCs w:val="0"/>
                <w:color w:val="000000"/>
                <w:sz w:val="16"/>
                <w:szCs w:val="16"/>
              </w:rPr>
              <w:t>程序按追溯方向逐支遍历批次树，联查原辅料、工序、质检、设备、参数及环境记录；按用户身份取得授权数据。必需证据失败返回状态，批次谱系断链位置在结果中明确标注。经AI数据治理以MES工单、工序和批次谱系关联QMS检验项目与规格判定、LIMS检测结果，并联查DCS工艺时序、EAM设备维修及PHM已有预警证据；环境记录沿用已确认来源。</w:t>
            </w:r>
          </w:p>
        </w:tc>
        <w:tc>
          <w:tcPr>
            <w:tcW w:w="1072" w:type="dxa"/>
            <w:shd w:val="clear" w:color="auto" w:fill="FFFFFF"/>
            <w:vAlign w:val="center"/>
          </w:tcPr>
          <w:p w14:paraId="02B92F75">
            <w:pPr>
              <w:spacing w:before="0" w:after="0" w:line="240" w:lineRule="auto"/>
              <w:ind w:left="0" w:right="0" w:firstLine="0" w:firstLineChars="0"/>
              <w:jc w:val="left"/>
            </w:pPr>
            <w:r>
              <w:rPr>
                <w:rFonts w:ascii="宋体" w:hAnsi="宋体" w:eastAsia="宋体" w:cs="宋体"/>
                <w:b w:val="0"/>
                <w:bCs w:val="0"/>
                <w:color w:val="000000"/>
                <w:sz w:val="16"/>
                <w:szCs w:val="16"/>
              </w:rPr>
              <w:t>必需证据缺失→16；</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证据可用→05</w:t>
            </w:r>
          </w:p>
        </w:tc>
        <w:tc>
          <w:tcPr>
            <w:tcW w:w="2000" w:type="dxa"/>
            <w:shd w:val="clear" w:color="auto" w:fill="FFFFFF"/>
            <w:vAlign w:val="center"/>
          </w:tcPr>
          <w:p w14:paraId="63D6F725">
            <w:pPr>
              <w:spacing w:before="0" w:after="0" w:line="240" w:lineRule="auto"/>
              <w:ind w:left="0" w:right="0" w:firstLine="0" w:firstLineChars="0"/>
              <w:jc w:val="left"/>
            </w:pPr>
            <w:r>
              <w:rPr>
                <w:rFonts w:ascii="宋体" w:hAnsi="宋体" w:eastAsia="宋体" w:cs="宋体"/>
                <w:b w:val="0"/>
                <w:bCs w:val="0"/>
                <w:color w:val="000000"/>
                <w:sz w:val="16"/>
                <w:szCs w:val="16"/>
              </w:rPr>
              <w:t>P-ZLTC-AI-ZNWS-101-08-003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1966764B">
        <w:trPr>
          <w:cantSplit/>
          <w:jc w:val="center"/>
        </w:trPr>
        <w:tc>
          <w:tcPr>
            <w:tcW w:w="650" w:type="dxa"/>
            <w:shd w:val="clear" w:color="auto" w:fill="FFFFFF"/>
            <w:vAlign w:val="center"/>
          </w:tcPr>
          <w:p w14:paraId="1D8CCAE0">
            <w:pPr>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00BA32C4">
            <w:pPr>
              <w:spacing w:before="0" w:after="0" w:line="240" w:lineRule="auto"/>
              <w:ind w:left="0" w:right="0" w:firstLine="0" w:firstLineChars="0"/>
              <w:jc w:val="center"/>
            </w:pPr>
            <w:r>
              <w:rPr>
                <w:rFonts w:ascii="宋体" w:hAnsi="宋体" w:eastAsia="宋体" w:cs="宋体"/>
                <w:b w:val="0"/>
                <w:bCs w:val="0"/>
                <w:color w:val="000000"/>
                <w:sz w:val="16"/>
                <w:szCs w:val="16"/>
              </w:rPr>
              <w:t>逐节点核对检测与规格限</w:t>
            </w:r>
          </w:p>
        </w:tc>
        <w:tc>
          <w:tcPr>
            <w:tcW w:w="950" w:type="dxa"/>
            <w:shd w:val="clear" w:color="auto" w:fill="FFFFFF"/>
            <w:vAlign w:val="center"/>
          </w:tcPr>
          <w:p w14:paraId="0E160412">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1EBA606D">
            <w:pPr>
              <w:spacing w:before="0" w:after="0" w:line="240" w:lineRule="auto"/>
              <w:ind w:left="0" w:right="0" w:firstLine="0" w:firstLineChars="0"/>
              <w:jc w:val="left"/>
            </w:pPr>
            <w:r>
              <w:rPr>
                <w:rFonts w:ascii="宋体" w:hAnsi="宋体" w:eastAsia="宋体" w:cs="宋体"/>
                <w:b w:val="0"/>
                <w:bCs w:val="0"/>
                <w:color w:val="000000"/>
                <w:sz w:val="16"/>
                <w:szCs w:val="16"/>
              </w:rPr>
              <w:t>输入：批次链与检测数据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输出：超限、临界及当前进度</w:t>
            </w:r>
          </w:p>
        </w:tc>
        <w:tc>
          <w:tcPr>
            <w:tcW w:w="2000" w:type="dxa"/>
            <w:shd w:val="clear" w:color="auto" w:fill="FFFFFF"/>
            <w:vAlign w:val="center"/>
          </w:tcPr>
          <w:p w14:paraId="686BA1D1">
            <w:pPr>
              <w:spacing w:before="0" w:after="0" w:line="240" w:lineRule="auto"/>
              <w:ind w:left="0" w:right="0" w:firstLine="0" w:firstLineChars="0"/>
              <w:jc w:val="left"/>
            </w:pPr>
            <w:r>
              <w:rPr>
                <w:rFonts w:ascii="宋体" w:hAnsi="宋体" w:eastAsia="宋体" w:cs="宋体"/>
                <w:b w:val="0"/>
                <w:bCs w:val="0"/>
                <w:color w:val="000000"/>
                <w:sz w:val="16"/>
                <w:szCs w:val="16"/>
              </w:rPr>
              <w:t>按树逐支核对检测值与规格限，不跳过中间工序；在制分支查至当前工序，已完成出库分支走至终点，支持日常过程质量把关。</w:t>
            </w:r>
          </w:p>
        </w:tc>
        <w:tc>
          <w:tcPr>
            <w:tcW w:w="1072" w:type="dxa"/>
            <w:shd w:val="clear" w:color="auto" w:fill="FFFFFF"/>
            <w:vAlign w:val="center"/>
          </w:tcPr>
          <w:p w14:paraId="55F18467">
            <w:pPr>
              <w:spacing w:before="0" w:after="0" w:line="240" w:lineRule="auto"/>
              <w:ind w:left="0" w:right="0" w:firstLine="0" w:firstLineChars="0"/>
              <w:jc w:val="left"/>
            </w:pPr>
            <w:r>
              <w:rPr>
                <w:rFonts w:ascii="宋体" w:hAnsi="宋体" w:eastAsia="宋体" w:cs="宋体"/>
                <w:b w:val="0"/>
                <w:bCs w:val="0"/>
                <w:color w:val="000000"/>
                <w:sz w:val="16"/>
                <w:szCs w:val="16"/>
              </w:rPr>
              <w:t>→06</w:t>
            </w:r>
          </w:p>
        </w:tc>
        <w:tc>
          <w:tcPr>
            <w:tcW w:w="2000" w:type="dxa"/>
            <w:shd w:val="clear" w:color="auto" w:fill="FFFFFF"/>
            <w:vAlign w:val="center"/>
          </w:tcPr>
          <w:p w14:paraId="487E593A">
            <w:pPr>
              <w:spacing w:before="0" w:after="0" w:line="240" w:lineRule="auto"/>
              <w:ind w:left="0" w:right="0" w:firstLine="0" w:firstLineChars="0"/>
              <w:jc w:val="left"/>
            </w:pPr>
            <w:r>
              <w:rPr>
                <w:rFonts w:ascii="宋体" w:hAnsi="宋体" w:eastAsia="宋体" w:cs="宋体"/>
                <w:b w:val="0"/>
                <w:bCs w:val="0"/>
                <w:color w:val="000000"/>
                <w:sz w:val="16"/>
                <w:szCs w:val="16"/>
              </w:rPr>
              <w:t>P-ZLTC-AI-ZNWS-101-08-002</w:t>
            </w:r>
          </w:p>
        </w:tc>
      </w:tr>
      <w:tr w14:paraId="64B4BE28">
        <w:trPr>
          <w:cantSplit/>
          <w:jc w:val="center"/>
        </w:trPr>
        <w:tc>
          <w:tcPr>
            <w:tcW w:w="650" w:type="dxa"/>
            <w:shd w:val="clear" w:color="auto" w:fill="FFFFFF"/>
            <w:vAlign w:val="center"/>
          </w:tcPr>
          <w:p w14:paraId="2A99FE74">
            <w:pPr>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58D94645">
            <w:pPr>
              <w:spacing w:before="0" w:after="0" w:line="240" w:lineRule="auto"/>
              <w:ind w:left="0" w:right="0" w:firstLine="0" w:firstLineChars="0"/>
              <w:jc w:val="center"/>
            </w:pPr>
            <w:r>
              <w:rPr>
                <w:rFonts w:ascii="宋体" w:hAnsi="宋体" w:eastAsia="宋体" w:cs="宋体"/>
                <w:b w:val="0"/>
                <w:bCs w:val="0"/>
                <w:color w:val="000000"/>
                <w:sz w:val="16"/>
                <w:szCs w:val="16"/>
              </w:rPr>
              <w:t>原料已确认？</w:t>
            </w:r>
          </w:p>
        </w:tc>
        <w:tc>
          <w:tcPr>
            <w:tcW w:w="950" w:type="dxa"/>
            <w:shd w:val="clear" w:color="auto" w:fill="FFFFFF"/>
            <w:vAlign w:val="center"/>
          </w:tcPr>
          <w:p w14:paraId="4DF095AD">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2D9ABC00">
            <w:pPr>
              <w:spacing w:before="0" w:after="0" w:line="240" w:lineRule="auto"/>
              <w:ind w:left="0" w:right="0" w:firstLine="0" w:firstLineChars="0"/>
              <w:jc w:val="left"/>
            </w:pPr>
            <w:r>
              <w:rPr>
                <w:rFonts w:ascii="宋体" w:hAnsi="宋体" w:eastAsia="宋体" w:cs="宋体"/>
                <w:b w:val="0"/>
                <w:bCs w:val="0"/>
                <w:color w:val="000000"/>
                <w:sz w:val="16"/>
                <w:szCs w:val="16"/>
              </w:rPr>
              <w:t>输入：问题原料确认及下游分支</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输出：需查询位置的叶子节点</w:t>
            </w:r>
          </w:p>
        </w:tc>
        <w:tc>
          <w:tcPr>
            <w:tcW w:w="2000" w:type="dxa"/>
            <w:shd w:val="clear" w:color="auto" w:fill="FFFFFF"/>
            <w:vAlign w:val="center"/>
          </w:tcPr>
          <w:p w14:paraId="19505D2A">
            <w:pPr>
              <w:spacing w:before="0" w:after="0" w:line="240" w:lineRule="auto"/>
              <w:ind w:left="0" w:right="0" w:firstLine="0" w:firstLineChars="0"/>
              <w:jc w:val="left"/>
            </w:pPr>
            <w:r>
              <w:rPr>
                <w:rFonts w:ascii="宋体" w:hAnsi="宋体" w:eastAsia="宋体" w:cs="宋体"/>
                <w:b w:val="0"/>
                <w:bCs w:val="0"/>
                <w:color w:val="000000"/>
                <w:sz w:val="16"/>
                <w:szCs w:val="16"/>
              </w:rPr>
              <w:t>核实该原料批次是否已确认为问题原料；确认后将全部下游叶子批次纳入位置状态查询，形成相应事故清单；其他情况继续异常节点分析。</w:t>
            </w:r>
          </w:p>
        </w:tc>
        <w:tc>
          <w:tcPr>
            <w:tcW w:w="1072" w:type="dxa"/>
            <w:shd w:val="clear" w:color="auto" w:fill="FFFFFF"/>
            <w:vAlign w:val="center"/>
          </w:tcPr>
          <w:p w14:paraId="1F122918">
            <w:pPr>
              <w:spacing w:before="0" w:after="0" w:line="240" w:lineRule="auto"/>
              <w:ind w:left="0" w:right="0" w:firstLine="0" w:firstLineChars="0"/>
              <w:jc w:val="left"/>
            </w:pPr>
            <w:r>
              <w:rPr>
                <w:rFonts w:ascii="宋体" w:hAnsi="宋体" w:eastAsia="宋体" w:cs="宋体"/>
                <w:b w:val="0"/>
                <w:bCs w:val="0"/>
                <w:color w:val="000000"/>
                <w:sz w:val="16"/>
                <w:szCs w:val="16"/>
              </w:rPr>
              <w:t>原料已确认→07；</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其他情况→08</w:t>
            </w:r>
          </w:p>
        </w:tc>
        <w:tc>
          <w:tcPr>
            <w:tcW w:w="2000" w:type="dxa"/>
            <w:shd w:val="clear" w:color="auto" w:fill="FFFFFF"/>
            <w:vAlign w:val="center"/>
          </w:tcPr>
          <w:p w14:paraId="4B4778EC">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3BCB4779">
        <w:trPr>
          <w:cantSplit/>
          <w:jc w:val="center"/>
        </w:trPr>
        <w:tc>
          <w:tcPr>
            <w:tcW w:w="650" w:type="dxa"/>
            <w:shd w:val="clear" w:color="auto" w:fill="FFFFFF"/>
            <w:vAlign w:val="center"/>
          </w:tcPr>
          <w:p w14:paraId="239ACA46">
            <w:pPr>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73F2EBBA">
            <w:pPr>
              <w:spacing w:before="0" w:after="0" w:line="240" w:lineRule="auto"/>
              <w:ind w:left="0" w:right="0" w:firstLine="0" w:firstLineChars="0"/>
              <w:jc w:val="center"/>
            </w:pPr>
            <w:r>
              <w:rPr>
                <w:rFonts w:ascii="宋体" w:hAnsi="宋体" w:eastAsia="宋体" w:cs="宋体"/>
                <w:b w:val="0"/>
                <w:bCs w:val="0"/>
                <w:color w:val="000000"/>
                <w:sz w:val="16"/>
                <w:szCs w:val="16"/>
              </w:rPr>
              <w:t>补充库存与发运位置</w:t>
            </w:r>
          </w:p>
        </w:tc>
        <w:tc>
          <w:tcPr>
            <w:tcW w:w="950" w:type="dxa"/>
            <w:shd w:val="clear" w:color="auto" w:fill="FFFFFF"/>
            <w:vAlign w:val="center"/>
          </w:tcPr>
          <w:p w14:paraId="79A24318">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5AA85AD4">
            <w:pPr>
              <w:spacing w:before="0" w:after="0" w:line="240" w:lineRule="auto"/>
              <w:ind w:left="0" w:right="0" w:firstLine="0" w:firstLineChars="0"/>
              <w:jc w:val="left"/>
            </w:pPr>
            <w:r>
              <w:rPr>
                <w:rFonts w:ascii="宋体" w:hAnsi="宋体" w:eastAsia="宋体" w:cs="宋体"/>
                <w:b w:val="0"/>
                <w:bCs w:val="0"/>
                <w:color w:val="000000"/>
                <w:sz w:val="16"/>
                <w:szCs w:val="16"/>
              </w:rPr>
              <w:t>输入：下游叶子批次</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输出：在库、在途、已发出状态</w:t>
            </w:r>
          </w:p>
        </w:tc>
        <w:tc>
          <w:tcPr>
            <w:tcW w:w="2000" w:type="dxa"/>
            <w:shd w:val="clear" w:color="auto" w:fill="FFFFFF"/>
            <w:vAlign w:val="center"/>
          </w:tcPr>
          <w:p w14:paraId="56167803">
            <w:pPr>
              <w:spacing w:before="0" w:after="0" w:line="240" w:lineRule="auto"/>
              <w:ind w:left="0" w:right="0" w:firstLine="0" w:firstLineChars="0"/>
              <w:jc w:val="left"/>
            </w:pPr>
            <w:r>
              <w:rPr>
                <w:rFonts w:ascii="宋体" w:hAnsi="宋体" w:eastAsia="宋体" w:cs="宋体"/>
                <w:b w:val="0"/>
                <w:bCs w:val="0"/>
                <w:color w:val="000000"/>
                <w:sz w:val="16"/>
                <w:szCs w:val="16"/>
              </w:rPr>
              <w:t>对确认问题原料的全部下游叶子批次补查在库、在途和已发出状态，保留查询时点及来源，形成事故清单供质量和业务人员判断隔离、召回事宜。经AI数据治理关联WMS库存、库位及出库记录和TMS运输、发运状态，按同一叶子批次核对位置。</w:t>
            </w:r>
          </w:p>
        </w:tc>
        <w:tc>
          <w:tcPr>
            <w:tcW w:w="1072" w:type="dxa"/>
            <w:shd w:val="clear" w:color="auto" w:fill="FFFFFF"/>
            <w:vAlign w:val="center"/>
          </w:tcPr>
          <w:p w14:paraId="0CD4A820">
            <w:pPr>
              <w:spacing w:before="0" w:after="0" w:line="240" w:lineRule="auto"/>
              <w:ind w:left="0" w:right="0" w:firstLine="0" w:firstLineChars="0"/>
              <w:jc w:val="left"/>
            </w:pPr>
            <w:r>
              <w:rPr>
                <w:rFonts w:ascii="宋体" w:hAnsi="宋体" w:eastAsia="宋体" w:cs="宋体"/>
                <w:b w:val="0"/>
                <w:bCs w:val="0"/>
                <w:color w:val="000000"/>
                <w:sz w:val="16"/>
                <w:szCs w:val="16"/>
              </w:rPr>
              <w:t>→08</w:t>
            </w:r>
          </w:p>
        </w:tc>
        <w:tc>
          <w:tcPr>
            <w:tcW w:w="2000" w:type="dxa"/>
            <w:shd w:val="clear" w:color="auto" w:fill="FFFFFF"/>
            <w:vAlign w:val="center"/>
          </w:tcPr>
          <w:p w14:paraId="34DAFAFC">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p>
        </w:tc>
      </w:tr>
      <w:tr w14:paraId="678A7341">
        <w:trPr>
          <w:cantSplit/>
          <w:jc w:val="center"/>
        </w:trPr>
        <w:tc>
          <w:tcPr>
            <w:tcW w:w="650" w:type="dxa"/>
            <w:shd w:val="clear" w:color="auto" w:fill="FFFFFF"/>
            <w:vAlign w:val="center"/>
          </w:tcPr>
          <w:p w14:paraId="44CF2523">
            <w:pPr>
              <w:spacing w:before="0" w:after="0" w:line="240" w:lineRule="auto"/>
              <w:ind w:left="0" w:right="0" w:firstLine="0" w:firstLineChars="0"/>
              <w:jc w:val="center"/>
            </w:pPr>
            <w:r>
              <w:rPr>
                <w:rFonts w:ascii="宋体" w:hAnsi="宋体" w:eastAsia="宋体" w:cs="宋体"/>
                <w:b w:val="0"/>
                <w:bCs w:val="0"/>
                <w:color w:val="000000"/>
                <w:sz w:val="16"/>
                <w:szCs w:val="16"/>
              </w:rPr>
              <w:t>08</w:t>
            </w:r>
          </w:p>
        </w:tc>
        <w:tc>
          <w:tcPr>
            <w:tcW w:w="1050" w:type="dxa"/>
            <w:shd w:val="clear" w:color="auto" w:fill="FFFFFF"/>
            <w:vAlign w:val="center"/>
          </w:tcPr>
          <w:p w14:paraId="505449D5">
            <w:pPr>
              <w:spacing w:before="0" w:after="0" w:line="240" w:lineRule="auto"/>
              <w:ind w:left="0" w:right="0" w:firstLine="0" w:firstLineChars="0"/>
              <w:jc w:val="center"/>
            </w:pPr>
            <w:r>
              <w:rPr>
                <w:rFonts w:ascii="宋体" w:hAnsi="宋体" w:eastAsia="宋体" w:cs="宋体"/>
                <w:b w:val="0"/>
                <w:bCs w:val="0"/>
                <w:color w:val="000000"/>
                <w:sz w:val="16"/>
                <w:szCs w:val="16"/>
              </w:rPr>
              <w:t>识别需分析的异常节点</w:t>
            </w:r>
          </w:p>
        </w:tc>
        <w:tc>
          <w:tcPr>
            <w:tcW w:w="950" w:type="dxa"/>
            <w:shd w:val="clear" w:color="auto" w:fill="FFFFFF"/>
            <w:vAlign w:val="center"/>
          </w:tcPr>
          <w:p w14:paraId="741BA8EE">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026E90F8">
            <w:pPr>
              <w:spacing w:before="0" w:after="0" w:line="240" w:lineRule="auto"/>
              <w:ind w:left="0" w:right="0" w:firstLine="0" w:firstLineChars="0"/>
              <w:jc w:val="left"/>
            </w:pPr>
            <w:r>
              <w:rPr>
                <w:rFonts w:ascii="宋体" w:hAnsi="宋体" w:eastAsia="宋体" w:cs="宋体"/>
                <w:b w:val="0"/>
                <w:bCs w:val="0"/>
                <w:color w:val="000000"/>
                <w:sz w:val="16"/>
                <w:szCs w:val="16"/>
              </w:rPr>
              <w:t>输入：逐节点对照及异常时段</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输出：待解释的异常节点</w:t>
            </w:r>
          </w:p>
        </w:tc>
        <w:tc>
          <w:tcPr>
            <w:tcW w:w="2000" w:type="dxa"/>
            <w:shd w:val="clear" w:color="auto" w:fill="FFFFFF"/>
            <w:vAlign w:val="center"/>
          </w:tcPr>
          <w:p w14:paraId="7BE72687">
            <w:pPr>
              <w:spacing w:before="0" w:after="0" w:line="240" w:lineRule="auto"/>
              <w:ind w:left="0" w:right="0" w:firstLine="0" w:firstLineChars="0"/>
              <w:jc w:val="left"/>
            </w:pPr>
            <w:r>
              <w:rPr>
                <w:rFonts w:ascii="宋体" w:hAnsi="宋体" w:eastAsia="宋体" w:cs="宋体"/>
                <w:b w:val="0"/>
                <w:bCs w:val="0"/>
                <w:color w:val="000000"/>
                <w:sz w:val="16"/>
                <w:szCs w:val="16"/>
              </w:rPr>
              <w:t>按异常节点及其时间范围组织原因证据，正常节点保留检测与规格限对照。</w:t>
            </w:r>
          </w:p>
        </w:tc>
        <w:tc>
          <w:tcPr>
            <w:tcW w:w="1072" w:type="dxa"/>
            <w:shd w:val="clear" w:color="auto" w:fill="FFFFFF"/>
            <w:vAlign w:val="center"/>
          </w:tcPr>
          <w:p w14:paraId="43C32664">
            <w:pPr>
              <w:spacing w:before="0" w:after="0" w:line="240" w:lineRule="auto"/>
              <w:ind w:left="0" w:right="0" w:firstLine="0" w:firstLineChars="0"/>
              <w:jc w:val="left"/>
            </w:pPr>
            <w:r>
              <w:rPr>
                <w:rFonts w:ascii="宋体" w:hAnsi="宋体" w:eastAsia="宋体" w:cs="宋体"/>
                <w:b w:val="0"/>
                <w:bCs w:val="0"/>
                <w:color w:val="000000"/>
                <w:sz w:val="16"/>
                <w:szCs w:val="16"/>
              </w:rPr>
              <w:t>发现异常→09；</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无待析异常→11</w:t>
            </w:r>
          </w:p>
        </w:tc>
        <w:tc>
          <w:tcPr>
            <w:tcW w:w="2000" w:type="dxa"/>
            <w:shd w:val="clear" w:color="auto" w:fill="FFFFFF"/>
            <w:vAlign w:val="center"/>
          </w:tcPr>
          <w:p w14:paraId="27D71D5B">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P-ZLTC-AI-ZNWS-101-08-002</w:t>
            </w:r>
          </w:p>
        </w:tc>
      </w:tr>
      <w:tr w14:paraId="59962A60">
        <w:trPr>
          <w:cantSplit/>
          <w:jc w:val="center"/>
        </w:trPr>
        <w:tc>
          <w:tcPr>
            <w:tcW w:w="650" w:type="dxa"/>
            <w:shd w:val="clear" w:color="auto" w:fill="FFFFFF"/>
            <w:vAlign w:val="center"/>
          </w:tcPr>
          <w:p w14:paraId="403ACAC8">
            <w:pPr>
              <w:spacing w:before="0" w:after="0" w:line="240" w:lineRule="auto"/>
              <w:ind w:left="0" w:right="0" w:firstLine="0" w:firstLineChars="0"/>
              <w:jc w:val="center"/>
            </w:pPr>
            <w:r>
              <w:rPr>
                <w:rFonts w:ascii="宋体" w:hAnsi="宋体" w:eastAsia="宋体" w:cs="宋体"/>
                <w:b w:val="0"/>
                <w:bCs w:val="0"/>
                <w:color w:val="000000"/>
                <w:sz w:val="16"/>
                <w:szCs w:val="16"/>
              </w:rPr>
              <w:t>09</w:t>
            </w:r>
          </w:p>
        </w:tc>
        <w:tc>
          <w:tcPr>
            <w:tcW w:w="1050" w:type="dxa"/>
            <w:shd w:val="clear" w:color="auto" w:fill="FFFFFF"/>
            <w:vAlign w:val="center"/>
          </w:tcPr>
          <w:p w14:paraId="30A1568C">
            <w:pPr>
              <w:spacing w:before="0" w:after="0" w:line="240" w:lineRule="auto"/>
              <w:ind w:left="0" w:right="0" w:firstLine="0" w:firstLineChars="0"/>
              <w:jc w:val="center"/>
            </w:pPr>
            <w:r>
              <w:rPr>
                <w:rFonts w:ascii="宋体" w:hAnsi="宋体" w:eastAsia="宋体" w:cs="宋体"/>
                <w:b w:val="0"/>
                <w:bCs w:val="0"/>
                <w:color w:val="000000"/>
                <w:sz w:val="16"/>
                <w:szCs w:val="16"/>
              </w:rPr>
              <w:t>查询工况与运行证据</w:t>
            </w:r>
          </w:p>
        </w:tc>
        <w:tc>
          <w:tcPr>
            <w:tcW w:w="950" w:type="dxa"/>
            <w:shd w:val="clear" w:color="auto" w:fill="FFFFFF"/>
            <w:vAlign w:val="center"/>
          </w:tcPr>
          <w:p w14:paraId="3074082A">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3DF227F8">
            <w:pPr>
              <w:spacing w:before="0" w:after="0" w:line="240" w:lineRule="auto"/>
              <w:ind w:left="0" w:right="0" w:firstLine="0" w:firstLineChars="0"/>
              <w:jc w:val="left"/>
            </w:pPr>
            <w:r>
              <w:rPr>
                <w:rFonts w:ascii="宋体" w:hAnsi="宋体" w:eastAsia="宋体" w:cs="宋体"/>
                <w:b w:val="0"/>
                <w:bCs w:val="0"/>
                <w:color w:val="000000"/>
                <w:sz w:val="16"/>
                <w:szCs w:val="16"/>
              </w:rPr>
              <w:t>输入：异常节点、对应时段及业务身份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输出：工况与运行证据及查询状态</w:t>
            </w:r>
          </w:p>
        </w:tc>
        <w:tc>
          <w:tcPr>
            <w:tcW w:w="2000" w:type="dxa"/>
            <w:shd w:val="clear" w:color="auto" w:fill="FFFFFF"/>
            <w:vAlign w:val="center"/>
          </w:tcPr>
          <w:p w14:paraId="11097214">
            <w:pPr>
              <w:spacing w:before="0" w:after="0" w:line="240" w:lineRule="auto"/>
              <w:ind w:left="0" w:right="0" w:firstLine="0" w:firstLineChars="0"/>
              <w:jc w:val="left"/>
            </w:pPr>
            <w:r>
              <w:rPr>
                <w:rFonts w:ascii="宋体" w:hAnsi="宋体" w:eastAsia="宋体" w:cs="宋体"/>
                <w:b w:val="0"/>
                <w:bCs w:val="0"/>
                <w:color w:val="000000"/>
                <w:sz w:val="16"/>
                <w:szCs w:val="16"/>
              </w:rPr>
              <w:t>针对第08节点识别的异常节点，按对象、时段及业务身份，经AI数据治理补查DCS工况、工艺参数和设备运行时序，保留测点、时间及来源。证据可用时进入逐项核证；证据不足时保留已取得证据及缺口，区分无数据、无权限和获取失败，后续结论标明待验证。</w:t>
            </w:r>
          </w:p>
        </w:tc>
        <w:tc>
          <w:tcPr>
            <w:tcW w:w="1072" w:type="dxa"/>
            <w:shd w:val="clear" w:color="auto" w:fill="FFFFFF"/>
            <w:vAlign w:val="center"/>
          </w:tcPr>
          <w:p w14:paraId="366D5054">
            <w:pPr>
              <w:spacing w:before="0" w:after="0" w:line="240" w:lineRule="auto"/>
              <w:ind w:left="0" w:right="0" w:firstLine="0" w:firstLineChars="0"/>
              <w:jc w:val="left"/>
            </w:pPr>
            <w:r>
              <w:rPr>
                <w:rFonts w:ascii="宋体" w:hAnsi="宋体" w:eastAsia="宋体" w:cs="宋体"/>
                <w:b w:val="0"/>
                <w:bCs w:val="0"/>
                <w:color w:val="000000"/>
                <w:sz w:val="16"/>
                <w:szCs w:val="16"/>
              </w:rPr>
              <w:t>证据不足→11；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证据可用→10</w:t>
            </w:r>
          </w:p>
        </w:tc>
        <w:tc>
          <w:tcPr>
            <w:tcW w:w="2000" w:type="dxa"/>
            <w:shd w:val="clear" w:color="auto" w:fill="FFFFFF"/>
            <w:vAlign w:val="center"/>
          </w:tcPr>
          <w:p w14:paraId="2F641926">
            <w:pPr>
              <w:spacing w:before="0" w:after="0" w:line="240" w:lineRule="auto"/>
              <w:ind w:left="0" w:right="0" w:firstLine="0" w:firstLineChars="0"/>
              <w:jc w:val="left"/>
            </w:pPr>
            <w:r>
              <w:rPr>
                <w:rFonts w:ascii="宋体" w:hAnsi="宋体" w:eastAsia="宋体" w:cs="宋体"/>
                <w:b w:val="0"/>
                <w:bCs w:val="0"/>
                <w:color w:val="000000"/>
                <w:sz w:val="16"/>
                <w:szCs w:val="16"/>
              </w:rPr>
              <w:t>P-ZLTC-AI-WLPHGY-102-07-001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p>
        </w:tc>
      </w:tr>
      <w:tr w14:paraId="60C12E3E">
        <w:trPr>
          <w:cantSplit/>
          <w:jc w:val="center"/>
        </w:trPr>
        <w:tc>
          <w:tcPr>
            <w:tcW w:w="650" w:type="dxa"/>
            <w:shd w:val="clear" w:color="auto" w:fill="FFFFFF"/>
            <w:vAlign w:val="center"/>
          </w:tcPr>
          <w:p w14:paraId="7B9D4001">
            <w:pPr>
              <w:spacing w:before="0" w:after="0" w:line="240" w:lineRule="auto"/>
              <w:ind w:left="0" w:right="0" w:firstLine="0" w:firstLineChars="0"/>
              <w:jc w:val="center"/>
            </w:pPr>
            <w:r>
              <w:rPr>
                <w:rFonts w:ascii="宋体" w:hAnsi="宋体" w:eastAsia="宋体" w:cs="宋体"/>
                <w:b w:val="0"/>
                <w:bCs w:val="0"/>
                <w:color w:val="000000"/>
                <w:sz w:val="16"/>
                <w:szCs w:val="16"/>
              </w:rPr>
              <w:t>10</w:t>
            </w:r>
          </w:p>
        </w:tc>
        <w:tc>
          <w:tcPr>
            <w:tcW w:w="1050" w:type="dxa"/>
            <w:shd w:val="clear" w:color="auto" w:fill="FFFFFF"/>
            <w:vAlign w:val="center"/>
          </w:tcPr>
          <w:p w14:paraId="1E4811C8">
            <w:pPr>
              <w:spacing w:before="0" w:after="0" w:line="240" w:lineRule="auto"/>
              <w:ind w:left="0" w:right="0" w:firstLine="0" w:firstLineChars="0"/>
              <w:jc w:val="center"/>
            </w:pPr>
            <w:r>
              <w:rPr>
                <w:rFonts w:ascii="宋体" w:hAnsi="宋体" w:eastAsia="宋体" w:cs="宋体"/>
                <w:b w:val="0"/>
                <w:bCs w:val="0"/>
                <w:color w:val="000000"/>
                <w:sz w:val="16"/>
                <w:szCs w:val="16"/>
              </w:rPr>
              <w:t>从质量影响因素逐项分析</w:t>
            </w:r>
          </w:p>
        </w:tc>
        <w:tc>
          <w:tcPr>
            <w:tcW w:w="950" w:type="dxa"/>
            <w:shd w:val="clear" w:color="auto" w:fill="FFFFFF"/>
            <w:vAlign w:val="center"/>
          </w:tcPr>
          <w:p w14:paraId="32860F26">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3455906D">
            <w:pPr>
              <w:spacing w:before="0" w:after="0" w:line="240" w:lineRule="auto"/>
              <w:ind w:left="0" w:right="0" w:firstLine="0" w:firstLineChars="0"/>
              <w:jc w:val="left"/>
            </w:pPr>
            <w:r>
              <w:rPr>
                <w:rFonts w:ascii="宋体" w:hAnsi="宋体" w:eastAsia="宋体" w:cs="宋体"/>
                <w:b w:val="0"/>
                <w:bCs w:val="0"/>
                <w:color w:val="000000"/>
                <w:sz w:val="16"/>
                <w:szCs w:val="16"/>
              </w:rPr>
              <w:t>输入：环境、设备、工艺参数及清单</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输出：核证结果</w:t>
            </w:r>
          </w:p>
        </w:tc>
        <w:tc>
          <w:tcPr>
            <w:tcW w:w="2000" w:type="dxa"/>
            <w:shd w:val="clear" w:color="auto" w:fill="FFFFFF"/>
            <w:vAlign w:val="center"/>
          </w:tcPr>
          <w:p w14:paraId="6487D00D">
            <w:pPr>
              <w:spacing w:before="0" w:after="0" w:line="240" w:lineRule="auto"/>
              <w:ind w:left="0" w:right="0" w:firstLine="0" w:firstLineChars="0"/>
              <w:jc w:val="left"/>
            </w:pPr>
            <w:r>
              <w:rPr>
                <w:rFonts w:ascii="宋体" w:hAnsi="宋体" w:eastAsia="宋体" w:cs="宋体"/>
                <w:b w:val="0"/>
                <w:bCs w:val="0"/>
                <w:color w:val="000000"/>
                <w:sz w:val="16"/>
                <w:szCs w:val="16"/>
              </w:rPr>
              <w:t>对需分析的异常节点，围绕生产环境、设备及工艺参数，依据质量影响因素清单核对证据，分别标注已验证、已排除和待验证因素。</w:t>
            </w:r>
          </w:p>
        </w:tc>
        <w:tc>
          <w:tcPr>
            <w:tcW w:w="1072" w:type="dxa"/>
            <w:shd w:val="clear" w:color="auto" w:fill="FFFFFF"/>
            <w:vAlign w:val="center"/>
          </w:tcPr>
          <w:p w14:paraId="3CD05E32">
            <w:pPr>
              <w:spacing w:before="0" w:after="0" w:line="240" w:lineRule="auto"/>
              <w:ind w:left="0" w:right="0" w:firstLine="0" w:firstLineChars="0"/>
              <w:jc w:val="left"/>
            </w:pPr>
            <w:r>
              <w:rPr>
                <w:rFonts w:ascii="宋体" w:hAnsi="宋体" w:eastAsia="宋体" w:cs="宋体"/>
                <w:b w:val="0"/>
                <w:bCs w:val="0"/>
                <w:color w:val="000000"/>
                <w:sz w:val="16"/>
                <w:szCs w:val="16"/>
              </w:rPr>
              <w:t>→11</w:t>
            </w:r>
          </w:p>
        </w:tc>
        <w:tc>
          <w:tcPr>
            <w:tcW w:w="2000" w:type="dxa"/>
            <w:shd w:val="clear" w:color="auto" w:fill="FFFFFF"/>
            <w:vAlign w:val="center"/>
          </w:tcPr>
          <w:p w14:paraId="4238B94F">
            <w:pPr>
              <w:spacing w:before="0" w:after="0" w:line="240" w:lineRule="auto"/>
              <w:ind w:left="0" w:right="0" w:firstLine="0" w:firstLineChars="0"/>
              <w:jc w:val="left"/>
            </w:pPr>
            <w:r>
              <w:rPr>
                <w:rFonts w:ascii="宋体" w:hAnsi="宋体" w:eastAsia="宋体" w:cs="宋体"/>
                <w:b w:val="0"/>
                <w:bCs w:val="0"/>
                <w:color w:val="000000"/>
                <w:sz w:val="16"/>
                <w:szCs w:val="16"/>
              </w:rPr>
              <w:t>P-ZLTC-AI-WLPHGY-102-07-001</w:t>
            </w:r>
          </w:p>
        </w:tc>
      </w:tr>
      <w:tr w14:paraId="25C22ACE">
        <w:trPr>
          <w:cantSplit/>
          <w:jc w:val="center"/>
        </w:trPr>
        <w:tc>
          <w:tcPr>
            <w:tcW w:w="650" w:type="dxa"/>
            <w:shd w:val="clear" w:color="auto" w:fill="FFFFFF"/>
            <w:vAlign w:val="center"/>
          </w:tcPr>
          <w:p w14:paraId="38A8697B">
            <w:pPr>
              <w:spacing w:before="0" w:after="0" w:line="240" w:lineRule="auto"/>
              <w:ind w:left="0" w:right="0" w:firstLine="0" w:firstLineChars="0"/>
              <w:jc w:val="center"/>
            </w:pPr>
            <w:r>
              <w:rPr>
                <w:rFonts w:ascii="宋体" w:hAnsi="宋体" w:eastAsia="宋体" w:cs="宋体"/>
                <w:b w:val="0"/>
                <w:bCs w:val="0"/>
                <w:color w:val="000000"/>
                <w:sz w:val="16"/>
                <w:szCs w:val="16"/>
              </w:rPr>
              <w:t>11</w:t>
            </w:r>
          </w:p>
        </w:tc>
        <w:tc>
          <w:tcPr>
            <w:tcW w:w="1050" w:type="dxa"/>
            <w:shd w:val="clear" w:color="auto" w:fill="FFFFFF"/>
            <w:vAlign w:val="center"/>
          </w:tcPr>
          <w:p w14:paraId="44FEDDF4">
            <w:pPr>
              <w:spacing w:before="0" w:after="0" w:line="240" w:lineRule="auto"/>
              <w:ind w:left="0" w:right="0" w:firstLine="0" w:firstLineChars="0"/>
              <w:jc w:val="center"/>
            </w:pPr>
            <w:r>
              <w:rPr>
                <w:rFonts w:ascii="宋体" w:hAnsi="宋体" w:eastAsia="宋体" w:cs="宋体"/>
                <w:b w:val="0"/>
                <w:bCs w:val="0"/>
                <w:color w:val="000000"/>
                <w:sz w:val="16"/>
                <w:szCs w:val="16"/>
              </w:rPr>
              <w:t>形成证据链与分级结论</w:t>
            </w:r>
          </w:p>
        </w:tc>
        <w:tc>
          <w:tcPr>
            <w:tcW w:w="950" w:type="dxa"/>
            <w:shd w:val="clear" w:color="auto" w:fill="FFFFFF"/>
            <w:vAlign w:val="center"/>
          </w:tcPr>
          <w:p w14:paraId="65BADAA3">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2FF283E7">
            <w:pPr>
              <w:spacing w:before="0" w:after="0" w:line="240" w:lineRule="auto"/>
              <w:ind w:left="0" w:right="0" w:firstLine="0" w:firstLineChars="0"/>
              <w:jc w:val="left"/>
            </w:pPr>
            <w:r>
              <w:rPr>
                <w:rFonts w:ascii="宋体" w:hAnsi="宋体" w:eastAsia="宋体" w:cs="宋体"/>
                <w:b w:val="0"/>
                <w:bCs w:val="0"/>
                <w:color w:val="000000"/>
                <w:sz w:val="16"/>
                <w:szCs w:val="16"/>
              </w:rPr>
              <w:t>输入：检测对照、可用工况运行证据、核证结果或证据缺口</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输出：追溯结论</w:t>
            </w:r>
          </w:p>
        </w:tc>
        <w:tc>
          <w:tcPr>
            <w:tcW w:w="2000" w:type="dxa"/>
            <w:shd w:val="clear" w:color="auto" w:fill="FFFFFF"/>
            <w:vAlign w:val="center"/>
          </w:tcPr>
          <w:p w14:paraId="05E86F77">
            <w:pPr>
              <w:spacing w:before="0" w:after="0" w:line="240" w:lineRule="auto"/>
              <w:ind w:left="0" w:right="0" w:firstLine="0" w:firstLineChars="0"/>
              <w:jc w:val="left"/>
            </w:pPr>
            <w:r>
              <w:rPr>
                <w:rFonts w:ascii="宋体" w:hAnsi="宋体" w:eastAsia="宋体" w:cs="宋体"/>
                <w:b w:val="0"/>
                <w:bCs w:val="0"/>
                <w:color w:val="000000"/>
                <w:sz w:val="16"/>
                <w:szCs w:val="16"/>
              </w:rPr>
              <w:t>汇总批次链、检测值与规格限对照、超限与临界标识、分级原因和处置建议，关联原始证据及核证过程，保留来源与版本；证据不足的节点列明查询状态、缺口及待验证因素。</w:t>
            </w:r>
          </w:p>
        </w:tc>
        <w:tc>
          <w:tcPr>
            <w:tcW w:w="1072" w:type="dxa"/>
            <w:shd w:val="clear" w:color="auto" w:fill="FFFFFF"/>
            <w:vAlign w:val="center"/>
          </w:tcPr>
          <w:p w14:paraId="3A032701">
            <w:pPr>
              <w:spacing w:before="0" w:after="0" w:line="240" w:lineRule="auto"/>
              <w:ind w:left="0" w:right="0" w:firstLine="0" w:firstLineChars="0"/>
              <w:jc w:val="left"/>
            </w:pPr>
            <w:r>
              <w:rPr>
                <w:rFonts w:ascii="宋体" w:hAnsi="宋体" w:eastAsia="宋体" w:cs="宋体"/>
                <w:b w:val="0"/>
                <w:bCs w:val="0"/>
                <w:color w:val="000000"/>
                <w:sz w:val="16"/>
                <w:szCs w:val="16"/>
              </w:rPr>
              <w:t>→12</w:t>
            </w:r>
          </w:p>
        </w:tc>
        <w:tc>
          <w:tcPr>
            <w:tcW w:w="2000" w:type="dxa"/>
            <w:shd w:val="clear" w:color="auto" w:fill="FFFFFF"/>
            <w:vAlign w:val="center"/>
          </w:tcPr>
          <w:p w14:paraId="1DD8127F">
            <w:pPr>
              <w:spacing w:before="0" w:after="0" w:line="240" w:lineRule="auto"/>
              <w:ind w:left="0" w:right="0" w:firstLine="0" w:firstLineChars="0"/>
              <w:jc w:val="left"/>
            </w:pPr>
            <w:r>
              <w:rPr>
                <w:rFonts w:ascii="宋体" w:hAnsi="宋体" w:eastAsia="宋体" w:cs="宋体"/>
                <w:b w:val="0"/>
                <w:bCs w:val="0"/>
                <w:color w:val="000000"/>
                <w:sz w:val="16"/>
                <w:szCs w:val="16"/>
              </w:rPr>
              <w:t>P-ZLTC-AI-ZNWS-101-08-002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P-ZLTC-AI-WLPHGY-102-07-001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p>
        </w:tc>
      </w:tr>
      <w:tr w14:paraId="691F6BDA">
        <w:trPr>
          <w:cantSplit/>
          <w:jc w:val="center"/>
        </w:trPr>
        <w:tc>
          <w:tcPr>
            <w:tcW w:w="650" w:type="dxa"/>
            <w:shd w:val="clear" w:color="auto" w:fill="FFFFFF"/>
            <w:vAlign w:val="center"/>
          </w:tcPr>
          <w:p w14:paraId="1A023C59">
            <w:pPr>
              <w:spacing w:before="0" w:after="0" w:line="240" w:lineRule="auto"/>
              <w:ind w:left="0" w:right="0" w:firstLine="0" w:firstLineChars="0"/>
              <w:jc w:val="center"/>
            </w:pPr>
            <w:r>
              <w:rPr>
                <w:rFonts w:ascii="宋体" w:hAnsi="宋体" w:eastAsia="宋体" w:cs="宋体"/>
                <w:b w:val="0"/>
                <w:bCs w:val="0"/>
                <w:color w:val="000000"/>
                <w:sz w:val="16"/>
                <w:szCs w:val="16"/>
              </w:rPr>
              <w:t>12</w:t>
            </w:r>
          </w:p>
        </w:tc>
        <w:tc>
          <w:tcPr>
            <w:tcW w:w="1050" w:type="dxa"/>
            <w:shd w:val="clear" w:color="auto" w:fill="FFFFFF"/>
            <w:vAlign w:val="center"/>
          </w:tcPr>
          <w:p w14:paraId="0F83F31C">
            <w:pPr>
              <w:spacing w:before="0" w:after="0" w:line="240" w:lineRule="auto"/>
              <w:ind w:left="0" w:right="0" w:firstLine="0" w:firstLineChars="0"/>
              <w:jc w:val="center"/>
            </w:pPr>
            <w:r>
              <w:rPr>
                <w:rFonts w:ascii="宋体" w:hAnsi="宋体" w:eastAsia="宋体" w:cs="宋体"/>
                <w:b w:val="0"/>
                <w:bCs w:val="0"/>
                <w:color w:val="000000"/>
                <w:sz w:val="16"/>
                <w:szCs w:val="16"/>
              </w:rPr>
              <w:t>呈现并归档追溯报告</w:t>
            </w:r>
          </w:p>
        </w:tc>
        <w:tc>
          <w:tcPr>
            <w:tcW w:w="950" w:type="dxa"/>
            <w:shd w:val="clear" w:color="auto" w:fill="FFFFFF"/>
            <w:vAlign w:val="center"/>
          </w:tcPr>
          <w:p w14:paraId="42FA6762">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47F22C20">
            <w:pPr>
              <w:spacing w:before="0" w:after="0" w:line="240" w:lineRule="auto"/>
              <w:ind w:left="0" w:right="0" w:firstLine="0" w:firstLineChars="0"/>
              <w:jc w:val="left"/>
            </w:pPr>
            <w:r>
              <w:rPr>
                <w:rFonts w:ascii="宋体" w:hAnsi="宋体" w:eastAsia="宋体" w:cs="宋体"/>
                <w:b w:val="0"/>
                <w:bCs w:val="0"/>
                <w:color w:val="000000"/>
                <w:sz w:val="16"/>
                <w:szCs w:val="16"/>
              </w:rPr>
              <w:t>输入：新报告或既有报告</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输出：证据链报告及适用的事故清单</w:t>
            </w:r>
          </w:p>
        </w:tc>
        <w:tc>
          <w:tcPr>
            <w:tcW w:w="2000" w:type="dxa"/>
            <w:shd w:val="clear" w:color="auto" w:fill="FFFFFF"/>
            <w:vAlign w:val="center"/>
          </w:tcPr>
          <w:p w14:paraId="26DD486B">
            <w:pPr>
              <w:spacing w:before="0" w:after="0" w:line="240" w:lineRule="auto"/>
              <w:ind w:left="0" w:right="0" w:firstLine="0" w:firstLineChars="0"/>
              <w:jc w:val="left"/>
            </w:pPr>
            <w:r>
              <w:rPr>
                <w:rFonts w:ascii="宋体" w:hAnsi="宋体" w:eastAsia="宋体" w:cs="宋体"/>
                <w:b w:val="0"/>
                <w:bCs w:val="0"/>
                <w:color w:val="000000"/>
                <w:sz w:val="16"/>
                <w:szCs w:val="16"/>
              </w:rPr>
              <w:t>按业务授权展示、归档并保留确认状态；源数据缺口及断链位置在报告中明确标注。</w:t>
            </w:r>
          </w:p>
        </w:tc>
        <w:tc>
          <w:tcPr>
            <w:tcW w:w="1072" w:type="dxa"/>
            <w:shd w:val="clear" w:color="auto" w:fill="FFFFFF"/>
            <w:vAlign w:val="center"/>
          </w:tcPr>
          <w:p w14:paraId="481D09AB">
            <w:pPr>
              <w:spacing w:before="0" w:after="0" w:line="240" w:lineRule="auto"/>
              <w:ind w:left="0" w:right="0" w:firstLine="0" w:firstLineChars="0"/>
              <w:jc w:val="left"/>
            </w:pPr>
            <w:r>
              <w:rPr>
                <w:rFonts w:ascii="宋体" w:hAnsi="宋体" w:eastAsia="宋体" w:cs="宋体"/>
                <w:b w:val="0"/>
                <w:bCs w:val="0"/>
                <w:color w:val="000000"/>
                <w:sz w:val="16"/>
                <w:szCs w:val="16"/>
              </w:rPr>
              <w:t>确认反馈→13；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追问明细→14；</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导出快照→15；</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查看完成→结束</w:t>
            </w:r>
          </w:p>
        </w:tc>
        <w:tc>
          <w:tcPr>
            <w:tcW w:w="2000" w:type="dxa"/>
            <w:shd w:val="clear" w:color="auto" w:fill="FFFFFF"/>
            <w:vAlign w:val="center"/>
          </w:tcPr>
          <w:p w14:paraId="7E5C83E9">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p>
        </w:tc>
      </w:tr>
      <w:tr w14:paraId="75BC4D54">
        <w:trPr>
          <w:cantSplit/>
          <w:jc w:val="center"/>
        </w:trPr>
        <w:tc>
          <w:tcPr>
            <w:tcW w:w="650" w:type="dxa"/>
            <w:shd w:val="clear" w:color="auto" w:fill="FFFFFF"/>
            <w:vAlign w:val="center"/>
          </w:tcPr>
          <w:p w14:paraId="2953B47D">
            <w:pPr>
              <w:spacing w:before="0" w:after="0" w:line="240" w:lineRule="auto"/>
              <w:ind w:left="0" w:right="0" w:firstLine="0" w:firstLineChars="0"/>
              <w:jc w:val="center"/>
            </w:pPr>
            <w:r>
              <w:rPr>
                <w:rFonts w:ascii="宋体" w:hAnsi="宋体" w:eastAsia="宋体" w:cs="宋体"/>
                <w:b w:val="0"/>
                <w:bCs w:val="0"/>
                <w:color w:val="000000"/>
                <w:sz w:val="16"/>
                <w:szCs w:val="16"/>
              </w:rPr>
              <w:t>13</w:t>
            </w:r>
          </w:p>
        </w:tc>
        <w:tc>
          <w:tcPr>
            <w:tcW w:w="1050" w:type="dxa"/>
            <w:shd w:val="clear" w:color="auto" w:fill="FFFFFF"/>
            <w:vAlign w:val="center"/>
          </w:tcPr>
          <w:p w14:paraId="4445B8FF">
            <w:pPr>
              <w:spacing w:before="0" w:after="0" w:line="240" w:lineRule="auto"/>
              <w:ind w:left="0" w:right="0" w:firstLine="0" w:firstLineChars="0"/>
              <w:jc w:val="center"/>
            </w:pPr>
            <w:r>
              <w:rPr>
                <w:rFonts w:ascii="宋体" w:hAnsi="宋体" w:eastAsia="宋体" w:cs="宋体"/>
                <w:b w:val="0"/>
                <w:bCs w:val="0"/>
                <w:color w:val="000000"/>
                <w:sz w:val="16"/>
                <w:szCs w:val="16"/>
              </w:rPr>
              <w:t>接收确认及原因反馈</w:t>
            </w:r>
          </w:p>
        </w:tc>
        <w:tc>
          <w:tcPr>
            <w:tcW w:w="950" w:type="dxa"/>
            <w:shd w:val="clear" w:color="auto" w:fill="FFFFFF"/>
            <w:vAlign w:val="center"/>
          </w:tcPr>
          <w:p w14:paraId="36E2C224">
            <w:pPr>
              <w:spacing w:before="0" w:after="0" w:line="240" w:lineRule="auto"/>
              <w:ind w:left="0" w:right="0" w:firstLine="0" w:firstLineChars="0"/>
              <w:jc w:val="center"/>
            </w:pPr>
            <w:r>
              <w:rPr>
                <w:rFonts w:ascii="宋体" w:hAnsi="宋体" w:eastAsia="宋体" w:cs="宋体"/>
                <w:b w:val="0"/>
                <w:bCs w:val="0"/>
                <w:color w:val="000000"/>
                <w:sz w:val="16"/>
                <w:szCs w:val="16"/>
              </w:rPr>
              <w:t>责任人</w:t>
            </w:r>
          </w:p>
        </w:tc>
        <w:tc>
          <w:tcPr>
            <w:tcW w:w="1350" w:type="dxa"/>
            <w:shd w:val="clear" w:color="auto" w:fill="FFFFFF"/>
            <w:vAlign w:val="center"/>
          </w:tcPr>
          <w:p w14:paraId="7B5273CD">
            <w:pPr>
              <w:spacing w:before="0" w:after="0" w:line="240" w:lineRule="auto"/>
              <w:ind w:left="0" w:right="0" w:firstLine="0" w:firstLineChars="0"/>
              <w:jc w:val="left"/>
            </w:pPr>
            <w:r>
              <w:rPr>
                <w:rFonts w:ascii="宋体" w:hAnsi="宋体" w:eastAsia="宋体" w:cs="宋体"/>
                <w:b w:val="0"/>
                <w:bCs w:val="0"/>
                <w:color w:val="000000"/>
                <w:sz w:val="16"/>
                <w:szCs w:val="16"/>
              </w:rPr>
              <w:t>输入：平台归因结论</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输出：确认反馈或纠正线索</w:t>
            </w:r>
          </w:p>
        </w:tc>
        <w:tc>
          <w:tcPr>
            <w:tcW w:w="2000" w:type="dxa"/>
            <w:shd w:val="clear" w:color="auto" w:fill="FFFFFF"/>
            <w:vAlign w:val="center"/>
          </w:tcPr>
          <w:p w14:paraId="4E259FB3">
            <w:pPr>
              <w:spacing w:before="0" w:after="0" w:line="240" w:lineRule="auto"/>
              <w:ind w:left="0" w:right="0" w:firstLine="0" w:firstLineChars="0"/>
              <w:jc w:val="left"/>
            </w:pPr>
            <w:r>
              <w:rPr>
                <w:rFonts w:ascii="宋体" w:hAnsi="宋体" w:eastAsia="宋体" w:cs="宋体"/>
                <w:b w:val="0"/>
                <w:bCs w:val="0"/>
                <w:color w:val="000000"/>
                <w:sz w:val="16"/>
                <w:szCs w:val="16"/>
              </w:rPr>
              <w:t>事件指定责任人可确认追溯结论或反馈与实际不符，并补充实际原因；追溯结论保留确认状态，确认案例及纠正线索按5.5.4及6.7审核，待核问题按5.4.2及6.7跟进。</w:t>
            </w:r>
          </w:p>
        </w:tc>
        <w:tc>
          <w:tcPr>
            <w:tcW w:w="1072" w:type="dxa"/>
            <w:shd w:val="clear" w:color="auto" w:fill="FFFFFF"/>
            <w:vAlign w:val="center"/>
          </w:tcPr>
          <w:p w14:paraId="2319EF41">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69CDBEC7">
            <w:pPr>
              <w:spacing w:before="0" w:after="0" w:line="240" w:lineRule="auto"/>
              <w:ind w:left="0" w:right="0" w:firstLine="0" w:firstLineChars="0"/>
              <w:jc w:val="left"/>
            </w:pPr>
            <w:r>
              <w:rPr>
                <w:rFonts w:ascii="宋体" w:hAnsi="宋体" w:eastAsia="宋体" w:cs="宋体"/>
                <w:b w:val="0"/>
                <w:bCs w:val="0"/>
                <w:color w:val="000000"/>
                <w:sz w:val="16"/>
                <w:szCs w:val="16"/>
              </w:rPr>
              <w:t>P-ZLTC-AI-WLPHGY-102-13-001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P-ZLTC-AI-WLPHGY-102-14-001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P-ZLTC-AI-ZNWS-101-06-001</w:t>
            </w:r>
          </w:p>
        </w:tc>
      </w:tr>
      <w:tr w14:paraId="17866FED">
        <w:trPr>
          <w:cantSplit/>
          <w:jc w:val="center"/>
        </w:trPr>
        <w:tc>
          <w:tcPr>
            <w:tcW w:w="650" w:type="dxa"/>
            <w:shd w:val="clear" w:color="auto" w:fill="FFFFFF"/>
            <w:vAlign w:val="center"/>
          </w:tcPr>
          <w:p w14:paraId="62E31220">
            <w:pPr>
              <w:spacing w:before="0" w:after="0" w:line="240" w:lineRule="auto"/>
              <w:ind w:left="0" w:right="0" w:firstLine="0" w:firstLineChars="0"/>
              <w:jc w:val="center"/>
            </w:pPr>
            <w:r>
              <w:rPr>
                <w:rFonts w:ascii="宋体" w:hAnsi="宋体" w:eastAsia="宋体" w:cs="宋体"/>
                <w:b w:val="0"/>
                <w:bCs w:val="0"/>
                <w:color w:val="000000"/>
                <w:sz w:val="16"/>
                <w:szCs w:val="16"/>
              </w:rPr>
              <w:t>14</w:t>
            </w:r>
          </w:p>
        </w:tc>
        <w:tc>
          <w:tcPr>
            <w:tcW w:w="1050" w:type="dxa"/>
            <w:shd w:val="clear" w:color="auto" w:fill="FFFFFF"/>
            <w:vAlign w:val="center"/>
          </w:tcPr>
          <w:p w14:paraId="46CB37AB">
            <w:pPr>
              <w:spacing w:before="0" w:after="0" w:line="240" w:lineRule="auto"/>
              <w:ind w:left="0" w:right="0" w:firstLine="0" w:firstLineChars="0"/>
              <w:jc w:val="center"/>
            </w:pPr>
            <w:r>
              <w:rPr>
                <w:rFonts w:ascii="宋体" w:hAnsi="宋体" w:eastAsia="宋体" w:cs="宋体"/>
                <w:b w:val="0"/>
                <w:bCs w:val="0"/>
                <w:color w:val="000000"/>
                <w:sz w:val="16"/>
                <w:szCs w:val="16"/>
              </w:rPr>
              <w:t>按事件编号追问下钻</w:t>
            </w:r>
          </w:p>
        </w:tc>
        <w:tc>
          <w:tcPr>
            <w:tcW w:w="950" w:type="dxa"/>
            <w:shd w:val="clear" w:color="auto" w:fill="FFFFFF"/>
            <w:vAlign w:val="center"/>
          </w:tcPr>
          <w:p w14:paraId="4EFDCDA2">
            <w:pPr>
              <w:spacing w:before="0" w:after="0" w:line="240" w:lineRule="auto"/>
              <w:ind w:left="0" w:right="0" w:firstLine="0" w:firstLineChars="0"/>
              <w:jc w:val="center"/>
            </w:pPr>
            <w:r>
              <w:rPr>
                <w:rFonts w:ascii="宋体" w:hAnsi="宋体" w:eastAsia="宋体" w:cs="宋体"/>
                <w:b w:val="0"/>
                <w:bCs w:val="0"/>
                <w:color w:val="000000"/>
                <w:sz w:val="16"/>
                <w:szCs w:val="16"/>
              </w:rPr>
              <w:t>业务用户</w:t>
            </w:r>
          </w:p>
        </w:tc>
        <w:tc>
          <w:tcPr>
            <w:tcW w:w="1350" w:type="dxa"/>
            <w:shd w:val="clear" w:color="auto" w:fill="FFFFFF"/>
            <w:vAlign w:val="center"/>
          </w:tcPr>
          <w:p w14:paraId="2135B476">
            <w:pPr>
              <w:spacing w:before="0" w:after="0" w:line="240" w:lineRule="auto"/>
              <w:ind w:left="0" w:right="0" w:firstLine="0" w:firstLineChars="0"/>
              <w:jc w:val="left"/>
            </w:pPr>
            <w:r>
              <w:rPr>
                <w:rFonts w:ascii="宋体" w:hAnsi="宋体" w:eastAsia="宋体" w:cs="宋体"/>
                <w:b w:val="0"/>
                <w:bCs w:val="0"/>
                <w:color w:val="000000"/>
                <w:sz w:val="16"/>
                <w:szCs w:val="16"/>
              </w:rPr>
              <w:t>输入：报告、事件编号与问题</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输出：报告解释或明细请求</w:t>
            </w:r>
          </w:p>
        </w:tc>
        <w:tc>
          <w:tcPr>
            <w:tcW w:w="2000" w:type="dxa"/>
            <w:shd w:val="clear" w:color="auto" w:fill="FFFFFF"/>
            <w:vAlign w:val="center"/>
          </w:tcPr>
          <w:p w14:paraId="247DD1B0">
            <w:pPr>
              <w:spacing w:before="0" w:after="0" w:line="240" w:lineRule="auto"/>
              <w:ind w:left="0" w:right="0" w:firstLine="0" w:firstLineChars="0"/>
              <w:jc w:val="left"/>
            </w:pPr>
            <w:r>
              <w:rPr>
                <w:rFonts w:ascii="宋体" w:hAnsi="宋体" w:eastAsia="宋体" w:cs="宋体"/>
                <w:b w:val="0"/>
                <w:bCs w:val="0"/>
                <w:color w:val="000000"/>
                <w:sz w:val="16"/>
                <w:szCs w:val="16"/>
              </w:rPr>
              <w:t>按提问人业务权限查询报告证据及明细；需要新取证时返回对应查询步骤。</w:t>
            </w:r>
          </w:p>
        </w:tc>
        <w:tc>
          <w:tcPr>
            <w:tcW w:w="1072" w:type="dxa"/>
            <w:shd w:val="clear" w:color="auto" w:fill="FFFFFF"/>
            <w:vAlign w:val="center"/>
          </w:tcPr>
          <w:p w14:paraId="76D34779">
            <w:pPr>
              <w:spacing w:before="0" w:after="0" w:line="240" w:lineRule="auto"/>
              <w:ind w:left="0" w:right="0" w:firstLine="0" w:firstLineChars="0"/>
              <w:jc w:val="left"/>
            </w:pPr>
            <w:r>
              <w:rPr>
                <w:rFonts w:ascii="宋体" w:hAnsi="宋体" w:eastAsia="宋体" w:cs="宋体"/>
                <w:b w:val="0"/>
                <w:bCs w:val="0"/>
                <w:color w:val="000000"/>
                <w:sz w:val="16"/>
                <w:szCs w:val="16"/>
              </w:rPr>
              <w:t>需要新取证→04；</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引用结果结束→结束</w:t>
            </w:r>
          </w:p>
        </w:tc>
        <w:tc>
          <w:tcPr>
            <w:tcW w:w="2000" w:type="dxa"/>
            <w:shd w:val="clear" w:color="auto" w:fill="FFFFFF"/>
            <w:vAlign w:val="center"/>
          </w:tcPr>
          <w:p w14:paraId="1D32583D">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P-ZLTC-AI-WLPHGY-102-03-001</w:t>
            </w:r>
          </w:p>
        </w:tc>
      </w:tr>
      <w:tr w14:paraId="7083F75C">
        <w:trPr>
          <w:cantSplit/>
          <w:jc w:val="center"/>
        </w:trPr>
        <w:tc>
          <w:tcPr>
            <w:tcW w:w="650" w:type="dxa"/>
            <w:shd w:val="clear" w:color="auto" w:fill="FFFFFF"/>
            <w:vAlign w:val="center"/>
          </w:tcPr>
          <w:p w14:paraId="6D2A2952">
            <w:pPr>
              <w:spacing w:before="0" w:after="0" w:line="240" w:lineRule="auto"/>
              <w:ind w:left="0" w:right="0" w:firstLine="0" w:firstLineChars="0"/>
              <w:jc w:val="center"/>
            </w:pPr>
            <w:r>
              <w:rPr>
                <w:rFonts w:ascii="宋体" w:hAnsi="宋体" w:eastAsia="宋体" w:cs="宋体"/>
                <w:b w:val="0"/>
                <w:bCs w:val="0"/>
                <w:color w:val="000000"/>
                <w:sz w:val="16"/>
                <w:szCs w:val="16"/>
              </w:rPr>
              <w:t>15</w:t>
            </w:r>
          </w:p>
        </w:tc>
        <w:tc>
          <w:tcPr>
            <w:tcW w:w="1050" w:type="dxa"/>
            <w:shd w:val="clear" w:color="auto" w:fill="FFFFFF"/>
            <w:vAlign w:val="center"/>
          </w:tcPr>
          <w:p w14:paraId="665161C8">
            <w:pPr>
              <w:spacing w:before="0" w:after="0" w:line="240" w:lineRule="auto"/>
              <w:ind w:left="0" w:right="0" w:firstLine="0" w:firstLineChars="0"/>
              <w:jc w:val="center"/>
            </w:pPr>
            <w:r>
              <w:rPr>
                <w:rFonts w:ascii="宋体" w:hAnsi="宋体" w:eastAsia="宋体" w:cs="宋体"/>
                <w:b w:val="0"/>
                <w:bCs w:val="0"/>
                <w:color w:val="000000"/>
                <w:sz w:val="16"/>
                <w:szCs w:val="16"/>
              </w:rPr>
              <w:t>按快照导出追溯明细</w:t>
            </w:r>
          </w:p>
        </w:tc>
        <w:tc>
          <w:tcPr>
            <w:tcW w:w="950" w:type="dxa"/>
            <w:shd w:val="clear" w:color="auto" w:fill="FFFFFF"/>
            <w:vAlign w:val="center"/>
          </w:tcPr>
          <w:p w14:paraId="08505949">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1EEE3FF9">
            <w:pPr>
              <w:spacing w:before="0" w:after="0" w:line="240" w:lineRule="auto"/>
              <w:ind w:left="0" w:right="0" w:firstLine="0" w:firstLineChars="0"/>
              <w:jc w:val="left"/>
            </w:pPr>
            <w:r>
              <w:rPr>
                <w:rFonts w:ascii="宋体" w:hAnsi="宋体" w:eastAsia="宋体" w:cs="宋体"/>
                <w:b w:val="0"/>
                <w:bCs w:val="0"/>
                <w:color w:val="000000"/>
                <w:sz w:val="16"/>
                <w:szCs w:val="16"/>
              </w:rPr>
              <w:t>输入：查询时点快照及导出权限</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输出：全流程明细</w:t>
            </w:r>
          </w:p>
        </w:tc>
        <w:tc>
          <w:tcPr>
            <w:tcW w:w="2000" w:type="dxa"/>
            <w:shd w:val="clear" w:color="auto" w:fill="FFFFFF"/>
            <w:vAlign w:val="center"/>
          </w:tcPr>
          <w:p w14:paraId="0B9C3154">
            <w:pPr>
              <w:spacing w:before="0" w:after="0" w:line="240" w:lineRule="auto"/>
              <w:ind w:left="0" w:right="0" w:firstLine="0" w:firstLineChars="0"/>
              <w:jc w:val="left"/>
            </w:pPr>
            <w:r>
              <w:rPr>
                <w:rFonts w:ascii="宋体" w:hAnsi="宋体" w:eastAsia="宋体" w:cs="宋体"/>
                <w:b w:val="0"/>
                <w:bCs w:val="0"/>
                <w:color w:val="000000"/>
                <w:sz w:val="16"/>
                <w:szCs w:val="16"/>
              </w:rPr>
              <w:t>依据查询时点快照导出批次谱系、逐节点检测值与规格限、证据参数和记录；校验导出权限并记录审计，无权限时说明授权状态。</w:t>
            </w:r>
          </w:p>
        </w:tc>
        <w:tc>
          <w:tcPr>
            <w:tcW w:w="1072" w:type="dxa"/>
            <w:shd w:val="clear" w:color="auto" w:fill="FFFFFF"/>
            <w:vAlign w:val="center"/>
          </w:tcPr>
          <w:p w14:paraId="0DFB68B4">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3AC08FE1">
            <w:pPr>
              <w:spacing w:before="0" w:after="0" w:line="240" w:lineRule="auto"/>
              <w:ind w:left="0" w:right="0" w:firstLine="0" w:firstLineChars="0"/>
              <w:jc w:val="left"/>
            </w:pPr>
            <w:r>
              <w:rPr>
                <w:rFonts w:ascii="宋体" w:hAnsi="宋体" w:eastAsia="宋体" w:cs="宋体"/>
                <w:b w:val="0"/>
                <w:bCs w:val="0"/>
                <w:color w:val="000000"/>
                <w:sz w:val="16"/>
                <w:szCs w:val="16"/>
              </w:rPr>
              <w:t>P-ZLTC-AI-ZNWS-101-08-002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0108B3C6">
        <w:trPr>
          <w:cantSplit/>
          <w:jc w:val="center"/>
        </w:trPr>
        <w:tc>
          <w:tcPr>
            <w:tcW w:w="650" w:type="dxa"/>
            <w:shd w:val="clear" w:color="auto" w:fill="FFFFFF"/>
            <w:vAlign w:val="center"/>
          </w:tcPr>
          <w:p w14:paraId="3CEE5DE4">
            <w:pPr>
              <w:spacing w:before="0" w:after="0" w:line="240" w:lineRule="auto"/>
              <w:ind w:left="0" w:right="0" w:firstLine="0" w:firstLineChars="0"/>
              <w:jc w:val="center"/>
            </w:pPr>
            <w:r>
              <w:rPr>
                <w:rFonts w:ascii="宋体" w:hAnsi="宋体" w:eastAsia="宋体" w:cs="宋体"/>
                <w:b w:val="0"/>
                <w:bCs w:val="0"/>
                <w:color w:val="000000"/>
                <w:sz w:val="16"/>
                <w:szCs w:val="16"/>
              </w:rPr>
              <w:t>16</w:t>
            </w:r>
          </w:p>
        </w:tc>
        <w:tc>
          <w:tcPr>
            <w:tcW w:w="1050" w:type="dxa"/>
            <w:shd w:val="clear" w:color="auto" w:fill="FFFFFF"/>
            <w:vAlign w:val="center"/>
          </w:tcPr>
          <w:p w14:paraId="73237B6A">
            <w:pPr>
              <w:spacing w:before="0" w:after="0" w:line="240" w:lineRule="auto"/>
              <w:ind w:left="0" w:right="0" w:firstLine="0" w:firstLineChars="0"/>
              <w:jc w:val="center"/>
            </w:pPr>
            <w:r>
              <w:rPr>
                <w:rFonts w:ascii="宋体" w:hAnsi="宋体" w:eastAsia="宋体" w:cs="宋体"/>
                <w:b w:val="0"/>
                <w:bCs w:val="0"/>
                <w:color w:val="000000"/>
                <w:sz w:val="16"/>
                <w:szCs w:val="16"/>
              </w:rPr>
              <w:t>说明必需证据失败</w:t>
            </w:r>
          </w:p>
        </w:tc>
        <w:tc>
          <w:tcPr>
            <w:tcW w:w="950" w:type="dxa"/>
            <w:shd w:val="clear" w:color="auto" w:fill="FFFFFF"/>
            <w:vAlign w:val="center"/>
          </w:tcPr>
          <w:p w14:paraId="51C03CFF">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60C04C4B">
            <w:pPr>
              <w:spacing w:before="0" w:after="0" w:line="240" w:lineRule="auto"/>
              <w:ind w:left="0" w:right="0" w:firstLine="0" w:firstLineChars="0"/>
              <w:jc w:val="left"/>
            </w:pPr>
            <w:r>
              <w:rPr>
                <w:rFonts w:ascii="宋体" w:hAnsi="宋体" w:eastAsia="宋体" w:cs="宋体"/>
                <w:b w:val="0"/>
                <w:bCs w:val="0"/>
                <w:color w:val="000000"/>
                <w:sz w:val="16"/>
                <w:szCs w:val="16"/>
              </w:rPr>
              <w:t>输入：必需证据失败状态</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输出：分析受限说明</w:t>
            </w:r>
          </w:p>
        </w:tc>
        <w:tc>
          <w:tcPr>
            <w:tcW w:w="2000" w:type="dxa"/>
            <w:shd w:val="clear" w:color="auto" w:fill="FFFFFF"/>
            <w:vAlign w:val="center"/>
          </w:tcPr>
          <w:p w14:paraId="285070D7">
            <w:pPr>
              <w:spacing w:before="0" w:after="0" w:line="240" w:lineRule="auto"/>
              <w:ind w:left="0" w:right="0" w:firstLine="0" w:firstLineChars="0"/>
              <w:jc w:val="left"/>
            </w:pPr>
            <w:r>
              <w:rPr>
                <w:rFonts w:ascii="宋体" w:hAnsi="宋体" w:eastAsia="宋体" w:cs="宋体"/>
                <w:b w:val="0"/>
                <w:bCs w:val="0"/>
                <w:color w:val="000000"/>
                <w:sz w:val="16"/>
                <w:szCs w:val="16"/>
              </w:rPr>
              <w:t>说明必需证据缺失、授权或执行失败的原因，保留已取得证据及分析状态，本次分析以原因说明结束。</w:t>
            </w:r>
          </w:p>
        </w:tc>
        <w:tc>
          <w:tcPr>
            <w:tcW w:w="1072" w:type="dxa"/>
            <w:shd w:val="clear" w:color="auto" w:fill="FFFFFF"/>
            <w:vAlign w:val="center"/>
          </w:tcPr>
          <w:p w14:paraId="78F823E6">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17D4B259">
            <w:pPr>
              <w:spacing w:before="0" w:after="0" w:line="240" w:lineRule="auto"/>
              <w:ind w:left="0" w:right="0" w:firstLine="0" w:firstLineChars="0"/>
              <w:jc w:val="left"/>
            </w:pPr>
            <w:r>
              <w:rPr>
                <w:rFonts w:ascii="宋体" w:hAnsi="宋体" w:eastAsia="宋体" w:cs="宋体"/>
                <w:b w:val="0"/>
                <w:bCs w:val="0"/>
                <w:color w:val="000000"/>
                <w:sz w:val="16"/>
                <w:szCs w:val="16"/>
              </w:rPr>
              <w:t>P-ZLTC-AI-ZNWS-101-08-003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bl>
    <w:p w14:paraId="72000014">
      <w:pPr>
        <w:pStyle w:val="4"/>
        <w:snapToGrid w:val="0"/>
      </w:pPr>
      <w:bookmarkStart w:id="20" w:name="s3_2_8"/>
      <w:r>
        <w:rPr>
          <w:rFonts w:ascii="黑体" w:hAnsi="黑体" w:eastAsia="黑体" w:cs="黑体"/>
          <w:b/>
          <w:color w:val="000000"/>
        </w:rPr>
        <w:t>3.2.8　动设备故障预警与动设备管理</w:t>
      </w:r>
      <w:bookmarkEnd w:id="20"/>
    </w:p>
    <w:p w14:paraId="2D0DA631">
      <w:pPr>
        <w:pStyle w:val="12"/>
        <w:keepNext/>
        <w:snapToGrid w:val="0"/>
        <w:spacing w:before="0" w:after="40" w:line="240" w:lineRule="auto"/>
        <w:ind w:left="0" w:right="0" w:firstLine="0" w:firstLineChars="0"/>
        <w:jc w:val="center"/>
      </w:pPr>
      <w:r>
        <w:drawing>
          <wp:inline distT="0" distB="0" distL="0" distR="0">
            <wp:extent cx="5759450" cy="6486525"/>
            <wp:effectExtent l="0" t="0" r="0" b="0"/>
            <wp:docPr id="11" name="P-ZLTC-AI-DSBGZYJ-109 动设备故障预警与动设备管理业务流程" descr="P-ZLTC-AI-DSBGZYJ-109 动设备故障预警与动设备管理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ZLTC-AI-DSBGZYJ-109 动设备故障预警与动设备管理业务流程" descr="P-ZLTC-AI-DSBGZYJ-109 动设备故障预警与动设备管理业务流程"/>
                    <pic:cNvPicPr>
                      <a:picLocks noChangeAspect="1"/>
                    </pic:cNvPicPr>
                  </pic:nvPicPr>
                  <pic:blipFill>
                    <a:blip r:embed="rId19"/>
                    <a:stretch>
                      <a:fillRect/>
                    </a:stretch>
                  </pic:blipFill>
                  <pic:spPr>
                    <a:xfrm>
                      <a:off x="0" y="0"/>
                      <a:ext cx="5759450" cy="6486581"/>
                    </a:xfrm>
                    <a:prstGeom prst="rect">
                      <a:avLst/>
                    </a:prstGeom>
                  </pic:spPr>
                </pic:pic>
              </a:graphicData>
            </a:graphic>
          </wp:inline>
        </w:drawing>
      </w:r>
    </w:p>
    <w:p w14:paraId="7266475E">
      <w:pPr>
        <w:pStyle w:val="15"/>
        <w:keepNext w:val="0"/>
        <w:snapToGrid w:val="0"/>
        <w:jc w:val="center"/>
      </w:pPr>
      <w:r>
        <w:t>图3-9　动设备故障预警与动设备管理业务流程图</w:t>
      </w:r>
    </w:p>
    <w:p w14:paraId="6086BB78">
      <w:pPr>
        <w:pStyle w:val="15"/>
        <w:keepNext/>
        <w:snapToGrid w:val="0"/>
        <w:jc w:val="center"/>
      </w:pPr>
      <w:r>
        <w:t>表3-9　动设备故障预警与动设备管理业务流程说明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51EEDA69">
        <w:trPr>
          <w:cantSplit/>
          <w:tblHeader/>
          <w:jc w:val="center"/>
        </w:trPr>
        <w:tc>
          <w:tcPr>
            <w:tcW w:w="650" w:type="dxa"/>
            <w:shd w:val="clear" w:color="auto" w:fill="FFFFFF"/>
            <w:vAlign w:val="center"/>
          </w:tcPr>
          <w:p w14:paraId="1A3C6CFF">
            <w:pPr>
              <w:keepNext/>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780F7FBA">
            <w:pPr>
              <w:keepNext/>
              <w:spacing w:before="0" w:after="0" w:line="240" w:lineRule="auto"/>
              <w:ind w:left="0" w:right="0" w:firstLine="0" w:firstLineChars="0"/>
              <w:jc w:val="center"/>
            </w:pPr>
            <w:r>
              <w:rPr>
                <w:rFonts w:ascii="宋体" w:hAnsi="宋体" w:eastAsia="宋体" w:cs="宋体"/>
                <w:b/>
                <w:bCs/>
                <w:color w:val="000000"/>
                <w:sz w:val="16"/>
                <w:szCs w:val="16"/>
              </w:rPr>
              <w:t>节点名称</w:t>
            </w:r>
          </w:p>
        </w:tc>
        <w:tc>
          <w:tcPr>
            <w:tcW w:w="950" w:type="dxa"/>
            <w:shd w:val="clear" w:color="auto" w:fill="FFFFFF"/>
            <w:vAlign w:val="center"/>
          </w:tcPr>
          <w:p w14:paraId="4C25A2D0">
            <w:pPr>
              <w:keepNext/>
              <w:spacing w:before="0" w:after="0" w:line="240" w:lineRule="auto"/>
              <w:ind w:left="0" w:right="0" w:firstLine="0" w:firstLineChars="0"/>
              <w:jc w:val="center"/>
            </w:pPr>
            <w:r>
              <w:rPr>
                <w:rFonts w:ascii="宋体" w:hAnsi="宋体" w:eastAsia="宋体" w:cs="宋体"/>
                <w:b/>
                <w:bCs/>
                <w:color w:val="000000"/>
                <w:sz w:val="16"/>
                <w:szCs w:val="16"/>
              </w:rPr>
              <w:t>责任节点</w:t>
            </w:r>
          </w:p>
        </w:tc>
        <w:tc>
          <w:tcPr>
            <w:tcW w:w="1350" w:type="dxa"/>
            <w:shd w:val="clear" w:color="auto" w:fill="FFFFFF"/>
            <w:vAlign w:val="center"/>
          </w:tcPr>
          <w:p w14:paraId="6E92DA18">
            <w:pPr>
              <w:keepNext/>
              <w:spacing w:before="0" w:after="0" w:line="240" w:lineRule="auto"/>
              <w:ind w:left="0" w:right="0" w:firstLine="0" w:firstLineChars="0"/>
              <w:jc w:val="center"/>
            </w:pPr>
            <w:r>
              <w:rPr>
                <w:rFonts w:ascii="宋体" w:hAnsi="宋体" w:eastAsia="宋体" w:cs="宋体"/>
                <w:b/>
                <w:bCs/>
                <w:color w:val="000000"/>
                <w:sz w:val="16"/>
                <w:szCs w:val="16"/>
              </w:rPr>
              <w:t>输入/输出</w:t>
            </w:r>
          </w:p>
        </w:tc>
        <w:tc>
          <w:tcPr>
            <w:tcW w:w="2000" w:type="dxa"/>
            <w:shd w:val="clear" w:color="auto" w:fill="FFFFFF"/>
            <w:vAlign w:val="center"/>
          </w:tcPr>
          <w:p w14:paraId="5A4CB2B1">
            <w:pPr>
              <w:keepNext/>
              <w:spacing w:before="0" w:after="0" w:line="240" w:lineRule="auto"/>
              <w:ind w:left="0" w:right="0" w:firstLine="0" w:firstLineChars="0"/>
              <w:jc w:val="center"/>
            </w:pPr>
            <w:r>
              <w:rPr>
                <w:rFonts w:ascii="宋体" w:hAnsi="宋体" w:eastAsia="宋体" w:cs="宋体"/>
                <w:b/>
                <w:bCs/>
                <w:color w:val="000000"/>
                <w:sz w:val="16"/>
                <w:szCs w:val="16"/>
              </w:rPr>
              <w:t>处理说明</w:t>
            </w:r>
          </w:p>
        </w:tc>
        <w:tc>
          <w:tcPr>
            <w:tcW w:w="1072" w:type="dxa"/>
            <w:shd w:val="clear" w:color="auto" w:fill="FFFFFF"/>
            <w:vAlign w:val="center"/>
          </w:tcPr>
          <w:p w14:paraId="2A6E0509">
            <w:pPr>
              <w:keepNext/>
              <w:spacing w:before="0" w:after="0" w:line="240" w:lineRule="auto"/>
              <w:ind w:left="0" w:right="0" w:firstLine="0" w:firstLineChars="0"/>
              <w:jc w:val="center"/>
            </w:pPr>
            <w:r>
              <w:rPr>
                <w:rFonts w:ascii="宋体" w:hAnsi="宋体" w:eastAsia="宋体" w:cs="宋体"/>
                <w:b/>
                <w:bCs/>
                <w:color w:val="000000"/>
                <w:sz w:val="16"/>
                <w:szCs w:val="16"/>
              </w:rPr>
              <w:t>异常/分支</w:t>
            </w:r>
          </w:p>
        </w:tc>
        <w:tc>
          <w:tcPr>
            <w:tcW w:w="2000" w:type="dxa"/>
            <w:shd w:val="clear" w:color="auto" w:fill="FFFFFF"/>
            <w:vAlign w:val="center"/>
          </w:tcPr>
          <w:p w14:paraId="0AF2AD8E">
            <w:pPr>
              <w:keepNext/>
              <w:spacing w:before="0" w:after="0" w:line="240" w:lineRule="auto"/>
              <w:ind w:left="0" w:right="0" w:firstLine="0" w:firstLineChars="0"/>
              <w:jc w:val="center"/>
            </w:pPr>
            <w:r>
              <w:rPr>
                <w:rFonts w:ascii="宋体" w:hAnsi="宋体" w:eastAsia="宋体" w:cs="宋体"/>
                <w:b/>
                <w:bCs/>
                <w:color w:val="000000"/>
                <w:sz w:val="16"/>
                <w:szCs w:val="16"/>
              </w:rPr>
              <w:t>关联规则</w:t>
            </w:r>
          </w:p>
        </w:tc>
      </w:tr>
      <w:tr w14:paraId="043E4D93">
        <w:trPr>
          <w:cantSplit/>
          <w:jc w:val="center"/>
        </w:trPr>
        <w:tc>
          <w:tcPr>
            <w:tcW w:w="650" w:type="dxa"/>
            <w:shd w:val="clear" w:color="auto" w:fill="FFFFFF"/>
            <w:vAlign w:val="center"/>
          </w:tcPr>
          <w:p w14:paraId="1BCE7568">
            <w:pPr>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13455644">
            <w:pPr>
              <w:spacing w:before="0" w:after="0" w:line="240" w:lineRule="auto"/>
              <w:ind w:left="0" w:right="0" w:firstLine="0" w:firstLineChars="0"/>
              <w:jc w:val="center"/>
            </w:pPr>
            <w:r>
              <w:rPr>
                <w:rFonts w:ascii="宋体" w:hAnsi="宋体" w:eastAsia="宋体" w:cs="宋体"/>
                <w:b w:val="0"/>
                <w:bCs w:val="0"/>
                <w:color w:val="000000"/>
                <w:sz w:val="16"/>
                <w:szCs w:val="16"/>
              </w:rPr>
              <w:t>接收设备预警或提问</w:t>
            </w:r>
          </w:p>
        </w:tc>
        <w:tc>
          <w:tcPr>
            <w:tcW w:w="950" w:type="dxa"/>
            <w:shd w:val="clear" w:color="auto" w:fill="FFFFFF"/>
            <w:vAlign w:val="center"/>
          </w:tcPr>
          <w:p w14:paraId="68C76E7A">
            <w:pPr>
              <w:spacing w:before="0" w:after="0" w:line="240" w:lineRule="auto"/>
              <w:ind w:left="0" w:right="0" w:firstLine="0" w:firstLineChars="0"/>
              <w:jc w:val="center"/>
            </w:pPr>
            <w:r>
              <w:rPr>
                <w:rFonts w:ascii="宋体" w:hAnsi="宋体" w:eastAsia="宋体" w:cs="宋体"/>
                <w:b w:val="0"/>
                <w:bCs w:val="0"/>
                <w:color w:val="000000"/>
                <w:sz w:val="16"/>
                <w:szCs w:val="16"/>
              </w:rPr>
              <w:t>事件源与用户</w:t>
            </w:r>
          </w:p>
        </w:tc>
        <w:tc>
          <w:tcPr>
            <w:tcW w:w="1350" w:type="dxa"/>
            <w:shd w:val="clear" w:color="auto" w:fill="FFFFFF"/>
            <w:vAlign w:val="center"/>
          </w:tcPr>
          <w:p w14:paraId="0F7F2AFB">
            <w:pPr>
              <w:spacing w:before="0" w:after="0" w:line="240" w:lineRule="auto"/>
              <w:ind w:left="0" w:right="0" w:firstLine="0" w:firstLineChars="0"/>
              <w:jc w:val="left"/>
            </w:pPr>
            <w:r>
              <w:rPr>
                <w:rFonts w:ascii="宋体" w:hAnsi="宋体" w:eastAsia="宋体" w:cs="宋体"/>
                <w:b w:val="0"/>
                <w:bCs w:val="0"/>
                <w:color w:val="000000"/>
                <w:sz w:val="16"/>
                <w:szCs w:val="16"/>
              </w:rPr>
              <w:t>输入：PHM预警或设备问题</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输出：处理请求</w:t>
            </w:r>
          </w:p>
        </w:tc>
        <w:tc>
          <w:tcPr>
            <w:tcW w:w="2000" w:type="dxa"/>
            <w:shd w:val="clear" w:color="auto" w:fill="FFFFFF"/>
            <w:vAlign w:val="center"/>
          </w:tcPr>
          <w:p w14:paraId="5A43D2C3">
            <w:pPr>
              <w:spacing w:before="0" w:after="0" w:line="240" w:lineRule="auto"/>
              <w:ind w:left="0" w:right="0" w:firstLine="0" w:firstLineChars="0"/>
              <w:jc w:val="left"/>
            </w:pPr>
            <w:r>
              <w:rPr>
                <w:rFonts w:ascii="宋体" w:hAnsi="宋体" w:eastAsia="宋体" w:cs="宋体"/>
                <w:b w:val="0"/>
                <w:bCs w:val="0"/>
                <w:color w:val="000000"/>
                <w:sz w:val="16"/>
                <w:szCs w:val="16"/>
              </w:rPr>
              <w:t>接收PHM预警及其诊断信息，或由用户查询设备现状、保养到期和维修事项，保留来源、设备对象与时段。</w:t>
            </w:r>
          </w:p>
        </w:tc>
        <w:tc>
          <w:tcPr>
            <w:tcW w:w="1072" w:type="dxa"/>
            <w:shd w:val="clear" w:color="auto" w:fill="FFFFFF"/>
            <w:vAlign w:val="center"/>
          </w:tcPr>
          <w:p w14:paraId="2743C43D">
            <w:pPr>
              <w:spacing w:before="0" w:after="0" w:line="240" w:lineRule="auto"/>
              <w:ind w:left="0" w:right="0" w:firstLine="0" w:firstLineChars="0"/>
              <w:jc w:val="left"/>
            </w:pPr>
            <w:r>
              <w:rPr>
                <w:rFonts w:ascii="宋体" w:hAnsi="宋体" w:eastAsia="宋体" w:cs="宋体"/>
                <w:b w:val="0"/>
                <w:bCs w:val="0"/>
                <w:color w:val="000000"/>
                <w:sz w:val="16"/>
                <w:szCs w:val="16"/>
              </w:rPr>
              <w:t>→02</w:t>
            </w:r>
          </w:p>
        </w:tc>
        <w:tc>
          <w:tcPr>
            <w:tcW w:w="2000" w:type="dxa"/>
            <w:shd w:val="clear" w:color="auto" w:fill="FFFFFF"/>
            <w:vAlign w:val="center"/>
          </w:tcPr>
          <w:p w14:paraId="10181EF2">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p>
        </w:tc>
      </w:tr>
      <w:tr w14:paraId="047A0198">
        <w:trPr>
          <w:cantSplit/>
          <w:jc w:val="center"/>
        </w:trPr>
        <w:tc>
          <w:tcPr>
            <w:tcW w:w="650" w:type="dxa"/>
            <w:shd w:val="clear" w:color="auto" w:fill="FFFFFF"/>
            <w:vAlign w:val="center"/>
          </w:tcPr>
          <w:p w14:paraId="2F3C05B7">
            <w:pPr>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1378448E">
            <w:pPr>
              <w:spacing w:before="0" w:after="0" w:line="240" w:lineRule="auto"/>
              <w:ind w:left="0" w:right="0" w:firstLine="0" w:firstLineChars="0"/>
              <w:jc w:val="center"/>
            </w:pPr>
            <w:r>
              <w:rPr>
                <w:rFonts w:ascii="宋体" w:hAnsi="宋体" w:eastAsia="宋体" w:cs="宋体"/>
                <w:b w:val="0"/>
                <w:bCs w:val="0"/>
                <w:color w:val="000000"/>
                <w:sz w:val="16"/>
                <w:szCs w:val="16"/>
              </w:rPr>
              <w:t>识别请求并聚合预警</w:t>
            </w:r>
          </w:p>
        </w:tc>
        <w:tc>
          <w:tcPr>
            <w:tcW w:w="950" w:type="dxa"/>
            <w:shd w:val="clear" w:color="auto" w:fill="FFFFFF"/>
            <w:vAlign w:val="center"/>
          </w:tcPr>
          <w:p w14:paraId="4C02423B">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47B800A5">
            <w:pPr>
              <w:spacing w:before="0" w:after="0" w:line="240" w:lineRule="auto"/>
              <w:ind w:left="0" w:right="0" w:firstLine="0" w:firstLineChars="0"/>
              <w:jc w:val="left"/>
            </w:pPr>
            <w:r>
              <w:rPr>
                <w:rFonts w:ascii="宋体" w:hAnsi="宋体" w:eastAsia="宋体" w:cs="宋体"/>
                <w:b w:val="0"/>
                <w:bCs w:val="0"/>
                <w:color w:val="000000"/>
                <w:sz w:val="16"/>
                <w:szCs w:val="16"/>
              </w:rPr>
              <w:t>输入：设备、时段与问题类型</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输出：聚合事件或查询任务</w:t>
            </w:r>
          </w:p>
        </w:tc>
        <w:tc>
          <w:tcPr>
            <w:tcW w:w="2000" w:type="dxa"/>
            <w:shd w:val="clear" w:color="auto" w:fill="FFFFFF"/>
            <w:vAlign w:val="center"/>
          </w:tcPr>
          <w:p w14:paraId="5B7F25FF">
            <w:pPr>
              <w:spacing w:before="0" w:after="0" w:line="240" w:lineRule="auto"/>
              <w:ind w:left="0" w:right="0" w:firstLine="0" w:firstLineChars="0"/>
              <w:jc w:val="left"/>
            </w:pPr>
            <w:r>
              <w:rPr>
                <w:rFonts w:ascii="宋体" w:hAnsi="宋体" w:eastAsia="宋体" w:cs="宋体"/>
                <w:b w:val="0"/>
                <w:bCs w:val="0"/>
                <w:color w:val="000000"/>
                <w:sz w:val="16"/>
                <w:szCs w:val="16"/>
              </w:rPr>
              <w:t>同一设备短时多条预警只形成一张聚合卡；纯事实问题交综合数据问答，带判定解读的问题在本场景处理。</w:t>
            </w:r>
          </w:p>
        </w:tc>
        <w:tc>
          <w:tcPr>
            <w:tcW w:w="1072" w:type="dxa"/>
            <w:shd w:val="clear" w:color="auto" w:fill="FFFFFF"/>
            <w:vAlign w:val="center"/>
          </w:tcPr>
          <w:p w14:paraId="27AE9C8E">
            <w:pPr>
              <w:spacing w:before="0" w:after="0" w:line="240" w:lineRule="auto"/>
              <w:ind w:left="0" w:right="0" w:firstLine="0" w:firstLineChars="0"/>
              <w:jc w:val="left"/>
            </w:pPr>
            <w:r>
              <w:rPr>
                <w:rFonts w:ascii="宋体" w:hAnsi="宋体" w:eastAsia="宋体" w:cs="宋体"/>
                <w:b w:val="0"/>
                <w:bCs w:val="0"/>
                <w:color w:val="000000"/>
                <w:sz w:val="16"/>
                <w:szCs w:val="16"/>
              </w:rPr>
              <w:t>事实查询→03；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预警或解读→04</w:t>
            </w:r>
          </w:p>
        </w:tc>
        <w:tc>
          <w:tcPr>
            <w:tcW w:w="2000" w:type="dxa"/>
            <w:shd w:val="clear" w:color="auto" w:fill="FFFFFF"/>
            <w:vAlign w:val="center"/>
          </w:tcPr>
          <w:p w14:paraId="2AA8961E">
            <w:pPr>
              <w:spacing w:before="0" w:after="0" w:line="240" w:lineRule="auto"/>
              <w:ind w:left="0" w:right="0" w:firstLine="0" w:firstLineChars="0"/>
              <w:jc w:val="left"/>
            </w:pPr>
            <w:r>
              <w:rPr>
                <w:rFonts w:ascii="宋体" w:hAnsi="宋体" w:eastAsia="宋体" w:cs="宋体"/>
                <w:b w:val="0"/>
                <w:bCs w:val="0"/>
                <w:color w:val="000000"/>
                <w:sz w:val="16"/>
                <w:szCs w:val="16"/>
              </w:rPr>
              <w:t>P-ZLTC-AI-WLPHGY-102-01-001</w:t>
            </w:r>
          </w:p>
        </w:tc>
      </w:tr>
      <w:tr w14:paraId="02287338">
        <w:trPr>
          <w:cantSplit/>
          <w:jc w:val="center"/>
        </w:trPr>
        <w:tc>
          <w:tcPr>
            <w:tcW w:w="650" w:type="dxa"/>
            <w:shd w:val="clear" w:color="auto" w:fill="FFFFFF"/>
            <w:vAlign w:val="center"/>
          </w:tcPr>
          <w:p w14:paraId="14B369DF">
            <w:pPr>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3D94D134">
            <w:pPr>
              <w:spacing w:before="0" w:after="0" w:line="240" w:lineRule="auto"/>
              <w:ind w:left="0" w:right="0" w:firstLine="0" w:firstLineChars="0"/>
              <w:jc w:val="center"/>
            </w:pPr>
            <w:r>
              <w:rPr>
                <w:rFonts w:ascii="宋体" w:hAnsi="宋体" w:eastAsia="宋体" w:cs="宋体"/>
                <w:b w:val="0"/>
                <w:bCs w:val="0"/>
                <w:color w:val="000000"/>
                <w:sz w:val="16"/>
                <w:szCs w:val="16"/>
              </w:rPr>
              <w:t>复用综合数据查询</w:t>
            </w:r>
          </w:p>
        </w:tc>
        <w:tc>
          <w:tcPr>
            <w:tcW w:w="950" w:type="dxa"/>
            <w:shd w:val="clear" w:color="auto" w:fill="FFFFFF"/>
            <w:vAlign w:val="center"/>
          </w:tcPr>
          <w:p w14:paraId="46E87A12">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725AA89E">
            <w:pPr>
              <w:spacing w:before="0" w:after="0" w:line="240" w:lineRule="auto"/>
              <w:ind w:left="0" w:right="0" w:firstLine="0" w:firstLineChars="0"/>
              <w:jc w:val="left"/>
            </w:pPr>
            <w:r>
              <w:rPr>
                <w:rFonts w:ascii="宋体" w:hAnsi="宋体" w:eastAsia="宋体" w:cs="宋体"/>
                <w:b w:val="0"/>
                <w:bCs w:val="0"/>
                <w:color w:val="000000"/>
                <w:sz w:val="16"/>
                <w:szCs w:val="16"/>
              </w:rPr>
              <w:t>输入：设备事实问题及身份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输出：可追溯事实</w:t>
            </w:r>
          </w:p>
        </w:tc>
        <w:tc>
          <w:tcPr>
            <w:tcW w:w="2000" w:type="dxa"/>
            <w:shd w:val="clear" w:color="auto" w:fill="FFFFFF"/>
            <w:vAlign w:val="center"/>
          </w:tcPr>
          <w:p w14:paraId="15CE76D8">
            <w:pPr>
              <w:spacing w:before="0" w:after="0" w:line="240" w:lineRule="auto"/>
              <w:ind w:left="0" w:right="0" w:firstLine="0" w:firstLineChars="0"/>
              <w:jc w:val="left"/>
            </w:pPr>
            <w:r>
              <w:rPr>
                <w:rFonts w:ascii="宋体" w:hAnsi="宋体" w:eastAsia="宋体" w:cs="宋体"/>
                <w:b w:val="0"/>
                <w:bCs w:val="0"/>
                <w:color w:val="000000"/>
                <w:sz w:val="16"/>
                <w:szCs w:val="16"/>
              </w:rPr>
              <w:t>与综合数据问答共用查询能力和权限过滤；按需提供设备状态与事实清单。经AI数据治理按设备对象关联PHM预警状态、EAM档案及保养维修事项、DCS与实时数据库运行数据，保留各项查询截止时间。</w:t>
            </w:r>
          </w:p>
        </w:tc>
        <w:tc>
          <w:tcPr>
            <w:tcW w:w="1072" w:type="dxa"/>
            <w:shd w:val="clear" w:color="auto" w:fill="FFFFFF"/>
            <w:vAlign w:val="center"/>
          </w:tcPr>
          <w:p w14:paraId="45BF4261">
            <w:pPr>
              <w:spacing w:before="0" w:after="0" w:line="240" w:lineRule="auto"/>
              <w:ind w:left="0" w:right="0" w:firstLine="0" w:firstLineChars="0"/>
              <w:jc w:val="left"/>
            </w:pPr>
            <w:r>
              <w:rPr>
                <w:rFonts w:ascii="宋体" w:hAnsi="宋体" w:eastAsia="宋体" w:cs="宋体"/>
                <w:b w:val="0"/>
                <w:bCs w:val="0"/>
                <w:color w:val="000000"/>
                <w:sz w:val="16"/>
                <w:szCs w:val="16"/>
              </w:rPr>
              <w:t>→10</w:t>
            </w:r>
          </w:p>
        </w:tc>
        <w:tc>
          <w:tcPr>
            <w:tcW w:w="2000" w:type="dxa"/>
            <w:shd w:val="clear" w:color="auto" w:fill="FFFFFF"/>
            <w:vAlign w:val="center"/>
          </w:tcPr>
          <w:p w14:paraId="1156FB12">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p>
        </w:tc>
      </w:tr>
      <w:tr w14:paraId="1D8DC44B">
        <w:trPr>
          <w:cantSplit/>
          <w:jc w:val="center"/>
        </w:trPr>
        <w:tc>
          <w:tcPr>
            <w:tcW w:w="650" w:type="dxa"/>
            <w:shd w:val="clear" w:color="auto" w:fill="FFFFFF"/>
            <w:vAlign w:val="center"/>
          </w:tcPr>
          <w:p w14:paraId="1AC6A5F7">
            <w:pPr>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69F2C6B9">
            <w:pPr>
              <w:spacing w:before="0" w:after="0" w:line="240" w:lineRule="auto"/>
              <w:ind w:left="0" w:right="0" w:firstLine="0" w:firstLineChars="0"/>
              <w:jc w:val="center"/>
            </w:pPr>
            <w:r>
              <w:rPr>
                <w:rFonts w:ascii="宋体" w:hAnsi="宋体" w:eastAsia="宋体" w:cs="宋体"/>
                <w:b w:val="0"/>
                <w:bCs w:val="0"/>
                <w:color w:val="000000"/>
                <w:sz w:val="16"/>
                <w:szCs w:val="16"/>
              </w:rPr>
              <w:t>检索既有报告与确认状态</w:t>
            </w:r>
          </w:p>
        </w:tc>
        <w:tc>
          <w:tcPr>
            <w:tcW w:w="950" w:type="dxa"/>
            <w:shd w:val="clear" w:color="auto" w:fill="FFFFFF"/>
            <w:vAlign w:val="center"/>
          </w:tcPr>
          <w:p w14:paraId="2E5C5DA0">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0E1EB313">
            <w:pPr>
              <w:spacing w:before="0" w:after="0" w:line="240" w:lineRule="auto"/>
              <w:ind w:left="0" w:right="0" w:firstLine="0" w:firstLineChars="0"/>
              <w:jc w:val="left"/>
            </w:pPr>
            <w:r>
              <w:rPr>
                <w:rFonts w:ascii="宋体" w:hAnsi="宋体" w:eastAsia="宋体" w:cs="宋体"/>
                <w:b w:val="0"/>
                <w:bCs w:val="0"/>
                <w:color w:val="000000"/>
                <w:sz w:val="16"/>
                <w:szCs w:val="16"/>
              </w:rPr>
              <w:t>输入：设备、时段与授权</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输出：原报告或新解读任务</w:t>
            </w:r>
          </w:p>
        </w:tc>
        <w:tc>
          <w:tcPr>
            <w:tcW w:w="2000" w:type="dxa"/>
            <w:shd w:val="clear" w:color="auto" w:fill="FFFFFF"/>
            <w:vAlign w:val="center"/>
          </w:tcPr>
          <w:p w14:paraId="42FF1A39">
            <w:pPr>
              <w:spacing w:before="0" w:after="0" w:line="240" w:lineRule="auto"/>
              <w:ind w:left="0" w:right="0" w:firstLine="0" w:firstLineChars="0"/>
              <w:jc w:val="left"/>
            </w:pPr>
            <w:r>
              <w:rPr>
                <w:rFonts w:ascii="宋体" w:hAnsi="宋体" w:eastAsia="宋体" w:cs="宋体"/>
                <w:b w:val="0"/>
                <w:bCs w:val="0"/>
                <w:color w:val="000000"/>
                <w:sz w:val="16"/>
                <w:szCs w:val="16"/>
              </w:rPr>
              <w:t>按对象、时间窗与业务授权查台账，引用原报告及确认状态。</w:t>
            </w:r>
          </w:p>
        </w:tc>
        <w:tc>
          <w:tcPr>
            <w:tcW w:w="1072" w:type="dxa"/>
            <w:shd w:val="clear" w:color="auto" w:fill="FFFFFF"/>
            <w:vAlign w:val="center"/>
          </w:tcPr>
          <w:p w14:paraId="1F59B2B3">
            <w:pPr>
              <w:spacing w:before="0" w:after="0" w:line="240" w:lineRule="auto"/>
              <w:ind w:left="0" w:right="0" w:firstLine="0" w:firstLineChars="0"/>
              <w:jc w:val="left"/>
            </w:pPr>
            <w:r>
              <w:rPr>
                <w:rFonts w:ascii="宋体" w:hAnsi="宋体" w:eastAsia="宋体" w:cs="宋体"/>
                <w:b w:val="0"/>
                <w:bCs w:val="0"/>
                <w:color w:val="000000"/>
                <w:sz w:val="16"/>
                <w:szCs w:val="16"/>
              </w:rPr>
              <w:t>报告命中→10；</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新解读→05</w:t>
            </w:r>
          </w:p>
        </w:tc>
        <w:tc>
          <w:tcPr>
            <w:tcW w:w="2000" w:type="dxa"/>
            <w:shd w:val="clear" w:color="auto" w:fill="FFFFFF"/>
            <w:vAlign w:val="center"/>
          </w:tcPr>
          <w:p w14:paraId="24C45E46">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0561BE16">
        <w:trPr>
          <w:cantSplit/>
          <w:jc w:val="center"/>
        </w:trPr>
        <w:tc>
          <w:tcPr>
            <w:tcW w:w="650" w:type="dxa"/>
            <w:shd w:val="clear" w:color="auto" w:fill="FFFFFF"/>
            <w:vAlign w:val="center"/>
          </w:tcPr>
          <w:p w14:paraId="0085452F">
            <w:pPr>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54A26BB6">
            <w:pPr>
              <w:spacing w:before="0" w:after="0" w:line="240" w:lineRule="auto"/>
              <w:ind w:left="0" w:right="0" w:firstLine="0" w:firstLineChars="0"/>
              <w:jc w:val="center"/>
            </w:pPr>
            <w:r>
              <w:rPr>
                <w:rFonts w:ascii="宋体" w:hAnsi="宋体" w:eastAsia="宋体" w:cs="宋体"/>
                <w:b w:val="0"/>
                <w:bCs w:val="0"/>
                <w:color w:val="000000"/>
                <w:sz w:val="16"/>
                <w:szCs w:val="16"/>
              </w:rPr>
              <w:t>整合设备四要素</w:t>
            </w:r>
          </w:p>
        </w:tc>
        <w:tc>
          <w:tcPr>
            <w:tcW w:w="950" w:type="dxa"/>
            <w:shd w:val="clear" w:color="auto" w:fill="FFFFFF"/>
            <w:vAlign w:val="center"/>
          </w:tcPr>
          <w:p w14:paraId="293C8A60">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13A773B3">
            <w:pPr>
              <w:spacing w:before="0" w:after="0" w:line="240" w:lineRule="auto"/>
              <w:ind w:left="0" w:right="0" w:firstLine="0" w:firstLineChars="0"/>
              <w:jc w:val="left"/>
            </w:pPr>
            <w:r>
              <w:rPr>
                <w:rFonts w:ascii="宋体" w:hAnsi="宋体" w:eastAsia="宋体" w:cs="宋体"/>
                <w:b w:val="0"/>
                <w:bCs w:val="0"/>
                <w:color w:val="000000"/>
                <w:sz w:val="16"/>
                <w:szCs w:val="16"/>
              </w:rPr>
              <w:t>输入：设备与取证请求</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输出：档案、维修、备件、责任人</w:t>
            </w:r>
          </w:p>
        </w:tc>
        <w:tc>
          <w:tcPr>
            <w:tcW w:w="2000" w:type="dxa"/>
            <w:shd w:val="clear" w:color="auto" w:fill="FFFFFF"/>
            <w:vAlign w:val="center"/>
          </w:tcPr>
          <w:p w14:paraId="237D1EC0">
            <w:pPr>
              <w:spacing w:before="0" w:after="0" w:line="240" w:lineRule="auto"/>
              <w:ind w:left="0" w:right="0" w:firstLine="0" w:firstLineChars="0"/>
              <w:jc w:val="left"/>
            </w:pPr>
            <w:r>
              <w:rPr>
                <w:rFonts w:ascii="宋体" w:hAnsi="宋体" w:eastAsia="宋体" w:cs="宋体"/>
                <w:b w:val="0"/>
                <w:bCs w:val="0"/>
                <w:color w:val="000000"/>
                <w:sz w:val="16"/>
                <w:szCs w:val="16"/>
              </w:rPr>
              <w:t>经业务授权获取型号、位置、工艺角色、投用日期、维修历史、关键备件库存与责任人，一卡集齐并保留来源。设备档案、维修和关键备件信息由AI数据治理从EAM统一提供，工艺角色与责任人等扩展字段采用治理后的设备台账及身份映射。</w:t>
            </w:r>
          </w:p>
        </w:tc>
        <w:tc>
          <w:tcPr>
            <w:tcW w:w="1072" w:type="dxa"/>
            <w:shd w:val="clear" w:color="auto" w:fill="FFFFFF"/>
            <w:vAlign w:val="center"/>
          </w:tcPr>
          <w:p w14:paraId="5C27735D">
            <w:pPr>
              <w:spacing w:before="0" w:after="0" w:line="240" w:lineRule="auto"/>
              <w:ind w:left="0" w:right="0" w:firstLine="0" w:firstLineChars="0"/>
              <w:jc w:val="left"/>
            </w:pPr>
            <w:r>
              <w:rPr>
                <w:rFonts w:ascii="宋体" w:hAnsi="宋体" w:eastAsia="宋体" w:cs="宋体"/>
                <w:b w:val="0"/>
                <w:bCs w:val="0"/>
                <w:color w:val="000000"/>
                <w:sz w:val="16"/>
                <w:szCs w:val="16"/>
              </w:rPr>
              <w:t>必需资料缺失→06；</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资料可用→07</w:t>
            </w:r>
          </w:p>
        </w:tc>
        <w:tc>
          <w:tcPr>
            <w:tcW w:w="2000" w:type="dxa"/>
            <w:shd w:val="clear" w:color="auto" w:fill="FFFFFF"/>
            <w:vAlign w:val="center"/>
          </w:tcPr>
          <w:p w14:paraId="33D3BBA2">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P-ZLTC-AI-WLPHGY-102-11-001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4C4639DF">
        <w:trPr>
          <w:cantSplit/>
          <w:jc w:val="center"/>
        </w:trPr>
        <w:tc>
          <w:tcPr>
            <w:tcW w:w="650" w:type="dxa"/>
            <w:shd w:val="clear" w:color="auto" w:fill="FFFFFF"/>
            <w:vAlign w:val="center"/>
          </w:tcPr>
          <w:p w14:paraId="448F6B4B">
            <w:pPr>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196F1611">
            <w:pPr>
              <w:spacing w:before="0" w:after="0" w:line="240" w:lineRule="auto"/>
              <w:ind w:left="0" w:right="0" w:firstLine="0" w:firstLineChars="0"/>
              <w:jc w:val="center"/>
            </w:pPr>
            <w:r>
              <w:rPr>
                <w:rFonts w:ascii="宋体" w:hAnsi="宋体" w:eastAsia="宋体" w:cs="宋体"/>
                <w:b w:val="0"/>
                <w:bCs w:val="0"/>
                <w:color w:val="000000"/>
                <w:sz w:val="16"/>
                <w:szCs w:val="16"/>
              </w:rPr>
              <w:t>说明资料不足或失败</w:t>
            </w:r>
          </w:p>
        </w:tc>
        <w:tc>
          <w:tcPr>
            <w:tcW w:w="950" w:type="dxa"/>
            <w:shd w:val="clear" w:color="auto" w:fill="FFFFFF"/>
            <w:vAlign w:val="center"/>
          </w:tcPr>
          <w:p w14:paraId="36898A7E">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088E6D85">
            <w:pPr>
              <w:spacing w:before="0" w:after="0" w:line="240" w:lineRule="auto"/>
              <w:ind w:left="0" w:right="0" w:firstLine="0" w:firstLineChars="0"/>
              <w:jc w:val="left"/>
            </w:pPr>
            <w:r>
              <w:rPr>
                <w:rFonts w:ascii="宋体" w:hAnsi="宋体" w:eastAsia="宋体" w:cs="宋体"/>
                <w:b w:val="0"/>
                <w:bCs w:val="0"/>
                <w:color w:val="000000"/>
                <w:sz w:val="16"/>
                <w:szCs w:val="16"/>
              </w:rPr>
              <w:t>输入：必需证据失败</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输出：限制说明</w:t>
            </w:r>
          </w:p>
        </w:tc>
        <w:tc>
          <w:tcPr>
            <w:tcW w:w="2000" w:type="dxa"/>
            <w:shd w:val="clear" w:color="auto" w:fill="FFFFFF"/>
            <w:vAlign w:val="center"/>
          </w:tcPr>
          <w:p w14:paraId="429D4613">
            <w:pPr>
              <w:spacing w:before="0" w:after="0" w:line="240" w:lineRule="auto"/>
              <w:ind w:left="0" w:right="0" w:firstLine="0" w:firstLineChars="0"/>
              <w:jc w:val="left"/>
            </w:pPr>
            <w:r>
              <w:rPr>
                <w:rFonts w:ascii="宋体" w:hAnsi="宋体" w:eastAsia="宋体" w:cs="宋体"/>
                <w:b w:val="0"/>
                <w:bCs w:val="0"/>
                <w:color w:val="000000"/>
                <w:sz w:val="16"/>
                <w:szCs w:val="16"/>
              </w:rPr>
              <w:t>如实说明资料未接入、无权限、无数据或执行失败，保留获取记录及当前可用资料。</w:t>
            </w:r>
          </w:p>
        </w:tc>
        <w:tc>
          <w:tcPr>
            <w:tcW w:w="1072" w:type="dxa"/>
            <w:shd w:val="clear" w:color="auto" w:fill="FFFFFF"/>
            <w:vAlign w:val="center"/>
          </w:tcPr>
          <w:p w14:paraId="01DDB3E2">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61A4BE03">
            <w:pPr>
              <w:spacing w:before="0" w:after="0" w:line="240" w:lineRule="auto"/>
              <w:ind w:left="0" w:right="0" w:firstLine="0" w:firstLineChars="0"/>
              <w:jc w:val="left"/>
            </w:pPr>
            <w:r>
              <w:rPr>
                <w:rFonts w:ascii="宋体" w:hAnsi="宋体" w:eastAsia="宋体" w:cs="宋体"/>
                <w:b w:val="0"/>
                <w:bCs w:val="0"/>
                <w:color w:val="000000"/>
                <w:sz w:val="16"/>
                <w:szCs w:val="16"/>
              </w:rPr>
              <w:t>P-ZLTC-AI-ZNWS-101-08-003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0124558E">
        <w:trPr>
          <w:cantSplit/>
          <w:jc w:val="center"/>
        </w:trPr>
        <w:tc>
          <w:tcPr>
            <w:tcW w:w="650" w:type="dxa"/>
            <w:shd w:val="clear" w:color="auto" w:fill="FFFFFF"/>
            <w:vAlign w:val="center"/>
          </w:tcPr>
          <w:p w14:paraId="03FD5221">
            <w:pPr>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19FD2007">
            <w:pPr>
              <w:spacing w:before="0" w:after="0" w:line="240" w:lineRule="auto"/>
              <w:ind w:left="0" w:right="0" w:firstLine="0" w:firstLineChars="0"/>
              <w:jc w:val="center"/>
            </w:pPr>
            <w:r>
              <w:rPr>
                <w:rFonts w:ascii="宋体" w:hAnsi="宋体" w:eastAsia="宋体" w:cs="宋体"/>
                <w:b w:val="0"/>
                <w:bCs w:val="0"/>
                <w:color w:val="000000"/>
                <w:sz w:val="16"/>
                <w:szCs w:val="16"/>
              </w:rPr>
              <w:t>对照阈值并解读趋势</w:t>
            </w:r>
          </w:p>
        </w:tc>
        <w:tc>
          <w:tcPr>
            <w:tcW w:w="950" w:type="dxa"/>
            <w:shd w:val="clear" w:color="auto" w:fill="FFFFFF"/>
            <w:vAlign w:val="center"/>
          </w:tcPr>
          <w:p w14:paraId="0A3704C3">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602AB3A5">
            <w:pPr>
              <w:spacing w:before="0" w:after="0" w:line="240" w:lineRule="auto"/>
              <w:ind w:left="0" w:right="0" w:firstLine="0" w:firstLineChars="0"/>
              <w:jc w:val="left"/>
            </w:pPr>
            <w:r>
              <w:rPr>
                <w:rFonts w:ascii="宋体" w:hAnsi="宋体" w:eastAsia="宋体" w:cs="宋体"/>
                <w:b w:val="0"/>
                <w:bCs w:val="0"/>
                <w:color w:val="000000"/>
                <w:sz w:val="16"/>
                <w:szCs w:val="16"/>
              </w:rPr>
              <w:t>输入：测点数值、趋势、额定参数和阈值</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输出：严重程度说明</w:t>
            </w:r>
          </w:p>
        </w:tc>
        <w:tc>
          <w:tcPr>
            <w:tcW w:w="2000" w:type="dxa"/>
            <w:shd w:val="clear" w:color="auto" w:fill="FFFFFF"/>
            <w:vAlign w:val="center"/>
          </w:tcPr>
          <w:p w14:paraId="08857FD0">
            <w:pPr>
              <w:spacing w:before="0" w:after="0" w:line="240" w:lineRule="auto"/>
              <w:ind w:left="0" w:right="0" w:firstLine="0" w:firstLineChars="0"/>
              <w:jc w:val="left"/>
            </w:pPr>
            <w:r>
              <w:rPr>
                <w:rFonts w:ascii="宋体" w:hAnsi="宋体" w:eastAsia="宋体" w:cs="宋体"/>
                <w:b w:val="0"/>
                <w:bCs w:val="0"/>
                <w:color w:val="000000"/>
                <w:sz w:val="16"/>
                <w:szCs w:val="16"/>
              </w:rPr>
              <w:t>结合测点数值、程序计算的时序趋势、额定参数和报警联锁阈值，说明设备状态、距阈值的差距及变化趋势，保留数据窗口和参数来源。测点与趋势证据经AI数据治理关联PHM及DCS与实时数据库，设备额定参数关联EAM资料，报警联锁阈值采用已确认的判定基准版本。</w:t>
            </w:r>
          </w:p>
        </w:tc>
        <w:tc>
          <w:tcPr>
            <w:tcW w:w="1072" w:type="dxa"/>
            <w:shd w:val="clear" w:color="auto" w:fill="FFFFFF"/>
            <w:vAlign w:val="center"/>
          </w:tcPr>
          <w:p w14:paraId="3AFEBC14">
            <w:pPr>
              <w:spacing w:before="0" w:after="0" w:line="240" w:lineRule="auto"/>
              <w:ind w:left="0" w:right="0" w:firstLine="0" w:firstLineChars="0"/>
              <w:jc w:val="left"/>
            </w:pPr>
            <w:r>
              <w:rPr>
                <w:rFonts w:ascii="宋体" w:hAnsi="宋体" w:eastAsia="宋体" w:cs="宋体"/>
                <w:b w:val="0"/>
                <w:bCs w:val="0"/>
                <w:color w:val="000000"/>
                <w:sz w:val="16"/>
                <w:szCs w:val="16"/>
              </w:rPr>
              <w:t>→08</w:t>
            </w:r>
          </w:p>
        </w:tc>
        <w:tc>
          <w:tcPr>
            <w:tcW w:w="2000" w:type="dxa"/>
            <w:shd w:val="clear" w:color="auto" w:fill="FFFFFF"/>
            <w:vAlign w:val="center"/>
          </w:tcPr>
          <w:p w14:paraId="3200BF8D">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p>
        </w:tc>
      </w:tr>
      <w:tr w14:paraId="70A0B05A">
        <w:trPr>
          <w:cantSplit/>
          <w:jc w:val="center"/>
        </w:trPr>
        <w:tc>
          <w:tcPr>
            <w:tcW w:w="650" w:type="dxa"/>
            <w:shd w:val="clear" w:color="auto" w:fill="FFFFFF"/>
            <w:vAlign w:val="center"/>
          </w:tcPr>
          <w:p w14:paraId="558020D2">
            <w:pPr>
              <w:spacing w:before="0" w:after="0" w:line="240" w:lineRule="auto"/>
              <w:ind w:left="0" w:right="0" w:firstLine="0" w:firstLineChars="0"/>
              <w:jc w:val="center"/>
            </w:pPr>
            <w:r>
              <w:rPr>
                <w:rFonts w:ascii="宋体" w:hAnsi="宋体" w:eastAsia="宋体" w:cs="宋体"/>
                <w:b w:val="0"/>
                <w:bCs w:val="0"/>
                <w:color w:val="000000"/>
                <w:sz w:val="16"/>
                <w:szCs w:val="16"/>
              </w:rPr>
              <w:t>08</w:t>
            </w:r>
          </w:p>
        </w:tc>
        <w:tc>
          <w:tcPr>
            <w:tcW w:w="1050" w:type="dxa"/>
            <w:shd w:val="clear" w:color="auto" w:fill="FFFFFF"/>
            <w:vAlign w:val="center"/>
          </w:tcPr>
          <w:p w14:paraId="72E1FD1B">
            <w:pPr>
              <w:spacing w:before="0" w:after="0" w:line="240" w:lineRule="auto"/>
              <w:ind w:left="0" w:right="0" w:firstLine="0" w:firstLineChars="0"/>
              <w:jc w:val="center"/>
            </w:pPr>
            <w:r>
              <w:rPr>
                <w:rFonts w:ascii="宋体" w:hAnsi="宋体" w:eastAsia="宋体" w:cs="宋体"/>
                <w:b w:val="0"/>
                <w:bCs w:val="0"/>
                <w:color w:val="000000"/>
                <w:sz w:val="16"/>
                <w:szCs w:val="16"/>
              </w:rPr>
              <w:t>结合故障模式形成建议</w:t>
            </w:r>
          </w:p>
        </w:tc>
        <w:tc>
          <w:tcPr>
            <w:tcW w:w="950" w:type="dxa"/>
            <w:shd w:val="clear" w:color="auto" w:fill="FFFFFF"/>
            <w:vAlign w:val="center"/>
          </w:tcPr>
          <w:p w14:paraId="35CEADE0">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3CE4DE09">
            <w:pPr>
              <w:spacing w:before="0" w:after="0" w:line="240" w:lineRule="auto"/>
              <w:ind w:left="0" w:right="0" w:firstLine="0" w:firstLineChars="0"/>
              <w:jc w:val="left"/>
            </w:pPr>
            <w:r>
              <w:rPr>
                <w:rFonts w:ascii="宋体" w:hAnsi="宋体" w:eastAsia="宋体" w:cs="宋体"/>
                <w:b w:val="0"/>
                <w:bCs w:val="0"/>
                <w:color w:val="000000"/>
                <w:sz w:val="16"/>
                <w:szCs w:val="16"/>
              </w:rPr>
              <w:t>输入：证据与大型动设备故障模式</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输出：排查处置建议</w:t>
            </w:r>
          </w:p>
        </w:tc>
        <w:tc>
          <w:tcPr>
            <w:tcW w:w="2000" w:type="dxa"/>
            <w:shd w:val="clear" w:color="auto" w:fill="FFFFFF"/>
            <w:vAlign w:val="center"/>
          </w:tcPr>
          <w:p w14:paraId="38A994DA">
            <w:pPr>
              <w:spacing w:before="0" w:after="0" w:line="240" w:lineRule="auto"/>
              <w:ind w:left="0" w:right="0" w:firstLine="0" w:firstLineChars="0"/>
              <w:jc w:val="left"/>
            </w:pPr>
            <w:r>
              <w:rPr>
                <w:rFonts w:ascii="宋体" w:hAnsi="宋体" w:eastAsia="宋体" w:cs="宋体"/>
                <w:b w:val="0"/>
                <w:bCs w:val="0"/>
                <w:color w:val="000000"/>
                <w:sz w:val="16"/>
                <w:szCs w:val="16"/>
              </w:rPr>
              <w:t>依据设备证据与故障模式形成排查和处置建议，区分已验证判断与待核建议；引用PHM已有诊断及来源，误报线索反馈设备诊断管理流程。</w:t>
            </w:r>
          </w:p>
        </w:tc>
        <w:tc>
          <w:tcPr>
            <w:tcW w:w="1072" w:type="dxa"/>
            <w:shd w:val="clear" w:color="auto" w:fill="FFFFFF"/>
            <w:vAlign w:val="center"/>
          </w:tcPr>
          <w:p w14:paraId="4A6E8A2D">
            <w:pPr>
              <w:spacing w:before="0" w:after="0" w:line="240" w:lineRule="auto"/>
              <w:ind w:left="0" w:right="0" w:firstLine="0" w:firstLineChars="0"/>
              <w:jc w:val="left"/>
            </w:pPr>
            <w:r>
              <w:rPr>
                <w:rFonts w:ascii="宋体" w:hAnsi="宋体" w:eastAsia="宋体" w:cs="宋体"/>
                <w:b w:val="0"/>
                <w:bCs w:val="0"/>
                <w:color w:val="000000"/>
                <w:sz w:val="16"/>
                <w:szCs w:val="16"/>
              </w:rPr>
              <w:t>→09</w:t>
            </w:r>
          </w:p>
        </w:tc>
        <w:tc>
          <w:tcPr>
            <w:tcW w:w="2000" w:type="dxa"/>
            <w:shd w:val="clear" w:color="auto" w:fill="FFFFFF"/>
            <w:vAlign w:val="center"/>
          </w:tcPr>
          <w:p w14:paraId="2F271811">
            <w:pPr>
              <w:spacing w:before="0" w:after="0" w:line="240" w:lineRule="auto"/>
              <w:ind w:left="0" w:right="0" w:firstLine="0" w:firstLineChars="0"/>
              <w:jc w:val="left"/>
            </w:pPr>
            <w:r>
              <w:rPr>
                <w:rFonts w:ascii="宋体" w:hAnsi="宋体" w:eastAsia="宋体" w:cs="宋体"/>
                <w:b w:val="0"/>
                <w:bCs w:val="0"/>
                <w:color w:val="000000"/>
                <w:sz w:val="16"/>
                <w:szCs w:val="16"/>
              </w:rPr>
              <w:t>P-ZLTC-AI-WLPHGY-102-07-001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p>
        </w:tc>
      </w:tr>
      <w:tr w14:paraId="7CCF0C37">
        <w:trPr>
          <w:cantSplit/>
          <w:jc w:val="center"/>
        </w:trPr>
        <w:tc>
          <w:tcPr>
            <w:tcW w:w="650" w:type="dxa"/>
            <w:shd w:val="clear" w:color="auto" w:fill="FFFFFF"/>
            <w:vAlign w:val="center"/>
          </w:tcPr>
          <w:p w14:paraId="17286870">
            <w:pPr>
              <w:spacing w:before="0" w:after="0" w:line="240" w:lineRule="auto"/>
              <w:ind w:left="0" w:right="0" w:firstLine="0" w:firstLineChars="0"/>
              <w:jc w:val="center"/>
            </w:pPr>
            <w:r>
              <w:rPr>
                <w:rFonts w:ascii="宋体" w:hAnsi="宋体" w:eastAsia="宋体" w:cs="宋体"/>
                <w:b w:val="0"/>
                <w:bCs w:val="0"/>
                <w:color w:val="000000"/>
                <w:sz w:val="16"/>
                <w:szCs w:val="16"/>
              </w:rPr>
              <w:t>09</w:t>
            </w:r>
          </w:p>
        </w:tc>
        <w:tc>
          <w:tcPr>
            <w:tcW w:w="1050" w:type="dxa"/>
            <w:shd w:val="clear" w:color="auto" w:fill="FFFFFF"/>
            <w:vAlign w:val="center"/>
          </w:tcPr>
          <w:p w14:paraId="5CE84E19">
            <w:pPr>
              <w:spacing w:before="0" w:after="0" w:line="240" w:lineRule="auto"/>
              <w:ind w:left="0" w:right="0" w:firstLine="0" w:firstLineChars="0"/>
              <w:jc w:val="center"/>
            </w:pPr>
            <w:r>
              <w:rPr>
                <w:rFonts w:ascii="宋体" w:hAnsi="宋体" w:eastAsia="宋体" w:cs="宋体"/>
                <w:b w:val="0"/>
                <w:bCs w:val="0"/>
                <w:color w:val="000000"/>
                <w:sz w:val="16"/>
                <w:szCs w:val="16"/>
              </w:rPr>
              <w:t>生成设备建议卡</w:t>
            </w:r>
          </w:p>
        </w:tc>
        <w:tc>
          <w:tcPr>
            <w:tcW w:w="950" w:type="dxa"/>
            <w:shd w:val="clear" w:color="auto" w:fill="FFFFFF"/>
            <w:vAlign w:val="center"/>
          </w:tcPr>
          <w:p w14:paraId="65ED9D98">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4C24DBD0">
            <w:pPr>
              <w:spacing w:before="0" w:after="0" w:line="240" w:lineRule="auto"/>
              <w:ind w:left="0" w:right="0" w:firstLine="0" w:firstLineChars="0"/>
              <w:jc w:val="left"/>
            </w:pPr>
            <w:r>
              <w:rPr>
                <w:rFonts w:ascii="宋体" w:hAnsi="宋体" w:eastAsia="宋体" w:cs="宋体"/>
                <w:b w:val="0"/>
                <w:bCs w:val="0"/>
                <w:color w:val="000000"/>
                <w:sz w:val="16"/>
                <w:szCs w:val="16"/>
              </w:rPr>
              <w:t>输入：四要素、阈值解读与建议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输出：可追溯卡片</w:t>
            </w:r>
          </w:p>
        </w:tc>
        <w:tc>
          <w:tcPr>
            <w:tcW w:w="2000" w:type="dxa"/>
            <w:shd w:val="clear" w:color="auto" w:fill="FFFFFF"/>
            <w:vAlign w:val="center"/>
          </w:tcPr>
          <w:p w14:paraId="56D00A36">
            <w:pPr>
              <w:spacing w:before="0" w:after="0" w:line="240" w:lineRule="auto"/>
              <w:ind w:left="0" w:right="0" w:firstLine="0" w:firstLineChars="0"/>
              <w:jc w:val="left"/>
            </w:pPr>
            <w:r>
              <w:rPr>
                <w:rFonts w:ascii="宋体" w:hAnsi="宋体" w:eastAsia="宋体" w:cs="宋体"/>
                <w:b w:val="0"/>
                <w:bCs w:val="0"/>
                <w:color w:val="000000"/>
                <w:sz w:val="16"/>
                <w:szCs w:val="16"/>
              </w:rPr>
              <w:t>汇总预警解读与处置建议；设备清单可查询保养到期、当天维修事项、上月检修后仍有预警等情况，并按风险排序。</w:t>
            </w:r>
          </w:p>
        </w:tc>
        <w:tc>
          <w:tcPr>
            <w:tcW w:w="1072" w:type="dxa"/>
            <w:shd w:val="clear" w:color="auto" w:fill="FFFFFF"/>
            <w:vAlign w:val="center"/>
          </w:tcPr>
          <w:p w14:paraId="07549D35">
            <w:pPr>
              <w:spacing w:before="0" w:after="0" w:line="240" w:lineRule="auto"/>
              <w:ind w:left="0" w:right="0" w:firstLine="0" w:firstLineChars="0"/>
              <w:jc w:val="left"/>
            </w:pPr>
            <w:r>
              <w:rPr>
                <w:rFonts w:ascii="宋体" w:hAnsi="宋体" w:eastAsia="宋体" w:cs="宋体"/>
                <w:b w:val="0"/>
                <w:bCs w:val="0"/>
                <w:color w:val="000000"/>
                <w:sz w:val="16"/>
                <w:szCs w:val="16"/>
              </w:rPr>
              <w:t>→10</w:t>
            </w:r>
          </w:p>
        </w:tc>
        <w:tc>
          <w:tcPr>
            <w:tcW w:w="2000" w:type="dxa"/>
            <w:shd w:val="clear" w:color="auto" w:fill="FFFFFF"/>
            <w:vAlign w:val="center"/>
          </w:tcPr>
          <w:p w14:paraId="336BC528">
            <w:pPr>
              <w:spacing w:before="0" w:after="0" w:line="240" w:lineRule="auto"/>
              <w:ind w:left="0" w:right="0" w:firstLine="0" w:firstLineChars="0"/>
              <w:jc w:val="left"/>
            </w:pPr>
            <w:r>
              <w:rPr>
                <w:rFonts w:ascii="宋体" w:hAnsi="宋体" w:eastAsia="宋体" w:cs="宋体"/>
                <w:b w:val="0"/>
                <w:bCs w:val="0"/>
                <w:color w:val="000000"/>
                <w:sz w:val="16"/>
                <w:szCs w:val="16"/>
              </w:rPr>
              <w:t>P-ZLTC-AI-ZNWS-101-08-002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p>
        </w:tc>
      </w:tr>
      <w:tr w14:paraId="012F161F">
        <w:trPr>
          <w:cantSplit/>
          <w:jc w:val="center"/>
        </w:trPr>
        <w:tc>
          <w:tcPr>
            <w:tcW w:w="650" w:type="dxa"/>
            <w:shd w:val="clear" w:color="auto" w:fill="FFFFFF"/>
            <w:vAlign w:val="center"/>
          </w:tcPr>
          <w:p w14:paraId="7FD129E6">
            <w:pPr>
              <w:spacing w:before="0" w:after="0" w:line="240" w:lineRule="auto"/>
              <w:ind w:left="0" w:right="0" w:firstLine="0" w:firstLineChars="0"/>
              <w:jc w:val="center"/>
            </w:pPr>
            <w:r>
              <w:rPr>
                <w:rFonts w:ascii="宋体" w:hAnsi="宋体" w:eastAsia="宋体" w:cs="宋体"/>
                <w:b w:val="0"/>
                <w:bCs w:val="0"/>
                <w:color w:val="000000"/>
                <w:sz w:val="16"/>
                <w:szCs w:val="16"/>
              </w:rPr>
              <w:t>10</w:t>
            </w:r>
          </w:p>
        </w:tc>
        <w:tc>
          <w:tcPr>
            <w:tcW w:w="1050" w:type="dxa"/>
            <w:shd w:val="clear" w:color="auto" w:fill="FFFFFF"/>
            <w:vAlign w:val="center"/>
          </w:tcPr>
          <w:p w14:paraId="7422B2CA">
            <w:pPr>
              <w:spacing w:before="0" w:after="0" w:line="240" w:lineRule="auto"/>
              <w:ind w:left="0" w:right="0" w:firstLine="0" w:firstLineChars="0"/>
              <w:jc w:val="center"/>
            </w:pPr>
            <w:r>
              <w:rPr>
                <w:rFonts w:ascii="宋体" w:hAnsi="宋体" w:eastAsia="宋体" w:cs="宋体"/>
                <w:b w:val="0"/>
                <w:bCs w:val="0"/>
                <w:color w:val="000000"/>
                <w:sz w:val="16"/>
                <w:szCs w:val="16"/>
              </w:rPr>
              <w:t>呈现或按授权推送</w:t>
            </w:r>
          </w:p>
        </w:tc>
        <w:tc>
          <w:tcPr>
            <w:tcW w:w="950" w:type="dxa"/>
            <w:shd w:val="clear" w:color="auto" w:fill="FFFFFF"/>
            <w:vAlign w:val="center"/>
          </w:tcPr>
          <w:p w14:paraId="4C94EE6E">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417D1288">
            <w:pPr>
              <w:spacing w:before="0" w:after="0" w:line="240" w:lineRule="auto"/>
              <w:ind w:left="0" w:right="0" w:firstLine="0" w:firstLineChars="0"/>
              <w:jc w:val="left"/>
            </w:pPr>
            <w:r>
              <w:rPr>
                <w:rFonts w:ascii="宋体" w:hAnsi="宋体" w:eastAsia="宋体" w:cs="宋体"/>
                <w:b w:val="0"/>
                <w:bCs w:val="0"/>
                <w:color w:val="000000"/>
                <w:sz w:val="16"/>
                <w:szCs w:val="16"/>
              </w:rPr>
              <w:t>输入：事实、原报告或新建议卡</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输出：展示与送达状态</w:t>
            </w:r>
          </w:p>
        </w:tc>
        <w:tc>
          <w:tcPr>
            <w:tcW w:w="2000" w:type="dxa"/>
            <w:shd w:val="clear" w:color="auto" w:fill="FFFFFF"/>
            <w:vAlign w:val="center"/>
          </w:tcPr>
          <w:p w14:paraId="712B974E">
            <w:pPr>
              <w:spacing w:before="0" w:after="0" w:line="240" w:lineRule="auto"/>
              <w:ind w:left="0" w:right="0" w:firstLine="0" w:firstLineChars="0"/>
              <w:jc w:val="left"/>
            </w:pPr>
            <w:r>
              <w:rPr>
                <w:rFonts w:ascii="宋体" w:hAnsi="宋体" w:eastAsia="宋体" w:cs="宋体"/>
                <w:b w:val="0"/>
                <w:bCs w:val="0"/>
                <w:color w:val="000000"/>
                <w:sz w:val="16"/>
                <w:szCs w:val="16"/>
              </w:rPr>
              <w:t>会话内呈现，预警卡按订阅和业务授权推送相关责任人，记录送达、已读及确认，超时未读按配置提醒。</w:t>
            </w:r>
          </w:p>
        </w:tc>
        <w:tc>
          <w:tcPr>
            <w:tcW w:w="1072" w:type="dxa"/>
            <w:shd w:val="clear" w:color="auto" w:fill="FFFFFF"/>
            <w:vAlign w:val="center"/>
          </w:tcPr>
          <w:p w14:paraId="596E043C">
            <w:pPr>
              <w:spacing w:before="0" w:after="0" w:line="240" w:lineRule="auto"/>
              <w:ind w:left="0" w:right="0" w:firstLine="0" w:firstLineChars="0"/>
              <w:jc w:val="left"/>
            </w:pPr>
            <w:r>
              <w:rPr>
                <w:rFonts w:ascii="宋体" w:hAnsi="宋体" w:eastAsia="宋体" w:cs="宋体"/>
                <w:b w:val="0"/>
                <w:bCs w:val="0"/>
                <w:color w:val="000000"/>
                <w:sz w:val="16"/>
                <w:szCs w:val="16"/>
              </w:rPr>
              <w:t>确认反馈→11；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查询现状→13；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查看完成→结束</w:t>
            </w:r>
          </w:p>
        </w:tc>
        <w:tc>
          <w:tcPr>
            <w:tcW w:w="2000" w:type="dxa"/>
            <w:shd w:val="clear" w:color="auto" w:fill="FFFFFF"/>
            <w:vAlign w:val="center"/>
          </w:tcPr>
          <w:p w14:paraId="071BB80A">
            <w:pPr>
              <w:spacing w:before="0" w:after="0" w:line="240" w:lineRule="auto"/>
              <w:ind w:left="0" w:right="0" w:firstLine="0" w:firstLineChars="0"/>
              <w:jc w:val="left"/>
            </w:pPr>
            <w:r>
              <w:rPr>
                <w:rFonts w:ascii="宋体" w:hAnsi="宋体" w:eastAsia="宋体" w:cs="宋体"/>
                <w:b w:val="0"/>
                <w:bCs w:val="0"/>
                <w:color w:val="000000"/>
                <w:sz w:val="16"/>
                <w:szCs w:val="16"/>
              </w:rPr>
              <w:t>P-ZLTC-AI-WLPHGY-102-11-001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2F552D93">
        <w:trPr>
          <w:cantSplit/>
          <w:jc w:val="center"/>
        </w:trPr>
        <w:tc>
          <w:tcPr>
            <w:tcW w:w="650" w:type="dxa"/>
            <w:shd w:val="clear" w:color="auto" w:fill="FFFFFF"/>
            <w:vAlign w:val="center"/>
          </w:tcPr>
          <w:p w14:paraId="20161269">
            <w:pPr>
              <w:spacing w:before="0" w:after="0" w:line="240" w:lineRule="auto"/>
              <w:ind w:left="0" w:right="0" w:firstLine="0" w:firstLineChars="0"/>
              <w:jc w:val="center"/>
            </w:pPr>
            <w:r>
              <w:rPr>
                <w:rFonts w:ascii="宋体" w:hAnsi="宋体" w:eastAsia="宋体" w:cs="宋体"/>
                <w:b w:val="0"/>
                <w:bCs w:val="0"/>
                <w:color w:val="000000"/>
                <w:sz w:val="16"/>
                <w:szCs w:val="16"/>
              </w:rPr>
              <w:t>11</w:t>
            </w:r>
          </w:p>
        </w:tc>
        <w:tc>
          <w:tcPr>
            <w:tcW w:w="1050" w:type="dxa"/>
            <w:shd w:val="clear" w:color="auto" w:fill="FFFFFF"/>
            <w:vAlign w:val="center"/>
          </w:tcPr>
          <w:p w14:paraId="13AC7FDA">
            <w:pPr>
              <w:spacing w:before="0" w:after="0" w:line="240" w:lineRule="auto"/>
              <w:ind w:left="0" w:right="0" w:firstLine="0" w:firstLineChars="0"/>
              <w:jc w:val="center"/>
            </w:pPr>
            <w:r>
              <w:rPr>
                <w:rFonts w:ascii="宋体" w:hAnsi="宋体" w:eastAsia="宋体" w:cs="宋体"/>
                <w:b w:val="0"/>
                <w:bCs w:val="0"/>
                <w:color w:val="000000"/>
                <w:sz w:val="16"/>
                <w:szCs w:val="16"/>
              </w:rPr>
              <w:t>责任人确认结论</w:t>
            </w:r>
          </w:p>
        </w:tc>
        <w:tc>
          <w:tcPr>
            <w:tcW w:w="950" w:type="dxa"/>
            <w:shd w:val="clear" w:color="auto" w:fill="FFFFFF"/>
            <w:vAlign w:val="center"/>
          </w:tcPr>
          <w:p w14:paraId="2D1ADF7C">
            <w:pPr>
              <w:spacing w:before="0" w:after="0" w:line="240" w:lineRule="auto"/>
              <w:ind w:left="0" w:right="0" w:firstLine="0" w:firstLineChars="0"/>
              <w:jc w:val="center"/>
            </w:pPr>
            <w:r>
              <w:rPr>
                <w:rFonts w:ascii="宋体" w:hAnsi="宋体" w:eastAsia="宋体" w:cs="宋体"/>
                <w:b w:val="0"/>
                <w:bCs w:val="0"/>
                <w:color w:val="000000"/>
                <w:sz w:val="16"/>
                <w:szCs w:val="16"/>
              </w:rPr>
              <w:t>责任人</w:t>
            </w:r>
          </w:p>
        </w:tc>
        <w:tc>
          <w:tcPr>
            <w:tcW w:w="1350" w:type="dxa"/>
            <w:shd w:val="clear" w:color="auto" w:fill="FFFFFF"/>
            <w:vAlign w:val="center"/>
          </w:tcPr>
          <w:p w14:paraId="3E28EEE1">
            <w:pPr>
              <w:spacing w:before="0" w:after="0" w:line="240" w:lineRule="auto"/>
              <w:ind w:left="0" w:right="0" w:firstLine="0" w:firstLineChars="0"/>
              <w:jc w:val="left"/>
            </w:pPr>
            <w:r>
              <w:rPr>
                <w:rFonts w:ascii="宋体" w:hAnsi="宋体" w:eastAsia="宋体" w:cs="宋体"/>
                <w:b w:val="0"/>
                <w:bCs w:val="0"/>
                <w:color w:val="000000"/>
                <w:sz w:val="16"/>
                <w:szCs w:val="16"/>
              </w:rPr>
              <w:t>输入：设备建议卡</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输出：确认或实际原因反馈</w:t>
            </w:r>
          </w:p>
        </w:tc>
        <w:tc>
          <w:tcPr>
            <w:tcW w:w="2000" w:type="dxa"/>
            <w:shd w:val="clear" w:color="auto" w:fill="FFFFFF"/>
            <w:vAlign w:val="center"/>
          </w:tcPr>
          <w:p w14:paraId="389C03AF">
            <w:pPr>
              <w:spacing w:before="0" w:after="0" w:line="240" w:lineRule="auto"/>
              <w:ind w:left="0" w:right="0" w:firstLine="0" w:firstLineChars="0"/>
              <w:jc w:val="left"/>
            </w:pPr>
            <w:r>
              <w:rPr>
                <w:rFonts w:ascii="宋体" w:hAnsi="宋体" w:eastAsia="宋体" w:cs="宋体"/>
                <w:b w:val="0"/>
                <w:bCs w:val="0"/>
                <w:color w:val="000000"/>
                <w:sz w:val="16"/>
                <w:szCs w:val="16"/>
              </w:rPr>
              <w:t>指定责任人确认结论或反馈与实际不符，并可补充实际原因；其他授权读者可查看、追问和评价，暂未确认状态随报告保留。</w:t>
            </w:r>
          </w:p>
        </w:tc>
        <w:tc>
          <w:tcPr>
            <w:tcW w:w="1072" w:type="dxa"/>
            <w:shd w:val="clear" w:color="auto" w:fill="FFFFFF"/>
            <w:vAlign w:val="center"/>
          </w:tcPr>
          <w:p w14:paraId="407F0B13">
            <w:pPr>
              <w:spacing w:before="0" w:after="0" w:line="240" w:lineRule="auto"/>
              <w:ind w:left="0" w:right="0" w:firstLine="0" w:firstLineChars="0"/>
              <w:jc w:val="left"/>
            </w:pPr>
            <w:r>
              <w:rPr>
                <w:rFonts w:ascii="宋体" w:hAnsi="宋体" w:eastAsia="宋体" w:cs="宋体"/>
                <w:b w:val="0"/>
                <w:bCs w:val="0"/>
                <w:color w:val="000000"/>
                <w:sz w:val="16"/>
                <w:szCs w:val="16"/>
              </w:rPr>
              <w:t>提交反馈→12；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暂未确认→结束</w:t>
            </w:r>
          </w:p>
        </w:tc>
        <w:tc>
          <w:tcPr>
            <w:tcW w:w="2000" w:type="dxa"/>
            <w:shd w:val="clear" w:color="auto" w:fill="FFFFFF"/>
            <w:vAlign w:val="center"/>
          </w:tcPr>
          <w:p w14:paraId="5B3E4174">
            <w:pPr>
              <w:spacing w:before="0" w:after="0" w:line="240" w:lineRule="auto"/>
              <w:ind w:left="0" w:right="0" w:firstLine="0" w:firstLineChars="0"/>
              <w:jc w:val="left"/>
            </w:pPr>
            <w:r>
              <w:rPr>
                <w:rFonts w:ascii="宋体" w:hAnsi="宋体" w:eastAsia="宋体" w:cs="宋体"/>
                <w:b w:val="0"/>
                <w:bCs w:val="0"/>
                <w:color w:val="000000"/>
                <w:sz w:val="16"/>
                <w:szCs w:val="16"/>
              </w:rPr>
              <w:t>P-ZLTC-AI-WLPHGY-102-13-001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7B979E00">
        <w:trPr>
          <w:cantSplit/>
          <w:jc w:val="center"/>
        </w:trPr>
        <w:tc>
          <w:tcPr>
            <w:tcW w:w="650" w:type="dxa"/>
            <w:shd w:val="clear" w:color="auto" w:fill="FFFFFF"/>
            <w:vAlign w:val="center"/>
          </w:tcPr>
          <w:p w14:paraId="3431B429">
            <w:pPr>
              <w:spacing w:before="0" w:after="0" w:line="240" w:lineRule="auto"/>
              <w:ind w:left="0" w:right="0" w:firstLine="0" w:firstLineChars="0"/>
              <w:jc w:val="center"/>
            </w:pPr>
            <w:r>
              <w:rPr>
                <w:rFonts w:ascii="宋体" w:hAnsi="宋体" w:eastAsia="宋体" w:cs="宋体"/>
                <w:b w:val="0"/>
                <w:bCs w:val="0"/>
                <w:color w:val="000000"/>
                <w:sz w:val="16"/>
                <w:szCs w:val="16"/>
              </w:rPr>
              <w:t>12</w:t>
            </w:r>
          </w:p>
        </w:tc>
        <w:tc>
          <w:tcPr>
            <w:tcW w:w="1050" w:type="dxa"/>
            <w:shd w:val="clear" w:color="auto" w:fill="FFFFFF"/>
            <w:vAlign w:val="center"/>
          </w:tcPr>
          <w:p w14:paraId="72B9B933">
            <w:pPr>
              <w:spacing w:before="0" w:after="0" w:line="240" w:lineRule="auto"/>
              <w:ind w:left="0" w:right="0" w:firstLine="0" w:firstLineChars="0"/>
              <w:jc w:val="center"/>
            </w:pPr>
            <w:r>
              <w:rPr>
                <w:rFonts w:ascii="宋体" w:hAnsi="宋体" w:eastAsia="宋体" w:cs="宋体"/>
                <w:b w:val="0"/>
                <w:bCs w:val="0"/>
                <w:color w:val="000000"/>
                <w:sz w:val="16"/>
                <w:szCs w:val="16"/>
              </w:rPr>
              <w:t>归纳案例并审核入库</w:t>
            </w:r>
          </w:p>
        </w:tc>
        <w:tc>
          <w:tcPr>
            <w:tcW w:w="950" w:type="dxa"/>
            <w:shd w:val="clear" w:color="auto" w:fill="FFFFFF"/>
            <w:vAlign w:val="center"/>
          </w:tcPr>
          <w:p w14:paraId="732FE9CA">
            <w:pPr>
              <w:spacing w:before="0" w:after="0" w:line="240" w:lineRule="auto"/>
              <w:ind w:left="0" w:right="0" w:firstLine="0" w:firstLineChars="0"/>
              <w:jc w:val="center"/>
            </w:pPr>
            <w:r>
              <w:rPr>
                <w:rFonts w:ascii="宋体" w:hAnsi="宋体" w:eastAsia="宋体" w:cs="宋体"/>
                <w:b w:val="0"/>
                <w:bCs w:val="0"/>
                <w:color w:val="000000"/>
                <w:sz w:val="16"/>
                <w:szCs w:val="16"/>
              </w:rPr>
              <w:t>知识工作台</w:t>
            </w:r>
          </w:p>
        </w:tc>
        <w:tc>
          <w:tcPr>
            <w:tcW w:w="1350" w:type="dxa"/>
            <w:shd w:val="clear" w:color="auto" w:fill="FFFFFF"/>
            <w:vAlign w:val="center"/>
          </w:tcPr>
          <w:p w14:paraId="3A10DEE5">
            <w:pPr>
              <w:spacing w:before="0" w:after="0" w:line="240" w:lineRule="auto"/>
              <w:ind w:left="0" w:right="0" w:firstLine="0" w:firstLineChars="0"/>
              <w:jc w:val="left"/>
            </w:pPr>
            <w:r>
              <w:rPr>
                <w:rFonts w:ascii="宋体" w:hAnsi="宋体" w:eastAsia="宋体" w:cs="宋体"/>
                <w:b w:val="0"/>
                <w:bCs w:val="0"/>
                <w:color w:val="000000"/>
                <w:sz w:val="16"/>
                <w:szCs w:val="16"/>
              </w:rPr>
              <w:t>输入：确认或纠正线索</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输出：知识草稿或运营问题</w:t>
            </w:r>
          </w:p>
        </w:tc>
        <w:tc>
          <w:tcPr>
            <w:tcW w:w="2000" w:type="dxa"/>
            <w:shd w:val="clear" w:color="auto" w:fill="FFFFFF"/>
            <w:vAlign w:val="center"/>
          </w:tcPr>
          <w:p w14:paraId="4091B852">
            <w:pPr>
              <w:spacing w:before="0" w:after="0" w:line="240" w:lineRule="auto"/>
              <w:ind w:left="0" w:right="0" w:firstLine="0" w:firstLineChars="0"/>
              <w:jc w:val="left"/>
            </w:pPr>
            <w:r>
              <w:rPr>
                <w:rFonts w:ascii="宋体" w:hAnsi="宋体" w:eastAsia="宋体" w:cs="宋体"/>
                <w:b w:val="0"/>
                <w:bCs w:val="0"/>
                <w:color w:val="000000"/>
                <w:sz w:val="16"/>
                <w:szCs w:val="16"/>
              </w:rPr>
              <w:t>将确认的重复故障模式及纠正线索形成知识草稿，按5.5.4及6.7审核验证后生效；与实际不符且未补原因的问题按5.4.2及6.7运营跟进。</w:t>
            </w:r>
          </w:p>
        </w:tc>
        <w:tc>
          <w:tcPr>
            <w:tcW w:w="1072" w:type="dxa"/>
            <w:shd w:val="clear" w:color="auto" w:fill="FFFFFF"/>
            <w:vAlign w:val="center"/>
          </w:tcPr>
          <w:p w14:paraId="12FAA5D9">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2FE63E77">
            <w:pPr>
              <w:spacing w:before="0" w:after="0" w:line="240" w:lineRule="auto"/>
              <w:ind w:left="0" w:right="0" w:firstLine="0" w:firstLineChars="0"/>
              <w:jc w:val="left"/>
            </w:pPr>
            <w:r>
              <w:rPr>
                <w:rFonts w:ascii="宋体" w:hAnsi="宋体" w:eastAsia="宋体" w:cs="宋体"/>
                <w:b w:val="0"/>
                <w:bCs w:val="0"/>
                <w:color w:val="000000"/>
                <w:sz w:val="16"/>
                <w:szCs w:val="16"/>
              </w:rPr>
              <w:t>P-ZLTC-AI-WLPHGY-102-14-001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P-ZLTC-AI-ZNWS-101-06-001</w:t>
            </w:r>
          </w:p>
        </w:tc>
      </w:tr>
      <w:tr w14:paraId="7C5DA0FF">
        <w:trPr>
          <w:cantSplit/>
          <w:jc w:val="center"/>
        </w:trPr>
        <w:tc>
          <w:tcPr>
            <w:tcW w:w="650" w:type="dxa"/>
            <w:shd w:val="clear" w:color="auto" w:fill="FFFFFF"/>
            <w:vAlign w:val="center"/>
          </w:tcPr>
          <w:p w14:paraId="2F359770">
            <w:pPr>
              <w:spacing w:before="0" w:after="0" w:line="240" w:lineRule="auto"/>
              <w:ind w:left="0" w:right="0" w:firstLine="0" w:firstLineChars="0"/>
              <w:jc w:val="center"/>
            </w:pPr>
            <w:r>
              <w:rPr>
                <w:rFonts w:ascii="宋体" w:hAnsi="宋体" w:eastAsia="宋体" w:cs="宋体"/>
                <w:b w:val="0"/>
                <w:bCs w:val="0"/>
                <w:color w:val="000000"/>
                <w:sz w:val="16"/>
                <w:szCs w:val="16"/>
              </w:rPr>
              <w:t>13</w:t>
            </w:r>
          </w:p>
        </w:tc>
        <w:tc>
          <w:tcPr>
            <w:tcW w:w="1050" w:type="dxa"/>
            <w:shd w:val="clear" w:color="auto" w:fill="FFFFFF"/>
            <w:vAlign w:val="center"/>
          </w:tcPr>
          <w:p w14:paraId="47CF8562">
            <w:pPr>
              <w:spacing w:before="0" w:after="0" w:line="240" w:lineRule="auto"/>
              <w:ind w:left="0" w:right="0" w:firstLine="0" w:firstLineChars="0"/>
              <w:jc w:val="center"/>
            </w:pPr>
            <w:r>
              <w:rPr>
                <w:rFonts w:ascii="宋体" w:hAnsi="宋体" w:eastAsia="宋体" w:cs="宋体"/>
                <w:b w:val="0"/>
                <w:bCs w:val="0"/>
                <w:color w:val="000000"/>
                <w:sz w:val="16"/>
                <w:szCs w:val="16"/>
              </w:rPr>
              <w:t>按需查询当前状态</w:t>
            </w:r>
          </w:p>
        </w:tc>
        <w:tc>
          <w:tcPr>
            <w:tcW w:w="950" w:type="dxa"/>
            <w:shd w:val="clear" w:color="auto" w:fill="FFFFFF"/>
            <w:vAlign w:val="center"/>
          </w:tcPr>
          <w:p w14:paraId="7A5587E3">
            <w:pPr>
              <w:spacing w:before="0" w:after="0" w:line="240" w:lineRule="auto"/>
              <w:ind w:left="0" w:right="0" w:firstLine="0" w:firstLineChars="0"/>
              <w:jc w:val="center"/>
            </w:pPr>
            <w:r>
              <w:rPr>
                <w:rFonts w:ascii="宋体" w:hAnsi="宋体" w:eastAsia="宋体" w:cs="宋体"/>
                <w:b w:val="0"/>
                <w:bCs w:val="0"/>
                <w:color w:val="000000"/>
                <w:sz w:val="16"/>
                <w:szCs w:val="16"/>
              </w:rPr>
              <w:t>业务用户</w:t>
            </w:r>
          </w:p>
        </w:tc>
        <w:tc>
          <w:tcPr>
            <w:tcW w:w="1350" w:type="dxa"/>
            <w:shd w:val="clear" w:color="auto" w:fill="FFFFFF"/>
            <w:vAlign w:val="center"/>
          </w:tcPr>
          <w:p w14:paraId="5D834E42">
            <w:pPr>
              <w:spacing w:before="0" w:after="0" w:line="240" w:lineRule="auto"/>
              <w:ind w:left="0" w:right="0" w:firstLine="0" w:firstLineChars="0"/>
              <w:jc w:val="left"/>
            </w:pPr>
            <w:r>
              <w:rPr>
                <w:rFonts w:ascii="宋体" w:hAnsi="宋体" w:eastAsia="宋体" w:cs="宋体"/>
                <w:b w:val="0"/>
                <w:bCs w:val="0"/>
                <w:color w:val="000000"/>
                <w:sz w:val="16"/>
                <w:szCs w:val="16"/>
              </w:rPr>
              <w:t>输入：当前状态追问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输出：最新可用事实</w:t>
            </w:r>
          </w:p>
        </w:tc>
        <w:tc>
          <w:tcPr>
            <w:tcW w:w="2000" w:type="dxa"/>
            <w:shd w:val="clear" w:color="auto" w:fill="FFFFFF"/>
            <w:vAlign w:val="center"/>
          </w:tcPr>
          <w:p w14:paraId="5602CC1F">
            <w:pPr>
              <w:spacing w:before="0" w:after="0" w:line="240" w:lineRule="auto"/>
              <w:ind w:left="0" w:right="0" w:firstLine="0" w:firstLineChars="0"/>
              <w:jc w:val="left"/>
            </w:pPr>
            <w:r>
              <w:rPr>
                <w:rFonts w:ascii="宋体" w:hAnsi="宋体" w:eastAsia="宋体" w:cs="宋体"/>
                <w:b w:val="0"/>
                <w:bCs w:val="0"/>
                <w:color w:val="000000"/>
                <w:sz w:val="16"/>
                <w:szCs w:val="16"/>
              </w:rPr>
              <w:t>用户按当前状态继续提问，携带业务身份查询最新可用数据；关联PHM预警状态及设备管理事实，实际检修事项衔接EAM办理。</w:t>
            </w:r>
          </w:p>
        </w:tc>
        <w:tc>
          <w:tcPr>
            <w:tcW w:w="1072" w:type="dxa"/>
            <w:shd w:val="clear" w:color="auto" w:fill="FFFFFF"/>
            <w:vAlign w:val="center"/>
          </w:tcPr>
          <w:p w14:paraId="4D991927">
            <w:pPr>
              <w:spacing w:before="0" w:after="0" w:line="240" w:lineRule="auto"/>
              <w:ind w:left="0" w:right="0" w:firstLine="0" w:firstLineChars="0"/>
              <w:jc w:val="left"/>
            </w:pPr>
            <w:r>
              <w:rPr>
                <w:rFonts w:ascii="宋体" w:hAnsi="宋体" w:eastAsia="宋体" w:cs="宋体"/>
                <w:b w:val="0"/>
                <w:bCs w:val="0"/>
                <w:color w:val="000000"/>
                <w:sz w:val="16"/>
                <w:szCs w:val="16"/>
              </w:rPr>
              <w:t>携带身份→03</w:t>
            </w:r>
          </w:p>
        </w:tc>
        <w:tc>
          <w:tcPr>
            <w:tcW w:w="2000" w:type="dxa"/>
            <w:shd w:val="clear" w:color="auto" w:fill="FFFFFF"/>
            <w:vAlign w:val="center"/>
          </w:tcPr>
          <w:p w14:paraId="0A191319">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P-ZLTC-AI-WLPHGY-102-03-001</w:t>
            </w:r>
          </w:p>
        </w:tc>
      </w:tr>
    </w:tbl>
    <w:p w14:paraId="7200001B">
      <w:pPr>
        <w:pStyle w:val="4"/>
        <w:snapToGrid w:val="0"/>
      </w:pPr>
      <w:bookmarkStart w:id="21" w:name="s3_2_9"/>
      <w:r>
        <w:rPr>
          <w:rFonts w:ascii="黑体" w:hAnsi="黑体" w:eastAsia="黑体" w:cs="黑体"/>
          <w:b/>
          <w:color w:val="000000"/>
        </w:rPr>
        <w:t>3.2.9　质量根因分析</w:t>
      </w:r>
      <w:bookmarkEnd w:id="21"/>
    </w:p>
    <w:p w14:paraId="720003DC">
      <w:pPr>
        <w:keepNext/>
        <w:keepLines/>
        <w:shd w:val="clear" w:fill="FFFFFF"/>
        <w:snapToGrid w:val="0"/>
        <w:spacing w:before="0" w:after="0" w:line="240" w:lineRule="auto"/>
        <w:ind w:left="1886" w:right="1886" w:firstLine="0" w:firstLineChars="0"/>
        <w:jc w:val="left"/>
      </w:pPr>
      <w:r>
        <w:rPr>
          <w:rFonts w:ascii="宋体" w:hAnsi="宋体" w:eastAsia="宋体" w:cs="宋体"/>
          <w:b/>
          <w:color w:val="000000"/>
          <w:sz w:val="17"/>
          <w:szCs w:val="17"/>
        </w:rPr>
        <w:t>流程编号及名称：P-ZLTC-AI-ZLGY-110  质量根因分析</w:t>
      </w:r>
    </w:p>
    <w:p w14:paraId="6C51EA52">
      <w:pPr>
        <w:pStyle w:val="12"/>
        <w:keepNext/>
        <w:snapToGrid w:val="0"/>
        <w:spacing w:before="0" w:after="0" w:line="240" w:lineRule="auto"/>
        <w:ind w:left="0" w:right="0" w:firstLine="0" w:firstLineChars="0"/>
        <w:jc w:val="center"/>
      </w:pPr>
      <w:r>
        <w:rPr>
          <w:rFonts w:ascii="宋体" w:hAnsi="宋体" w:eastAsia="宋体" w:cs="宋体"/>
          <w:kern w:val="0"/>
          <w:sz w:val="24"/>
          <w:szCs w:val="24"/>
          <w:lang w:val="en-US" w:eastAsia="zh-CN" w:bidi="ar"/>
        </w:rPr>
        <w:drawing>
          <wp:inline distT="0" distB="0" distL="114300" distR="114300">
            <wp:extent cx="3365500" cy="7366000"/>
            <wp:effectExtent l="0" t="0" r="9525" b="5080"/>
            <wp:docPr id="14" name="P-ZLTC-AI-ZLGY-110 质量根因分析" descr="P-ZLTC-AI-ZLGY-110 质量根因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ZLTC-AI-ZLGY-110 质量根因分析" descr="P-ZLTC-AI-ZLGY-110 质量根因分析"/>
                    <pic:cNvPicPr>
                      <a:picLocks noChangeAspect="1"/>
                    </pic:cNvPicPr>
                  </pic:nvPicPr>
                  <pic:blipFill>
                    <a:blip r:embed="rId20"/>
                    <a:srcRect t="2237"/>
                    <a:stretch>
                      <a:fillRect/>
                    </a:stretch>
                  </pic:blipFill>
                  <pic:spPr>
                    <a:xfrm>
                      <a:off x="0" y="0"/>
                      <a:ext cx="3365775" cy="7366000"/>
                    </a:xfrm>
                    <a:prstGeom prst="rect">
                      <a:avLst/>
                    </a:prstGeom>
                    <a:noFill/>
                    <a:ln w="9525">
                      <a:noFill/>
                    </a:ln>
                  </pic:spPr>
                </pic:pic>
              </a:graphicData>
            </a:graphic>
          </wp:inline>
        </w:drawing>
      </w:r>
    </w:p>
    <w:p w14:paraId="6355A7AE">
      <w:pPr>
        <w:pStyle w:val="15"/>
        <w:keepNext w:val="0"/>
        <w:snapToGrid w:val="0"/>
        <w:jc w:val="center"/>
      </w:pPr>
      <w:r>
        <w:t>图3-10　质量根因分析流程图</w:t>
      </w:r>
    </w:p>
    <w:p w14:paraId="4F727EC7">
      <w:pPr>
        <w:pStyle w:val="15"/>
        <w:keepNext/>
        <w:snapToGrid w:val="0"/>
        <w:jc w:val="center"/>
      </w:pPr>
      <w:r>
        <w:t>表3-10　质量根因分析流程说明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11B7DB5C">
        <w:trPr>
          <w:cantSplit/>
          <w:tblHeader/>
          <w:jc w:val="center"/>
        </w:trPr>
        <w:tc>
          <w:tcPr>
            <w:tcW w:w="650" w:type="dxa"/>
            <w:shd w:val="clear" w:color="auto" w:fill="FFFFFF"/>
            <w:vAlign w:val="center"/>
          </w:tcPr>
          <w:p w14:paraId="75D0C764">
            <w:pPr>
              <w:keepNext w:val="0"/>
              <w:keepLines/>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1E474A9F">
            <w:pPr>
              <w:keepNext w:val="0"/>
              <w:keepLines/>
              <w:spacing w:before="0" w:after="0" w:line="240" w:lineRule="auto"/>
              <w:ind w:left="0" w:right="0" w:firstLine="0" w:firstLineChars="0"/>
              <w:jc w:val="center"/>
            </w:pPr>
            <w:r>
              <w:rPr>
                <w:rFonts w:ascii="宋体" w:hAnsi="宋体" w:eastAsia="宋体" w:cs="宋体"/>
                <w:b/>
                <w:bCs/>
                <w:color w:val="000000"/>
                <w:sz w:val="16"/>
                <w:szCs w:val="16"/>
              </w:rPr>
              <w:t>步骤名称</w:t>
            </w:r>
          </w:p>
        </w:tc>
        <w:tc>
          <w:tcPr>
            <w:tcW w:w="950" w:type="dxa"/>
            <w:shd w:val="clear" w:color="auto" w:fill="FFFFFF"/>
            <w:vAlign w:val="center"/>
          </w:tcPr>
          <w:p w14:paraId="162555C1">
            <w:pPr>
              <w:keepNext w:val="0"/>
              <w:keepLines/>
              <w:spacing w:before="0" w:after="0" w:line="240" w:lineRule="auto"/>
              <w:ind w:left="0" w:right="0" w:firstLine="0" w:firstLineChars="0"/>
              <w:jc w:val="center"/>
            </w:pPr>
            <w:r>
              <w:rPr>
                <w:rFonts w:ascii="宋体" w:hAnsi="宋体" w:eastAsia="宋体" w:cs="宋体"/>
                <w:b/>
                <w:bCs/>
                <w:color w:val="000000"/>
                <w:sz w:val="16"/>
                <w:szCs w:val="16"/>
              </w:rPr>
              <w:t>所属角色</w:t>
            </w:r>
          </w:p>
        </w:tc>
        <w:tc>
          <w:tcPr>
            <w:tcW w:w="1350" w:type="dxa"/>
            <w:shd w:val="clear" w:color="auto" w:fill="FFFFFF"/>
            <w:vAlign w:val="center"/>
          </w:tcPr>
          <w:p w14:paraId="3BD3D5C7">
            <w:pPr>
              <w:keepNext w:val="0"/>
              <w:keepLines/>
              <w:spacing w:before="0" w:after="0" w:line="240" w:lineRule="auto"/>
              <w:ind w:left="0" w:right="0" w:firstLine="0" w:firstLineChars="0"/>
              <w:jc w:val="center"/>
            </w:pPr>
            <w:r>
              <w:rPr>
                <w:rFonts w:ascii="宋体" w:hAnsi="宋体" w:eastAsia="宋体" w:cs="宋体"/>
                <w:b/>
                <w:bCs/>
                <w:color w:val="000000"/>
                <w:sz w:val="16"/>
                <w:szCs w:val="16"/>
              </w:rPr>
              <w:t>触发条件</w:t>
            </w:r>
          </w:p>
        </w:tc>
        <w:tc>
          <w:tcPr>
            <w:tcW w:w="2000" w:type="dxa"/>
            <w:shd w:val="clear" w:color="auto" w:fill="FFFFFF"/>
            <w:vAlign w:val="center"/>
          </w:tcPr>
          <w:p w14:paraId="54A42B50">
            <w:pPr>
              <w:keepNext w:val="0"/>
              <w:keepLines/>
              <w:spacing w:before="0" w:after="0" w:line="240" w:lineRule="auto"/>
              <w:ind w:left="0" w:right="0" w:firstLine="0" w:firstLineChars="0"/>
              <w:jc w:val="center"/>
            </w:pPr>
            <w:r>
              <w:rPr>
                <w:rFonts w:ascii="宋体" w:hAnsi="宋体" w:eastAsia="宋体" w:cs="宋体"/>
                <w:b/>
                <w:bCs/>
                <w:color w:val="000000"/>
                <w:sz w:val="16"/>
                <w:szCs w:val="16"/>
              </w:rPr>
              <w:t>输入数据来源</w:t>
            </w:r>
          </w:p>
        </w:tc>
        <w:tc>
          <w:tcPr>
            <w:tcW w:w="1072" w:type="dxa"/>
            <w:shd w:val="clear" w:color="auto" w:fill="FFFFFF"/>
            <w:vAlign w:val="center"/>
          </w:tcPr>
          <w:p w14:paraId="24EFF98D">
            <w:pPr>
              <w:keepNext w:val="0"/>
              <w:keepLines/>
              <w:spacing w:before="0" w:after="0" w:line="240" w:lineRule="auto"/>
              <w:ind w:left="0" w:right="0" w:firstLine="0" w:firstLineChars="0"/>
              <w:jc w:val="center"/>
            </w:pPr>
            <w:r>
              <w:rPr>
                <w:rFonts w:ascii="宋体" w:hAnsi="宋体" w:eastAsia="宋体" w:cs="宋体"/>
                <w:b/>
                <w:bCs/>
                <w:color w:val="000000"/>
                <w:sz w:val="16"/>
                <w:szCs w:val="16"/>
              </w:rPr>
              <w:t>输出结果</w:t>
            </w:r>
          </w:p>
        </w:tc>
        <w:tc>
          <w:tcPr>
            <w:tcW w:w="2000" w:type="dxa"/>
            <w:shd w:val="clear" w:color="auto" w:fill="FFFFFF"/>
            <w:vAlign w:val="center"/>
          </w:tcPr>
          <w:p w14:paraId="28C49BA8">
            <w:pPr>
              <w:keepNext w:val="0"/>
              <w:keepLines/>
              <w:spacing w:before="0" w:after="0" w:line="240" w:lineRule="auto"/>
              <w:ind w:left="0" w:right="0" w:firstLine="0" w:firstLineChars="0"/>
              <w:jc w:val="center"/>
            </w:pPr>
            <w:r>
              <w:rPr>
                <w:rFonts w:ascii="宋体" w:hAnsi="宋体" w:eastAsia="宋体" w:cs="宋体"/>
                <w:b/>
                <w:bCs/>
                <w:color w:val="000000"/>
                <w:sz w:val="16"/>
                <w:szCs w:val="16"/>
              </w:rPr>
              <w:t>关联规则编号</w:t>
            </w:r>
          </w:p>
        </w:tc>
      </w:tr>
      <w:tr w14:paraId="70E635B1">
        <w:trPr>
          <w:cantSplit/>
          <w:jc w:val="center"/>
        </w:trPr>
        <w:tc>
          <w:tcPr>
            <w:tcW w:w="650" w:type="dxa"/>
            <w:shd w:val="clear" w:color="auto" w:fill="FFFFFF"/>
            <w:vAlign w:val="center"/>
          </w:tcPr>
          <w:p w14:paraId="6BBF6B30">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113BD63B">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监听质量异常事件</w:t>
            </w:r>
          </w:p>
        </w:tc>
        <w:tc>
          <w:tcPr>
            <w:tcW w:w="950" w:type="dxa"/>
            <w:shd w:val="clear" w:color="auto" w:fill="FFFFFF"/>
            <w:vAlign w:val="center"/>
          </w:tcPr>
          <w:p w14:paraId="06E79645">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质量根因分析系统</w:t>
            </w:r>
          </w:p>
        </w:tc>
        <w:tc>
          <w:tcPr>
            <w:tcW w:w="1350" w:type="dxa"/>
            <w:shd w:val="clear" w:color="auto" w:fill="FFFFFF"/>
            <w:vAlign w:val="center"/>
          </w:tcPr>
          <w:p w14:paraId="501F52D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质量偏离产生</w:t>
            </w:r>
          </w:p>
        </w:tc>
        <w:tc>
          <w:tcPr>
            <w:tcW w:w="2000" w:type="dxa"/>
            <w:shd w:val="clear" w:color="auto" w:fill="FFFFFF"/>
            <w:vAlign w:val="center"/>
          </w:tcPr>
          <w:p w14:paraId="3A5764A0">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DCS、LIMS、QMS（经 supOS 数据中台）</w:t>
            </w:r>
          </w:p>
        </w:tc>
        <w:tc>
          <w:tcPr>
            <w:tcW w:w="1072" w:type="dxa"/>
            <w:shd w:val="clear" w:color="auto" w:fill="FFFFFF"/>
            <w:vAlign w:val="center"/>
          </w:tcPr>
          <w:p w14:paraId="1A546785">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质量异常事件</w:t>
            </w:r>
          </w:p>
        </w:tc>
        <w:tc>
          <w:tcPr>
            <w:tcW w:w="2000" w:type="dxa"/>
            <w:shd w:val="clear" w:color="auto" w:fill="FFFFFF"/>
            <w:vAlign w:val="center"/>
          </w:tcPr>
          <w:p w14:paraId="093F3073">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R-ZL-001</w:t>
            </w:r>
          </w:p>
        </w:tc>
      </w:tr>
      <w:tr w14:paraId="48DA776D">
        <w:trPr>
          <w:cantSplit/>
          <w:jc w:val="center"/>
        </w:trPr>
        <w:tc>
          <w:tcPr>
            <w:tcW w:w="650" w:type="dxa"/>
            <w:shd w:val="clear" w:color="auto" w:fill="FFFFFF"/>
            <w:vAlign w:val="center"/>
          </w:tcPr>
          <w:p w14:paraId="2E6FE454">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35C75409">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加载质量知识图谱</w:t>
            </w:r>
          </w:p>
        </w:tc>
        <w:tc>
          <w:tcPr>
            <w:tcW w:w="950" w:type="dxa"/>
            <w:shd w:val="clear" w:color="auto" w:fill="FFFFFF"/>
            <w:vAlign w:val="center"/>
          </w:tcPr>
          <w:p w14:paraId="7F9E1BCE">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质量根因分析系统</w:t>
            </w:r>
          </w:p>
        </w:tc>
        <w:tc>
          <w:tcPr>
            <w:tcW w:w="1350" w:type="dxa"/>
            <w:shd w:val="clear" w:color="auto" w:fill="FFFFFF"/>
            <w:vAlign w:val="center"/>
          </w:tcPr>
          <w:p w14:paraId="2168FAE5">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任务单生成</w:t>
            </w:r>
          </w:p>
        </w:tc>
        <w:tc>
          <w:tcPr>
            <w:tcW w:w="2000" w:type="dxa"/>
            <w:shd w:val="clear" w:color="auto" w:fill="FFFFFF"/>
            <w:vAlign w:val="center"/>
          </w:tcPr>
          <w:p w14:paraId="498203A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质量知识图谱</w:t>
            </w:r>
          </w:p>
        </w:tc>
        <w:tc>
          <w:tcPr>
            <w:tcW w:w="1072" w:type="dxa"/>
            <w:shd w:val="clear" w:color="auto" w:fill="FFFFFF"/>
            <w:vAlign w:val="center"/>
          </w:tcPr>
          <w:p w14:paraId="79D3C384">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因果链路视图</w:t>
            </w:r>
          </w:p>
        </w:tc>
        <w:tc>
          <w:tcPr>
            <w:tcW w:w="2000" w:type="dxa"/>
            <w:shd w:val="clear" w:color="auto" w:fill="FFFFFF"/>
            <w:vAlign w:val="center"/>
          </w:tcPr>
          <w:p w14:paraId="3484972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R-ZL-002</w:t>
            </w:r>
          </w:p>
        </w:tc>
      </w:tr>
      <w:tr w14:paraId="112C2A30">
        <w:trPr>
          <w:cantSplit/>
          <w:jc w:val="center"/>
        </w:trPr>
        <w:tc>
          <w:tcPr>
            <w:tcW w:w="650" w:type="dxa"/>
            <w:shd w:val="clear" w:color="auto" w:fill="FFFFFF"/>
            <w:vAlign w:val="center"/>
          </w:tcPr>
          <w:p w14:paraId="67233C57">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032490B5">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多源数据汇聚</w:t>
            </w:r>
          </w:p>
        </w:tc>
        <w:tc>
          <w:tcPr>
            <w:tcW w:w="950" w:type="dxa"/>
            <w:shd w:val="clear" w:color="auto" w:fill="FFFFFF"/>
            <w:vAlign w:val="center"/>
          </w:tcPr>
          <w:p w14:paraId="3862AEA2">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质量根因分析系统</w:t>
            </w:r>
          </w:p>
        </w:tc>
        <w:tc>
          <w:tcPr>
            <w:tcW w:w="1350" w:type="dxa"/>
            <w:shd w:val="clear" w:color="auto" w:fill="FFFFFF"/>
            <w:vAlign w:val="center"/>
          </w:tcPr>
          <w:p w14:paraId="75296596">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图谱加载完成</w:t>
            </w:r>
          </w:p>
        </w:tc>
        <w:tc>
          <w:tcPr>
            <w:tcW w:w="2000" w:type="dxa"/>
            <w:shd w:val="clear" w:color="auto" w:fill="FFFFFF"/>
            <w:vAlign w:val="center"/>
          </w:tcPr>
          <w:p w14:paraId="04629867">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ab/>
            </w:r>
            <w:r>
              <w:rPr>
                <w:rFonts w:ascii="宋体" w:hAnsi="宋体" w:eastAsia="宋体" w:cs="宋体"/>
                <w:b w:val="0"/>
                <w:bCs w:val="0"/>
                <w:color w:val="000000"/>
                <w:sz w:val="16"/>
                <w:szCs w:val="16"/>
              </w:rPr>
              <w:t>DCS、在线检测仪表等实时/历史数据</w:t>
            </w:r>
          </w:p>
        </w:tc>
        <w:tc>
          <w:tcPr>
            <w:tcW w:w="1072" w:type="dxa"/>
            <w:shd w:val="clear" w:color="auto" w:fill="FFFFFF"/>
            <w:vAlign w:val="center"/>
          </w:tcPr>
          <w:p w14:paraId="19E038C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标准化证据数据集</w:t>
            </w:r>
          </w:p>
        </w:tc>
        <w:tc>
          <w:tcPr>
            <w:tcW w:w="2000" w:type="dxa"/>
            <w:shd w:val="clear" w:color="auto" w:fill="FFFFFF"/>
            <w:vAlign w:val="center"/>
          </w:tcPr>
          <w:p w14:paraId="33017C42">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R-ZL-002</w:t>
            </w:r>
          </w:p>
        </w:tc>
      </w:tr>
      <w:tr w14:paraId="79C51465">
        <w:trPr>
          <w:cantSplit/>
          <w:jc w:val="center"/>
        </w:trPr>
        <w:tc>
          <w:tcPr>
            <w:tcW w:w="650" w:type="dxa"/>
            <w:shd w:val="clear" w:color="auto" w:fill="FFFFFF"/>
            <w:vAlign w:val="center"/>
          </w:tcPr>
          <w:p w14:paraId="293752F9">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30598B45">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是否信号异常（决策）</w:t>
            </w:r>
          </w:p>
        </w:tc>
        <w:tc>
          <w:tcPr>
            <w:tcW w:w="950" w:type="dxa"/>
            <w:shd w:val="clear" w:color="auto" w:fill="FFFFFF"/>
            <w:vAlign w:val="center"/>
          </w:tcPr>
          <w:p w14:paraId="5323A289">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质量根因分析系统</w:t>
            </w:r>
          </w:p>
        </w:tc>
        <w:tc>
          <w:tcPr>
            <w:tcW w:w="1350" w:type="dxa"/>
            <w:shd w:val="clear" w:color="auto" w:fill="FFFFFF"/>
            <w:vAlign w:val="center"/>
          </w:tcPr>
          <w:p w14:paraId="735A217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验证完成</w:t>
            </w:r>
          </w:p>
        </w:tc>
        <w:tc>
          <w:tcPr>
            <w:tcW w:w="2000" w:type="dxa"/>
            <w:shd w:val="clear" w:color="auto" w:fill="FFFFFF"/>
            <w:vAlign w:val="center"/>
          </w:tcPr>
          <w:p w14:paraId="70A2A6D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无（完整度评估内置）</w:t>
            </w:r>
          </w:p>
        </w:tc>
        <w:tc>
          <w:tcPr>
            <w:tcW w:w="1072" w:type="dxa"/>
            <w:shd w:val="clear" w:color="auto" w:fill="FFFFFF"/>
            <w:vAlign w:val="center"/>
          </w:tcPr>
          <w:p w14:paraId="61A3E28B">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是→推送符合；否→真实异常诊断</w:t>
            </w:r>
          </w:p>
        </w:tc>
        <w:tc>
          <w:tcPr>
            <w:tcW w:w="2000" w:type="dxa"/>
            <w:shd w:val="clear" w:color="auto" w:fill="FFFFFF"/>
            <w:vAlign w:val="center"/>
          </w:tcPr>
          <w:p w14:paraId="3E6C6545">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R-ZL-003</w:t>
            </w:r>
          </w:p>
        </w:tc>
      </w:tr>
      <w:tr w14:paraId="4A056279">
        <w:trPr>
          <w:cantSplit/>
          <w:jc w:val="center"/>
        </w:trPr>
        <w:tc>
          <w:tcPr>
            <w:tcW w:w="650" w:type="dxa"/>
            <w:shd w:val="clear" w:color="auto" w:fill="FFFFFF"/>
            <w:vAlign w:val="center"/>
          </w:tcPr>
          <w:p w14:paraId="5464E273">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52BA339A">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标记仪表/通讯故障</w:t>
            </w:r>
          </w:p>
          <w:p w14:paraId="79819B5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推送人工复核</w:t>
            </w:r>
          </w:p>
        </w:tc>
        <w:tc>
          <w:tcPr>
            <w:tcW w:w="950" w:type="dxa"/>
            <w:shd w:val="clear" w:color="auto" w:fill="FFFFFF"/>
            <w:vAlign w:val="center"/>
          </w:tcPr>
          <w:p w14:paraId="51793823">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质量根因分析系统</w:t>
            </w:r>
          </w:p>
        </w:tc>
        <w:tc>
          <w:tcPr>
            <w:tcW w:w="1350" w:type="dxa"/>
            <w:shd w:val="clear" w:color="auto" w:fill="FFFFFF"/>
            <w:vAlign w:val="center"/>
          </w:tcPr>
          <w:p w14:paraId="296FFB4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决策结果为"是"</w:t>
            </w:r>
          </w:p>
        </w:tc>
        <w:tc>
          <w:tcPr>
            <w:tcW w:w="2000" w:type="dxa"/>
            <w:shd w:val="clear" w:color="auto" w:fill="FFFFFF"/>
            <w:vAlign w:val="center"/>
          </w:tcPr>
          <w:p w14:paraId="17E4AED5">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无（人工判断）</w:t>
            </w:r>
          </w:p>
        </w:tc>
        <w:tc>
          <w:tcPr>
            <w:tcW w:w="1072" w:type="dxa"/>
            <w:shd w:val="clear" w:color="auto" w:fill="FFFFFF"/>
            <w:vAlign w:val="center"/>
          </w:tcPr>
          <w:p w14:paraId="26AD3560">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人工复核信息推送</w:t>
            </w:r>
          </w:p>
        </w:tc>
        <w:tc>
          <w:tcPr>
            <w:tcW w:w="2000" w:type="dxa"/>
            <w:shd w:val="clear" w:color="auto" w:fill="FFFFFF"/>
            <w:vAlign w:val="center"/>
          </w:tcPr>
          <w:p w14:paraId="1F567B3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R-ZL-003</w:t>
            </w:r>
          </w:p>
        </w:tc>
      </w:tr>
      <w:tr w14:paraId="63FFBE51">
        <w:trPr>
          <w:cantSplit/>
          <w:jc w:val="center"/>
        </w:trPr>
        <w:tc>
          <w:tcPr>
            <w:tcW w:w="650" w:type="dxa"/>
            <w:shd w:val="clear" w:color="auto" w:fill="FFFFFF"/>
            <w:vAlign w:val="center"/>
          </w:tcPr>
          <w:p w14:paraId="6A8F89C5">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35AB456C">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执行根因诊断算法</w:t>
            </w:r>
          </w:p>
          <w:p w14:paraId="75F308FF">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输出根因、生成处置建议方案</w:t>
            </w:r>
          </w:p>
        </w:tc>
        <w:tc>
          <w:tcPr>
            <w:tcW w:w="950" w:type="dxa"/>
            <w:shd w:val="clear" w:color="auto" w:fill="FFFFFF"/>
            <w:vAlign w:val="center"/>
          </w:tcPr>
          <w:p w14:paraId="4F150B8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质量根因分析系统</w:t>
            </w:r>
          </w:p>
        </w:tc>
        <w:tc>
          <w:tcPr>
            <w:tcW w:w="1350" w:type="dxa"/>
            <w:shd w:val="clear" w:color="auto" w:fill="FFFFFF"/>
            <w:vAlign w:val="center"/>
          </w:tcPr>
          <w:p w14:paraId="3F8517A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决策结果为"否"</w:t>
            </w:r>
          </w:p>
        </w:tc>
        <w:tc>
          <w:tcPr>
            <w:tcW w:w="2000" w:type="dxa"/>
            <w:shd w:val="clear" w:color="auto" w:fill="FFFFFF"/>
            <w:vAlign w:val="center"/>
          </w:tcPr>
          <w:p w14:paraId="42A68CC2">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无（人工判断）</w:t>
            </w:r>
          </w:p>
        </w:tc>
        <w:tc>
          <w:tcPr>
            <w:tcW w:w="1072" w:type="dxa"/>
            <w:shd w:val="clear" w:color="auto" w:fill="FFFFFF"/>
            <w:vAlign w:val="center"/>
          </w:tcPr>
          <w:p w14:paraId="133E8CD5">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诊断结论</w:t>
            </w:r>
          </w:p>
        </w:tc>
        <w:tc>
          <w:tcPr>
            <w:tcW w:w="2000" w:type="dxa"/>
            <w:shd w:val="clear" w:color="auto" w:fill="FFFFFF"/>
            <w:vAlign w:val="center"/>
          </w:tcPr>
          <w:p w14:paraId="19784C6B">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R-ZL-003</w:t>
            </w:r>
          </w:p>
        </w:tc>
      </w:tr>
      <w:tr w14:paraId="62684E0A">
        <w:trPr>
          <w:cantSplit/>
          <w:jc w:val="center"/>
        </w:trPr>
        <w:tc>
          <w:tcPr>
            <w:tcW w:w="650" w:type="dxa"/>
            <w:shd w:val="clear" w:color="auto" w:fill="FFFFFF"/>
            <w:vAlign w:val="center"/>
          </w:tcPr>
          <w:p w14:paraId="4D05069F">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17E8A869">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复核与改进确认</w:t>
            </w:r>
          </w:p>
        </w:tc>
        <w:tc>
          <w:tcPr>
            <w:tcW w:w="950" w:type="dxa"/>
            <w:shd w:val="clear" w:color="auto" w:fill="FFFFFF"/>
            <w:vAlign w:val="center"/>
          </w:tcPr>
          <w:p w14:paraId="1ED135B2">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品控工程师 / 工艺工程师</w:t>
            </w:r>
          </w:p>
        </w:tc>
        <w:tc>
          <w:tcPr>
            <w:tcW w:w="1350" w:type="dxa"/>
            <w:shd w:val="clear" w:color="auto" w:fill="FFFFFF"/>
            <w:vAlign w:val="center"/>
          </w:tcPr>
          <w:p w14:paraId="3C8F962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接收归因报告</w:t>
            </w:r>
          </w:p>
        </w:tc>
        <w:tc>
          <w:tcPr>
            <w:tcW w:w="2000" w:type="dxa"/>
            <w:shd w:val="clear" w:color="auto" w:fill="FFFFFF"/>
            <w:vAlign w:val="center"/>
          </w:tcPr>
          <w:p w14:paraId="467F51F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无（报告内容评审）</w:t>
            </w:r>
          </w:p>
        </w:tc>
        <w:tc>
          <w:tcPr>
            <w:tcW w:w="1072" w:type="dxa"/>
            <w:shd w:val="clear" w:color="auto" w:fill="FFFFFF"/>
            <w:vAlign w:val="center"/>
          </w:tcPr>
          <w:p w14:paraId="0C974826">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复核结论 + 改进措施</w:t>
            </w:r>
          </w:p>
        </w:tc>
        <w:tc>
          <w:tcPr>
            <w:tcW w:w="2000" w:type="dxa"/>
            <w:shd w:val="clear" w:color="auto" w:fill="FFFFFF"/>
            <w:vAlign w:val="center"/>
          </w:tcPr>
          <w:p w14:paraId="4A522B3F">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R-ZL-002</w:t>
            </w:r>
          </w:p>
        </w:tc>
      </w:tr>
      <w:tr w14:paraId="49DA431C">
        <w:trPr>
          <w:cantSplit/>
          <w:jc w:val="center"/>
        </w:trPr>
        <w:tc>
          <w:tcPr>
            <w:tcW w:w="650" w:type="dxa"/>
            <w:shd w:val="clear" w:color="auto" w:fill="FFFFFF"/>
            <w:vAlign w:val="center"/>
          </w:tcPr>
          <w:p w14:paraId="280F2831">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08</w:t>
            </w:r>
          </w:p>
        </w:tc>
        <w:tc>
          <w:tcPr>
            <w:tcW w:w="1050" w:type="dxa"/>
            <w:shd w:val="clear" w:color="auto" w:fill="FFFFFF"/>
            <w:vAlign w:val="center"/>
          </w:tcPr>
          <w:p w14:paraId="241B2E6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是否采纳（决策）</w:t>
            </w:r>
          </w:p>
        </w:tc>
        <w:tc>
          <w:tcPr>
            <w:tcW w:w="950" w:type="dxa"/>
            <w:shd w:val="clear" w:color="auto" w:fill="FFFFFF"/>
            <w:vAlign w:val="center"/>
          </w:tcPr>
          <w:p w14:paraId="7A790914">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品控工程师 / 工艺工程师</w:t>
            </w:r>
          </w:p>
        </w:tc>
        <w:tc>
          <w:tcPr>
            <w:tcW w:w="1350" w:type="dxa"/>
            <w:shd w:val="clear" w:color="auto" w:fill="FFFFFF"/>
            <w:vAlign w:val="center"/>
          </w:tcPr>
          <w:p w14:paraId="54C35E94">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复核完成</w:t>
            </w:r>
          </w:p>
        </w:tc>
        <w:tc>
          <w:tcPr>
            <w:tcW w:w="2000" w:type="dxa"/>
            <w:shd w:val="clear" w:color="auto" w:fill="FFFFFF"/>
            <w:vAlign w:val="center"/>
          </w:tcPr>
          <w:p w14:paraId="58E4851E">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无（人工判断）</w:t>
            </w:r>
          </w:p>
        </w:tc>
        <w:tc>
          <w:tcPr>
            <w:tcW w:w="1072" w:type="dxa"/>
            <w:shd w:val="clear" w:color="auto" w:fill="FFFFFF"/>
            <w:vAlign w:val="center"/>
          </w:tcPr>
          <w:p w14:paraId="732717F7">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是→沉淀归档；否→再次推送执行诊断</w:t>
            </w:r>
          </w:p>
        </w:tc>
        <w:tc>
          <w:tcPr>
            <w:tcW w:w="2000" w:type="dxa"/>
            <w:shd w:val="clear" w:color="auto" w:fill="FFFFFF"/>
            <w:vAlign w:val="center"/>
          </w:tcPr>
          <w:p w14:paraId="00304483">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R-ZL-004</w:t>
            </w:r>
          </w:p>
        </w:tc>
      </w:tr>
      <w:tr w14:paraId="2D5ECA57">
        <w:trPr>
          <w:cantSplit/>
          <w:jc w:val="center"/>
        </w:trPr>
        <w:tc>
          <w:tcPr>
            <w:tcW w:w="650" w:type="dxa"/>
            <w:shd w:val="clear" w:color="auto" w:fill="FFFFFF"/>
            <w:vAlign w:val="center"/>
          </w:tcPr>
          <w:p w14:paraId="61500D15">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09</w:t>
            </w:r>
          </w:p>
        </w:tc>
        <w:tc>
          <w:tcPr>
            <w:tcW w:w="1050" w:type="dxa"/>
            <w:shd w:val="clear" w:color="auto" w:fill="FFFFFF"/>
            <w:vAlign w:val="center"/>
          </w:tcPr>
          <w:p w14:paraId="42A63861">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否认结论</w:t>
            </w:r>
          </w:p>
          <w:p w14:paraId="0D61F643">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更新操作触发算法重新诊断</w:t>
            </w:r>
          </w:p>
        </w:tc>
        <w:tc>
          <w:tcPr>
            <w:tcW w:w="950" w:type="dxa"/>
            <w:shd w:val="clear" w:color="auto" w:fill="FFFFFF"/>
            <w:vAlign w:val="center"/>
          </w:tcPr>
          <w:p w14:paraId="6F38A369">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品控工程师 / 工艺工程师</w:t>
            </w:r>
          </w:p>
        </w:tc>
        <w:tc>
          <w:tcPr>
            <w:tcW w:w="1350" w:type="dxa"/>
            <w:shd w:val="clear" w:color="auto" w:fill="FFFFFF"/>
            <w:vAlign w:val="center"/>
          </w:tcPr>
          <w:p w14:paraId="33BCC23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决策结果为"否"</w:t>
            </w:r>
          </w:p>
        </w:tc>
        <w:tc>
          <w:tcPr>
            <w:tcW w:w="2000" w:type="dxa"/>
            <w:shd w:val="clear" w:color="auto" w:fill="FFFFFF"/>
            <w:vAlign w:val="center"/>
          </w:tcPr>
          <w:p w14:paraId="6D2DD5EB">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无（人工判断）</w:t>
            </w:r>
          </w:p>
        </w:tc>
        <w:tc>
          <w:tcPr>
            <w:tcW w:w="1072" w:type="dxa"/>
            <w:shd w:val="clear" w:color="auto" w:fill="FFFFFF"/>
            <w:vAlign w:val="center"/>
          </w:tcPr>
          <w:p w14:paraId="567FD963">
            <w:pPr>
              <w:keepNext w:val="0"/>
              <w:keepLines/>
              <w:spacing w:before="0" w:after="0" w:line="240" w:lineRule="auto"/>
              <w:ind w:left="0" w:right="0" w:firstLine="0" w:firstLineChars="0"/>
              <w:jc w:val="left"/>
            </w:pPr>
          </w:p>
        </w:tc>
        <w:tc>
          <w:tcPr>
            <w:tcW w:w="2000" w:type="dxa"/>
            <w:shd w:val="clear" w:color="auto" w:fill="FFFFFF"/>
            <w:vAlign w:val="center"/>
          </w:tcPr>
          <w:p w14:paraId="7DA7D78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R-ZL-005</w:t>
            </w:r>
          </w:p>
        </w:tc>
      </w:tr>
      <w:tr w14:paraId="4076B02E">
        <w:trPr>
          <w:cantSplit/>
          <w:jc w:val="center"/>
        </w:trPr>
        <w:tc>
          <w:tcPr>
            <w:tcW w:w="650" w:type="dxa"/>
            <w:shd w:val="clear" w:color="auto" w:fill="FFFFFF"/>
            <w:vAlign w:val="center"/>
          </w:tcPr>
          <w:p w14:paraId="35A76BFC">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10</w:t>
            </w:r>
          </w:p>
        </w:tc>
        <w:tc>
          <w:tcPr>
            <w:tcW w:w="1050" w:type="dxa"/>
            <w:shd w:val="clear" w:color="auto" w:fill="FFFFFF"/>
            <w:vAlign w:val="center"/>
          </w:tcPr>
          <w:p w14:paraId="7D151394">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确认（并执行）处置</w:t>
            </w:r>
          </w:p>
        </w:tc>
        <w:tc>
          <w:tcPr>
            <w:tcW w:w="950" w:type="dxa"/>
            <w:shd w:val="clear" w:color="auto" w:fill="FFFFFF"/>
            <w:vAlign w:val="center"/>
          </w:tcPr>
          <w:p w14:paraId="02C55174">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品控工程师 / 工艺工程师</w:t>
            </w:r>
          </w:p>
        </w:tc>
        <w:tc>
          <w:tcPr>
            <w:tcW w:w="1350" w:type="dxa"/>
            <w:shd w:val="clear" w:color="auto" w:fill="FFFFFF"/>
            <w:vAlign w:val="center"/>
          </w:tcPr>
          <w:p w14:paraId="0D475DFB">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决策结果为"是"</w:t>
            </w:r>
          </w:p>
        </w:tc>
        <w:tc>
          <w:tcPr>
            <w:tcW w:w="2000" w:type="dxa"/>
            <w:shd w:val="clear" w:color="auto" w:fill="FFFFFF"/>
            <w:vAlign w:val="center"/>
          </w:tcPr>
          <w:p w14:paraId="5B5ACE8B">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无（人工判断）</w:t>
            </w:r>
          </w:p>
        </w:tc>
        <w:tc>
          <w:tcPr>
            <w:tcW w:w="1072" w:type="dxa"/>
            <w:shd w:val="clear" w:color="auto" w:fill="FFFFFF"/>
            <w:vAlign w:val="center"/>
          </w:tcPr>
          <w:p w14:paraId="0B15B79B">
            <w:pPr>
              <w:keepNext w:val="0"/>
              <w:keepLines/>
              <w:spacing w:before="0" w:after="0" w:line="240" w:lineRule="auto"/>
              <w:ind w:left="0" w:right="0" w:firstLine="0" w:firstLineChars="0"/>
              <w:jc w:val="left"/>
            </w:pPr>
          </w:p>
        </w:tc>
        <w:tc>
          <w:tcPr>
            <w:tcW w:w="2000" w:type="dxa"/>
            <w:shd w:val="clear" w:color="auto" w:fill="FFFFFF"/>
            <w:vAlign w:val="center"/>
          </w:tcPr>
          <w:p w14:paraId="50228D7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R-ZL-006</w:t>
            </w:r>
          </w:p>
        </w:tc>
      </w:tr>
      <w:tr w14:paraId="09F88FA3">
        <w:trPr>
          <w:cantSplit/>
          <w:jc w:val="center"/>
        </w:trPr>
        <w:tc>
          <w:tcPr>
            <w:tcW w:w="650" w:type="dxa"/>
            <w:shd w:val="clear" w:color="auto" w:fill="FFFFFF"/>
            <w:vAlign w:val="center"/>
          </w:tcPr>
          <w:p w14:paraId="00AFC1D7">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11</w:t>
            </w:r>
          </w:p>
        </w:tc>
        <w:tc>
          <w:tcPr>
            <w:tcW w:w="1050" w:type="dxa"/>
            <w:shd w:val="clear" w:color="auto" w:fill="FFFFFF"/>
            <w:vAlign w:val="center"/>
          </w:tcPr>
          <w:p w14:paraId="29EC9440">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沉淀为质量改进案例</w:t>
            </w:r>
          </w:p>
        </w:tc>
        <w:tc>
          <w:tcPr>
            <w:tcW w:w="950" w:type="dxa"/>
            <w:shd w:val="clear" w:color="auto" w:fill="FFFFFF"/>
            <w:vAlign w:val="center"/>
          </w:tcPr>
          <w:p w14:paraId="6D937CB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质量根因分析系统</w:t>
            </w:r>
          </w:p>
        </w:tc>
        <w:tc>
          <w:tcPr>
            <w:tcW w:w="1350" w:type="dxa"/>
            <w:shd w:val="clear" w:color="auto" w:fill="FFFFFF"/>
            <w:vAlign w:val="center"/>
          </w:tcPr>
          <w:p w14:paraId="3D0E7F4E">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执行完成</w:t>
            </w:r>
          </w:p>
        </w:tc>
        <w:tc>
          <w:tcPr>
            <w:tcW w:w="2000" w:type="dxa"/>
            <w:shd w:val="clear" w:color="auto" w:fill="FFFFFF"/>
            <w:vAlign w:val="center"/>
          </w:tcPr>
          <w:p w14:paraId="6EB7108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无（归因报告内部沉淀）</w:t>
            </w:r>
          </w:p>
        </w:tc>
        <w:tc>
          <w:tcPr>
            <w:tcW w:w="1072" w:type="dxa"/>
            <w:shd w:val="clear" w:color="auto" w:fill="FFFFFF"/>
            <w:vAlign w:val="center"/>
          </w:tcPr>
          <w:p w14:paraId="2F44CFC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案例入库 + 图谱权重更新</w:t>
            </w:r>
          </w:p>
        </w:tc>
        <w:tc>
          <w:tcPr>
            <w:tcW w:w="2000" w:type="dxa"/>
            <w:shd w:val="clear" w:color="auto" w:fill="FFFFFF"/>
            <w:vAlign w:val="center"/>
          </w:tcPr>
          <w:p w14:paraId="23F1316F">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R-ZL-006</w:t>
            </w:r>
          </w:p>
        </w:tc>
      </w:tr>
      <w:tr w14:paraId="2913CC57">
        <w:trPr>
          <w:cantSplit/>
          <w:jc w:val="center"/>
        </w:trPr>
        <w:tc>
          <w:tcPr>
            <w:tcW w:w="650" w:type="dxa"/>
            <w:shd w:val="clear" w:color="auto" w:fill="FFFFFF"/>
            <w:vAlign w:val="center"/>
          </w:tcPr>
          <w:p w14:paraId="4877D396">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12</w:t>
            </w:r>
          </w:p>
        </w:tc>
        <w:tc>
          <w:tcPr>
            <w:tcW w:w="1050" w:type="dxa"/>
            <w:shd w:val="clear" w:color="auto" w:fill="FFFFFF"/>
            <w:vAlign w:val="center"/>
          </w:tcPr>
          <w:p w14:paraId="4F17017B">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同步更新交接班记录</w:t>
            </w:r>
          </w:p>
        </w:tc>
        <w:tc>
          <w:tcPr>
            <w:tcW w:w="950" w:type="dxa"/>
            <w:shd w:val="clear" w:color="auto" w:fill="FFFFFF"/>
            <w:vAlign w:val="center"/>
          </w:tcPr>
          <w:p w14:paraId="6E4F954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质量根因分析系统</w:t>
            </w:r>
          </w:p>
        </w:tc>
        <w:tc>
          <w:tcPr>
            <w:tcW w:w="1350" w:type="dxa"/>
            <w:shd w:val="clear" w:color="auto" w:fill="FFFFFF"/>
            <w:vAlign w:val="center"/>
          </w:tcPr>
          <w:p w14:paraId="57C4A22F">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归档完成</w:t>
            </w:r>
          </w:p>
        </w:tc>
        <w:tc>
          <w:tcPr>
            <w:tcW w:w="2000" w:type="dxa"/>
            <w:shd w:val="clear" w:color="auto" w:fill="FFFFFF"/>
            <w:vAlign w:val="center"/>
          </w:tcPr>
          <w:p w14:paraId="051AE1FF">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无（归因报告内部沉淀）</w:t>
            </w:r>
          </w:p>
        </w:tc>
        <w:tc>
          <w:tcPr>
            <w:tcW w:w="1072" w:type="dxa"/>
            <w:shd w:val="clear" w:color="auto" w:fill="FFFFFF"/>
            <w:vAlign w:val="center"/>
          </w:tcPr>
          <w:p w14:paraId="2BABE0D2">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更新交接班记录</w:t>
            </w:r>
          </w:p>
        </w:tc>
        <w:tc>
          <w:tcPr>
            <w:tcW w:w="2000" w:type="dxa"/>
            <w:shd w:val="clear" w:color="auto" w:fill="FFFFFF"/>
            <w:vAlign w:val="center"/>
          </w:tcPr>
          <w:p w14:paraId="6D534D66">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R-ZL-006</w:t>
            </w:r>
          </w:p>
        </w:tc>
      </w:tr>
    </w:tbl>
    <w:p w14:paraId="72000016">
      <w:pPr>
        <w:pStyle w:val="3"/>
        <w:snapToGrid w:val="0"/>
      </w:pPr>
      <w:bookmarkStart w:id="22" w:name="s3_3"/>
      <w:r>
        <w:rPr>
          <w:rFonts w:ascii="黑体" w:hAnsi="黑体" w:eastAsia="黑体" w:cs="黑体"/>
          <w:b/>
          <w:color w:val="000000"/>
        </w:rPr>
        <w:t>3.3　结果应用与优化类</w:t>
      </w:r>
      <w:bookmarkEnd w:id="22"/>
    </w:p>
    <w:p w14:paraId="72000017">
      <w:pPr>
        <w:pStyle w:val="4"/>
        <w:snapToGrid w:val="0"/>
      </w:pPr>
      <w:bookmarkStart w:id="23" w:name="s3_3_1"/>
      <w:r>
        <w:rPr>
          <w:rFonts w:ascii="黑体" w:hAnsi="黑体" w:eastAsia="黑体" w:cs="黑体"/>
          <w:b/>
          <w:color w:val="000000"/>
        </w:rPr>
        <w:t>3.3.1　供应链优化与协同系统结果输出</w:t>
      </w:r>
      <w:bookmarkEnd w:id="23"/>
    </w:p>
    <w:p w14:paraId="0A59843F">
      <w:pPr>
        <w:pStyle w:val="12"/>
        <w:keepNext/>
        <w:snapToGrid w:val="0"/>
        <w:spacing w:before="0" w:after="40" w:line="240" w:lineRule="auto"/>
        <w:ind w:left="0" w:right="0" w:firstLine="0" w:firstLineChars="0"/>
        <w:jc w:val="center"/>
      </w:pPr>
      <w:r>
        <w:drawing>
          <wp:inline distT="0" distB="0" distL="0" distR="0">
            <wp:extent cx="5759450" cy="3937635"/>
            <wp:effectExtent l="0" t="0" r="0" b="0"/>
            <wp:docPr id="12" name="P-ZLTC-AI-GYLJGSC-111 供应链优化与协同系统结果输出业务流程" descr="P-ZLTC-AI-GYLJGSC-111 供应链优化与协同系统结果输出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ZLTC-AI-GYLJGSC-111 供应链优化与协同系统结果输出业务流程" descr="P-ZLTC-AI-GYLJGSC-111 供应链优化与协同系统结果输出业务流程"/>
                    <pic:cNvPicPr>
                      <a:picLocks noChangeAspect="1"/>
                    </pic:cNvPicPr>
                  </pic:nvPicPr>
                  <pic:blipFill>
                    <a:blip r:embed="rId21"/>
                    <a:stretch>
                      <a:fillRect/>
                    </a:stretch>
                  </pic:blipFill>
                  <pic:spPr>
                    <a:xfrm>
                      <a:off x="0" y="0"/>
                      <a:ext cx="5759450" cy="3938024"/>
                    </a:xfrm>
                    <a:prstGeom prst="rect">
                      <a:avLst/>
                    </a:prstGeom>
                  </pic:spPr>
                </pic:pic>
              </a:graphicData>
            </a:graphic>
          </wp:inline>
        </w:drawing>
      </w:r>
    </w:p>
    <w:p w14:paraId="6C09D65C">
      <w:pPr>
        <w:pStyle w:val="15"/>
        <w:keepNext w:val="0"/>
        <w:snapToGrid w:val="0"/>
        <w:jc w:val="center"/>
      </w:pPr>
      <w:r>
        <w:t>图3-11　供应链优化与协同系统结果输出业务流程图</w:t>
      </w:r>
    </w:p>
    <w:p w14:paraId="230B3B71">
      <w:pPr>
        <w:pStyle w:val="15"/>
        <w:keepNext/>
        <w:snapToGrid w:val="0"/>
        <w:jc w:val="center"/>
      </w:pPr>
      <w:r>
        <w:t>表3-11　供应链优化与协同系统结果输出业务流程说明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69064652">
        <w:trPr>
          <w:cantSplit/>
          <w:tblHeader/>
          <w:jc w:val="center"/>
        </w:trPr>
        <w:tc>
          <w:tcPr>
            <w:tcW w:w="650" w:type="dxa"/>
            <w:shd w:val="clear" w:color="auto" w:fill="FFFFFF"/>
            <w:vAlign w:val="center"/>
          </w:tcPr>
          <w:p w14:paraId="12147257">
            <w:pPr>
              <w:keepNext/>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40EF9D53">
            <w:pPr>
              <w:keepNext/>
              <w:spacing w:before="0" w:after="0" w:line="240" w:lineRule="auto"/>
              <w:ind w:left="0" w:right="0" w:firstLine="0" w:firstLineChars="0"/>
              <w:jc w:val="center"/>
            </w:pPr>
            <w:r>
              <w:rPr>
                <w:rFonts w:ascii="宋体" w:hAnsi="宋体" w:eastAsia="宋体" w:cs="宋体"/>
                <w:b/>
                <w:bCs/>
                <w:color w:val="000000"/>
                <w:sz w:val="16"/>
                <w:szCs w:val="16"/>
              </w:rPr>
              <w:t>节点名称</w:t>
            </w:r>
          </w:p>
        </w:tc>
        <w:tc>
          <w:tcPr>
            <w:tcW w:w="950" w:type="dxa"/>
            <w:shd w:val="clear" w:color="auto" w:fill="FFFFFF"/>
            <w:vAlign w:val="center"/>
          </w:tcPr>
          <w:p w14:paraId="36148BB0">
            <w:pPr>
              <w:keepNext/>
              <w:spacing w:before="0" w:after="0" w:line="240" w:lineRule="auto"/>
              <w:ind w:left="0" w:right="0" w:firstLine="0" w:firstLineChars="0"/>
              <w:jc w:val="center"/>
            </w:pPr>
            <w:r>
              <w:rPr>
                <w:rFonts w:ascii="宋体" w:hAnsi="宋体" w:eastAsia="宋体" w:cs="宋体"/>
                <w:b/>
                <w:bCs/>
                <w:color w:val="000000"/>
                <w:sz w:val="16"/>
                <w:szCs w:val="16"/>
              </w:rPr>
              <w:t>责任节点</w:t>
            </w:r>
          </w:p>
        </w:tc>
        <w:tc>
          <w:tcPr>
            <w:tcW w:w="1350" w:type="dxa"/>
            <w:shd w:val="clear" w:color="auto" w:fill="FFFFFF"/>
            <w:vAlign w:val="center"/>
          </w:tcPr>
          <w:p w14:paraId="6CA369E9">
            <w:pPr>
              <w:keepNext/>
              <w:spacing w:before="0" w:after="0" w:line="240" w:lineRule="auto"/>
              <w:ind w:left="0" w:right="0" w:firstLine="0" w:firstLineChars="0"/>
              <w:jc w:val="center"/>
            </w:pPr>
            <w:r>
              <w:rPr>
                <w:rFonts w:ascii="宋体" w:hAnsi="宋体" w:eastAsia="宋体" w:cs="宋体"/>
                <w:b/>
                <w:bCs/>
                <w:color w:val="000000"/>
                <w:sz w:val="16"/>
                <w:szCs w:val="16"/>
              </w:rPr>
              <w:t>输入/输出</w:t>
            </w:r>
          </w:p>
        </w:tc>
        <w:tc>
          <w:tcPr>
            <w:tcW w:w="2000" w:type="dxa"/>
            <w:shd w:val="clear" w:color="auto" w:fill="FFFFFF"/>
            <w:vAlign w:val="center"/>
          </w:tcPr>
          <w:p w14:paraId="4D0CCE05">
            <w:pPr>
              <w:keepNext/>
              <w:spacing w:before="0" w:after="0" w:line="240" w:lineRule="auto"/>
              <w:ind w:left="0" w:right="0" w:firstLine="0" w:firstLineChars="0"/>
              <w:jc w:val="center"/>
            </w:pPr>
            <w:r>
              <w:rPr>
                <w:rFonts w:ascii="宋体" w:hAnsi="宋体" w:eastAsia="宋体" w:cs="宋体"/>
                <w:b/>
                <w:bCs/>
                <w:color w:val="000000"/>
                <w:sz w:val="16"/>
                <w:szCs w:val="16"/>
              </w:rPr>
              <w:t>处理说明</w:t>
            </w:r>
          </w:p>
        </w:tc>
        <w:tc>
          <w:tcPr>
            <w:tcW w:w="1072" w:type="dxa"/>
            <w:shd w:val="clear" w:color="auto" w:fill="FFFFFF"/>
            <w:vAlign w:val="center"/>
          </w:tcPr>
          <w:p w14:paraId="45D52273">
            <w:pPr>
              <w:keepNext/>
              <w:spacing w:before="0" w:after="0" w:line="240" w:lineRule="auto"/>
              <w:ind w:left="0" w:right="0" w:firstLine="0" w:firstLineChars="0"/>
              <w:jc w:val="center"/>
            </w:pPr>
            <w:r>
              <w:rPr>
                <w:rFonts w:ascii="宋体" w:hAnsi="宋体" w:eastAsia="宋体" w:cs="宋体"/>
                <w:b/>
                <w:bCs/>
                <w:color w:val="000000"/>
                <w:sz w:val="16"/>
                <w:szCs w:val="16"/>
              </w:rPr>
              <w:t>异常/分支</w:t>
            </w:r>
          </w:p>
        </w:tc>
        <w:tc>
          <w:tcPr>
            <w:tcW w:w="2000" w:type="dxa"/>
            <w:shd w:val="clear" w:color="auto" w:fill="FFFFFF"/>
            <w:vAlign w:val="center"/>
          </w:tcPr>
          <w:p w14:paraId="653490C0">
            <w:pPr>
              <w:keepNext/>
              <w:spacing w:before="0" w:after="0" w:line="240" w:lineRule="auto"/>
              <w:ind w:left="0" w:right="0" w:firstLine="0" w:firstLineChars="0"/>
              <w:jc w:val="center"/>
            </w:pPr>
            <w:r>
              <w:rPr>
                <w:rFonts w:ascii="宋体" w:hAnsi="宋体" w:eastAsia="宋体" w:cs="宋体"/>
                <w:b/>
                <w:bCs/>
                <w:color w:val="000000"/>
                <w:sz w:val="16"/>
                <w:szCs w:val="16"/>
              </w:rPr>
              <w:t>关联规则</w:t>
            </w:r>
          </w:p>
        </w:tc>
      </w:tr>
      <w:tr w14:paraId="6D7E0EC2">
        <w:trPr>
          <w:cantSplit/>
          <w:jc w:val="center"/>
        </w:trPr>
        <w:tc>
          <w:tcPr>
            <w:tcW w:w="650" w:type="dxa"/>
            <w:shd w:val="clear" w:color="auto" w:fill="FFFFFF"/>
            <w:vAlign w:val="center"/>
          </w:tcPr>
          <w:p w14:paraId="306919BC">
            <w:pPr>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4FAD04CC">
            <w:pPr>
              <w:spacing w:before="0" w:after="0" w:line="240" w:lineRule="auto"/>
              <w:ind w:left="0" w:right="0" w:firstLine="0" w:firstLineChars="0"/>
              <w:jc w:val="center"/>
            </w:pPr>
            <w:r>
              <w:rPr>
                <w:rFonts w:ascii="宋体" w:hAnsi="宋体" w:eastAsia="宋体" w:cs="宋体"/>
                <w:b w:val="0"/>
                <w:bCs w:val="0"/>
                <w:color w:val="000000"/>
                <w:sz w:val="16"/>
                <w:szCs w:val="16"/>
              </w:rPr>
              <w:t>提出结果查询或参数追问</w:t>
            </w:r>
          </w:p>
        </w:tc>
        <w:tc>
          <w:tcPr>
            <w:tcW w:w="950" w:type="dxa"/>
            <w:shd w:val="clear" w:color="auto" w:fill="FFFFFF"/>
            <w:vAlign w:val="center"/>
          </w:tcPr>
          <w:p w14:paraId="68A5BE03">
            <w:pPr>
              <w:spacing w:before="0" w:after="0" w:line="240" w:lineRule="auto"/>
              <w:ind w:left="0" w:right="0" w:firstLine="0" w:firstLineChars="0"/>
              <w:jc w:val="center"/>
            </w:pPr>
            <w:r>
              <w:rPr>
                <w:rFonts w:ascii="宋体" w:hAnsi="宋体" w:eastAsia="宋体" w:cs="宋体"/>
                <w:b w:val="0"/>
                <w:bCs w:val="0"/>
                <w:color w:val="000000"/>
                <w:sz w:val="16"/>
                <w:szCs w:val="16"/>
              </w:rPr>
              <w:t>用户</w:t>
            </w:r>
          </w:p>
        </w:tc>
        <w:tc>
          <w:tcPr>
            <w:tcW w:w="1350" w:type="dxa"/>
            <w:shd w:val="clear" w:color="auto" w:fill="FFFFFF"/>
            <w:vAlign w:val="center"/>
          </w:tcPr>
          <w:p w14:paraId="10E6FBE5">
            <w:pPr>
              <w:spacing w:before="0" w:after="0" w:line="240" w:lineRule="auto"/>
              <w:ind w:left="0" w:right="0" w:firstLine="0" w:firstLineChars="0"/>
              <w:jc w:val="left"/>
            </w:pPr>
            <w:r>
              <w:rPr>
                <w:rFonts w:ascii="宋体" w:hAnsi="宋体" w:eastAsia="宋体" w:cs="宋体"/>
                <w:b w:val="0"/>
                <w:bCs w:val="0"/>
                <w:color w:val="000000"/>
                <w:sz w:val="16"/>
                <w:szCs w:val="16"/>
              </w:rPr>
              <w:t>输入：问题及参数</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输出：查询请求</w:t>
            </w:r>
          </w:p>
        </w:tc>
        <w:tc>
          <w:tcPr>
            <w:tcW w:w="2000" w:type="dxa"/>
            <w:shd w:val="clear" w:color="auto" w:fill="FFFFFF"/>
            <w:vAlign w:val="center"/>
          </w:tcPr>
          <w:p w14:paraId="6630F304">
            <w:pPr>
              <w:spacing w:before="0" w:after="0" w:line="240" w:lineRule="auto"/>
              <w:ind w:left="0" w:right="0" w:firstLine="0" w:firstLineChars="0"/>
              <w:jc w:val="left"/>
            </w:pPr>
            <w:r>
              <w:rPr>
                <w:rFonts w:ascii="宋体" w:hAnsi="宋体" w:eastAsia="宋体" w:cs="宋体"/>
                <w:b w:val="0"/>
                <w:bCs w:val="0"/>
                <w:color w:val="000000"/>
                <w:sz w:val="16"/>
                <w:szCs w:val="16"/>
              </w:rPr>
              <w:t>用户查询SCOS已形成的供应链分析结果，或围绕参数继续追问。</w:t>
            </w:r>
          </w:p>
        </w:tc>
        <w:tc>
          <w:tcPr>
            <w:tcW w:w="1072" w:type="dxa"/>
            <w:shd w:val="clear" w:color="auto" w:fill="FFFFFF"/>
            <w:vAlign w:val="center"/>
          </w:tcPr>
          <w:p w14:paraId="105C50AA">
            <w:pPr>
              <w:spacing w:before="0" w:after="0" w:line="240" w:lineRule="auto"/>
              <w:ind w:left="0" w:right="0" w:firstLine="0" w:firstLineChars="0"/>
              <w:jc w:val="left"/>
            </w:pPr>
            <w:r>
              <w:rPr>
                <w:rFonts w:ascii="宋体" w:hAnsi="宋体" w:eastAsia="宋体" w:cs="宋体"/>
                <w:b w:val="0"/>
                <w:bCs w:val="0"/>
                <w:color w:val="000000"/>
                <w:sz w:val="16"/>
                <w:szCs w:val="16"/>
              </w:rPr>
              <w:t>→02</w:t>
            </w:r>
          </w:p>
        </w:tc>
        <w:tc>
          <w:tcPr>
            <w:tcW w:w="2000" w:type="dxa"/>
            <w:shd w:val="clear" w:color="auto" w:fill="FFFFFF"/>
            <w:vAlign w:val="center"/>
          </w:tcPr>
          <w:p w14:paraId="3AABF9BF">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4B4F6524">
        <w:trPr>
          <w:cantSplit/>
          <w:jc w:val="center"/>
        </w:trPr>
        <w:tc>
          <w:tcPr>
            <w:tcW w:w="650" w:type="dxa"/>
            <w:shd w:val="clear" w:color="auto" w:fill="FFFFFF"/>
            <w:vAlign w:val="center"/>
          </w:tcPr>
          <w:p w14:paraId="7171CAFF">
            <w:pPr>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714B5576">
            <w:pPr>
              <w:spacing w:before="0" w:after="0" w:line="240" w:lineRule="auto"/>
              <w:ind w:left="0" w:right="0" w:firstLine="0" w:firstLineChars="0"/>
              <w:jc w:val="center"/>
            </w:pPr>
            <w:r>
              <w:rPr>
                <w:rFonts w:ascii="宋体" w:hAnsi="宋体" w:eastAsia="宋体" w:cs="宋体"/>
                <w:b w:val="0"/>
                <w:bCs w:val="0"/>
                <w:color w:val="000000"/>
                <w:sz w:val="16"/>
                <w:szCs w:val="16"/>
              </w:rPr>
              <w:t>确认对象与结果类别</w:t>
            </w:r>
          </w:p>
        </w:tc>
        <w:tc>
          <w:tcPr>
            <w:tcW w:w="950" w:type="dxa"/>
            <w:shd w:val="clear" w:color="auto" w:fill="FFFFFF"/>
            <w:vAlign w:val="center"/>
          </w:tcPr>
          <w:p w14:paraId="7C0E8DC7">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3EF7E090">
            <w:pPr>
              <w:spacing w:before="0" w:after="0" w:line="240" w:lineRule="auto"/>
              <w:ind w:left="0" w:right="0" w:firstLine="0" w:firstLineChars="0"/>
              <w:jc w:val="left"/>
            </w:pPr>
            <w:r>
              <w:rPr>
                <w:rFonts w:ascii="宋体" w:hAnsi="宋体" w:eastAsia="宋体" w:cs="宋体"/>
                <w:b w:val="0"/>
                <w:bCs w:val="0"/>
                <w:color w:val="000000"/>
                <w:sz w:val="16"/>
                <w:szCs w:val="16"/>
              </w:rPr>
              <w:t>输入：问题</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输出：明确的对象及六类结果查询任务</w:t>
            </w:r>
          </w:p>
        </w:tc>
        <w:tc>
          <w:tcPr>
            <w:tcW w:w="2000" w:type="dxa"/>
            <w:shd w:val="clear" w:color="auto" w:fill="FFFFFF"/>
            <w:vAlign w:val="center"/>
          </w:tcPr>
          <w:p w14:paraId="22756D7D">
            <w:pPr>
              <w:spacing w:before="0" w:after="0" w:line="240" w:lineRule="auto"/>
              <w:ind w:left="0" w:right="0" w:firstLine="0" w:firstLineChars="0"/>
              <w:jc w:val="left"/>
            </w:pPr>
            <w:r>
              <w:rPr>
                <w:rFonts w:ascii="宋体" w:hAnsi="宋体" w:eastAsia="宋体" w:cs="宋体"/>
                <w:b w:val="0"/>
                <w:bCs w:val="0"/>
                <w:color w:val="000000"/>
                <w:sz w:val="16"/>
                <w:szCs w:val="16"/>
              </w:rPr>
              <w:t>通过主智能体识别意图、对象与条件；有歧义先追问确认，再匹配查询能力。</w:t>
            </w:r>
          </w:p>
        </w:tc>
        <w:tc>
          <w:tcPr>
            <w:tcW w:w="1072" w:type="dxa"/>
            <w:shd w:val="clear" w:color="auto" w:fill="FFFFFF"/>
            <w:vAlign w:val="center"/>
          </w:tcPr>
          <w:p w14:paraId="41510A4D">
            <w:pPr>
              <w:spacing w:before="0" w:after="0" w:line="240" w:lineRule="auto"/>
              <w:ind w:left="0" w:right="0" w:firstLine="0" w:firstLineChars="0"/>
              <w:jc w:val="left"/>
            </w:pPr>
            <w:r>
              <w:rPr>
                <w:rFonts w:ascii="宋体" w:hAnsi="宋体" w:eastAsia="宋体" w:cs="宋体"/>
                <w:b w:val="0"/>
                <w:bCs w:val="0"/>
                <w:color w:val="000000"/>
                <w:sz w:val="16"/>
                <w:szCs w:val="16"/>
              </w:rPr>
              <w:t>→03</w:t>
            </w:r>
          </w:p>
        </w:tc>
        <w:tc>
          <w:tcPr>
            <w:tcW w:w="2000" w:type="dxa"/>
            <w:shd w:val="clear" w:color="auto" w:fill="FFFFFF"/>
            <w:vAlign w:val="center"/>
          </w:tcPr>
          <w:p w14:paraId="20B91031">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p>
        </w:tc>
      </w:tr>
      <w:tr w14:paraId="61E884D3">
        <w:trPr>
          <w:cantSplit/>
          <w:jc w:val="center"/>
        </w:trPr>
        <w:tc>
          <w:tcPr>
            <w:tcW w:w="650" w:type="dxa"/>
            <w:shd w:val="clear" w:color="auto" w:fill="FFFFFF"/>
            <w:vAlign w:val="center"/>
          </w:tcPr>
          <w:p w14:paraId="632F8C9D">
            <w:pPr>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43CFEA2E">
            <w:pPr>
              <w:spacing w:before="0" w:after="0" w:line="240" w:lineRule="auto"/>
              <w:ind w:left="0" w:right="0" w:firstLine="0" w:firstLineChars="0"/>
              <w:jc w:val="center"/>
            </w:pPr>
            <w:r>
              <w:rPr>
                <w:rFonts w:ascii="宋体" w:hAnsi="宋体" w:eastAsia="宋体" w:cs="宋体"/>
                <w:b w:val="0"/>
                <w:bCs w:val="0"/>
                <w:color w:val="000000"/>
                <w:sz w:val="16"/>
                <w:szCs w:val="16"/>
              </w:rPr>
              <w:t>按授权查询SCOS结果</w:t>
            </w:r>
          </w:p>
        </w:tc>
        <w:tc>
          <w:tcPr>
            <w:tcW w:w="950" w:type="dxa"/>
            <w:shd w:val="clear" w:color="auto" w:fill="FFFFFF"/>
            <w:vAlign w:val="center"/>
          </w:tcPr>
          <w:p w14:paraId="3FD11D14">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6AD1303B">
            <w:pPr>
              <w:spacing w:before="0" w:after="0" w:line="240" w:lineRule="auto"/>
              <w:ind w:left="0" w:right="0" w:firstLine="0" w:firstLineChars="0"/>
              <w:jc w:val="left"/>
            </w:pPr>
            <w:r>
              <w:rPr>
                <w:rFonts w:ascii="宋体" w:hAnsi="宋体" w:eastAsia="宋体" w:cs="宋体"/>
                <w:b w:val="0"/>
                <w:bCs w:val="0"/>
                <w:color w:val="000000"/>
                <w:sz w:val="16"/>
                <w:szCs w:val="16"/>
              </w:rPr>
              <w:t>输入：查询参数及身份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输出：SCOS结果、字段字典与口径或结果状态</w:t>
            </w:r>
          </w:p>
        </w:tc>
        <w:tc>
          <w:tcPr>
            <w:tcW w:w="2000" w:type="dxa"/>
            <w:shd w:val="clear" w:color="auto" w:fill="FFFFFF"/>
            <w:vAlign w:val="center"/>
          </w:tcPr>
          <w:p w14:paraId="090508D6">
            <w:pPr>
              <w:spacing w:before="0" w:after="0" w:line="240" w:lineRule="auto"/>
              <w:ind w:left="0" w:right="0" w:firstLine="0" w:firstLineChars="0"/>
              <w:jc w:val="left"/>
            </w:pPr>
            <w:r>
              <w:rPr>
                <w:rFonts w:ascii="宋体" w:hAnsi="宋体" w:eastAsia="宋体" w:cs="宋体"/>
                <w:b w:val="0"/>
                <w:bCs w:val="0"/>
                <w:color w:val="000000"/>
                <w:sz w:val="16"/>
                <w:szCs w:val="16"/>
              </w:rPr>
              <w:t>查询SCOS对应结果接口；客户贡献、边际效益、价格推演等敏感经营结果依据业务授权规则授权。SCOS是本节点既有分析结果、字段字典及口径的提供方，保留返回结果的来源、条件和截止时间。</w:t>
            </w:r>
          </w:p>
        </w:tc>
        <w:tc>
          <w:tcPr>
            <w:tcW w:w="1072" w:type="dxa"/>
            <w:shd w:val="clear" w:color="auto" w:fill="FFFFFF"/>
            <w:vAlign w:val="center"/>
          </w:tcPr>
          <w:p w14:paraId="410251A0">
            <w:pPr>
              <w:spacing w:before="0" w:after="0" w:line="240" w:lineRule="auto"/>
              <w:ind w:left="0" w:right="0" w:firstLine="0" w:firstLineChars="0"/>
              <w:jc w:val="left"/>
            </w:pPr>
            <w:r>
              <w:rPr>
                <w:rFonts w:ascii="宋体" w:hAnsi="宋体" w:eastAsia="宋体" w:cs="宋体"/>
                <w:b w:val="0"/>
                <w:bCs w:val="0"/>
                <w:color w:val="000000"/>
                <w:sz w:val="16"/>
                <w:szCs w:val="16"/>
              </w:rPr>
              <w:t>有结果→05；</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暂无或失败→04</w:t>
            </w:r>
          </w:p>
        </w:tc>
        <w:tc>
          <w:tcPr>
            <w:tcW w:w="2000" w:type="dxa"/>
            <w:shd w:val="clear" w:color="auto" w:fill="FFFFFF"/>
            <w:vAlign w:val="center"/>
          </w:tcPr>
          <w:p w14:paraId="7DCED795">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p>
        </w:tc>
      </w:tr>
      <w:tr w14:paraId="29DD59A9">
        <w:trPr>
          <w:cantSplit/>
          <w:jc w:val="center"/>
        </w:trPr>
        <w:tc>
          <w:tcPr>
            <w:tcW w:w="650" w:type="dxa"/>
            <w:shd w:val="clear" w:color="auto" w:fill="FFFFFF"/>
            <w:vAlign w:val="center"/>
          </w:tcPr>
          <w:p w14:paraId="363170B3">
            <w:pPr>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289589E8">
            <w:pPr>
              <w:spacing w:before="0" w:after="0" w:line="240" w:lineRule="auto"/>
              <w:ind w:left="0" w:right="0" w:firstLine="0" w:firstLineChars="0"/>
              <w:jc w:val="center"/>
            </w:pPr>
            <w:r>
              <w:rPr>
                <w:rFonts w:ascii="宋体" w:hAnsi="宋体" w:eastAsia="宋体" w:cs="宋体"/>
                <w:b w:val="0"/>
                <w:bCs w:val="0"/>
                <w:color w:val="000000"/>
                <w:sz w:val="16"/>
                <w:szCs w:val="16"/>
              </w:rPr>
              <w:t>如实说明结果状态</w:t>
            </w:r>
          </w:p>
        </w:tc>
        <w:tc>
          <w:tcPr>
            <w:tcW w:w="950" w:type="dxa"/>
            <w:shd w:val="clear" w:color="auto" w:fill="FFFFFF"/>
            <w:vAlign w:val="center"/>
          </w:tcPr>
          <w:p w14:paraId="13F0502E">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5E30E531">
            <w:pPr>
              <w:spacing w:before="0" w:after="0" w:line="240" w:lineRule="auto"/>
              <w:ind w:left="0" w:right="0" w:firstLine="0" w:firstLineChars="0"/>
              <w:jc w:val="left"/>
            </w:pPr>
            <w:r>
              <w:rPr>
                <w:rFonts w:ascii="宋体" w:hAnsi="宋体" w:eastAsia="宋体" w:cs="宋体"/>
                <w:b w:val="0"/>
                <w:bCs w:val="0"/>
                <w:color w:val="000000"/>
                <w:sz w:val="16"/>
                <w:szCs w:val="16"/>
              </w:rPr>
              <w:t>输入：无结果或失败状态</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输出：对应说明</w:t>
            </w:r>
          </w:p>
        </w:tc>
        <w:tc>
          <w:tcPr>
            <w:tcW w:w="2000" w:type="dxa"/>
            <w:shd w:val="clear" w:color="auto" w:fill="FFFFFF"/>
            <w:vAlign w:val="center"/>
          </w:tcPr>
          <w:p w14:paraId="31AB4817">
            <w:pPr>
              <w:spacing w:before="0" w:after="0" w:line="240" w:lineRule="auto"/>
              <w:ind w:left="0" w:right="0" w:firstLine="0" w:firstLineChars="0"/>
              <w:jc w:val="left"/>
            </w:pPr>
            <w:r>
              <w:rPr>
                <w:rFonts w:ascii="宋体" w:hAnsi="宋体" w:eastAsia="宋体" w:cs="宋体"/>
                <w:b w:val="0"/>
                <w:bCs w:val="0"/>
                <w:color w:val="000000"/>
                <w:sz w:val="16"/>
                <w:szCs w:val="16"/>
              </w:rPr>
              <w:t>分别说明尚未生成结果、无查询权限或接口执行失败的状态，保留调用记录；用户可调整对象、时段和查询条件。</w:t>
            </w:r>
          </w:p>
        </w:tc>
        <w:tc>
          <w:tcPr>
            <w:tcW w:w="1072" w:type="dxa"/>
            <w:shd w:val="clear" w:color="auto" w:fill="FFFFFF"/>
            <w:vAlign w:val="center"/>
          </w:tcPr>
          <w:p w14:paraId="7D1A4D4E">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29A216EF">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41A01A52">
        <w:trPr>
          <w:cantSplit/>
          <w:jc w:val="center"/>
        </w:trPr>
        <w:tc>
          <w:tcPr>
            <w:tcW w:w="650" w:type="dxa"/>
            <w:shd w:val="clear" w:color="auto" w:fill="FFFFFF"/>
            <w:vAlign w:val="center"/>
          </w:tcPr>
          <w:p w14:paraId="11EB7062">
            <w:pPr>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3F6D2CF5">
            <w:pPr>
              <w:spacing w:before="0" w:after="0" w:line="240" w:lineRule="auto"/>
              <w:ind w:left="0" w:right="0" w:firstLine="0" w:firstLineChars="0"/>
              <w:jc w:val="center"/>
            </w:pPr>
            <w:r>
              <w:rPr>
                <w:rFonts w:ascii="宋体" w:hAnsi="宋体" w:eastAsia="宋体" w:cs="宋体"/>
                <w:b w:val="0"/>
                <w:bCs w:val="0"/>
                <w:color w:val="000000"/>
                <w:sz w:val="16"/>
                <w:szCs w:val="16"/>
              </w:rPr>
              <w:t>核对数字与原始结果</w:t>
            </w:r>
          </w:p>
        </w:tc>
        <w:tc>
          <w:tcPr>
            <w:tcW w:w="950" w:type="dxa"/>
            <w:shd w:val="clear" w:color="auto" w:fill="FFFFFF"/>
            <w:vAlign w:val="center"/>
          </w:tcPr>
          <w:p w14:paraId="2D5B8C0E">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7503408D">
            <w:pPr>
              <w:spacing w:before="0" w:after="0" w:line="240" w:lineRule="auto"/>
              <w:ind w:left="0" w:right="0" w:firstLine="0" w:firstLineChars="0"/>
              <w:jc w:val="left"/>
            </w:pPr>
            <w:r>
              <w:rPr>
                <w:rFonts w:ascii="宋体" w:hAnsi="宋体" w:eastAsia="宋体" w:cs="宋体"/>
                <w:b w:val="0"/>
                <w:bCs w:val="0"/>
                <w:color w:val="000000"/>
                <w:sz w:val="16"/>
                <w:szCs w:val="16"/>
              </w:rPr>
              <w:t>输入：SCOS结果</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输出：校验结果</w:t>
            </w:r>
          </w:p>
        </w:tc>
        <w:tc>
          <w:tcPr>
            <w:tcW w:w="2000" w:type="dxa"/>
            <w:shd w:val="clear" w:color="auto" w:fill="FFFFFF"/>
            <w:vAlign w:val="center"/>
          </w:tcPr>
          <w:p w14:paraId="40FE5331">
            <w:pPr>
              <w:spacing w:before="0" w:after="0" w:line="240" w:lineRule="auto"/>
              <w:ind w:left="0" w:right="0" w:firstLine="0" w:firstLineChars="0"/>
              <w:jc w:val="left"/>
            </w:pPr>
            <w:r>
              <w:rPr>
                <w:rFonts w:ascii="宋体" w:hAnsi="宋体" w:eastAsia="宋体" w:cs="宋体"/>
                <w:b w:val="0"/>
                <w:bCs w:val="0"/>
                <w:color w:val="000000"/>
                <w:sz w:val="16"/>
                <w:szCs w:val="16"/>
              </w:rPr>
              <w:t>由程序逐项核对展示数值与供应链优化协同模块原始返回结果，检查字段含义、单位和口径的一致性，异常时返回校验说明。</w:t>
            </w:r>
          </w:p>
        </w:tc>
        <w:tc>
          <w:tcPr>
            <w:tcW w:w="1072" w:type="dxa"/>
            <w:shd w:val="clear" w:color="auto" w:fill="FFFFFF"/>
            <w:vAlign w:val="center"/>
          </w:tcPr>
          <w:p w14:paraId="0091E2E2">
            <w:pPr>
              <w:spacing w:before="0" w:after="0" w:line="240" w:lineRule="auto"/>
              <w:ind w:left="0" w:right="0" w:firstLine="0" w:firstLineChars="0"/>
              <w:jc w:val="left"/>
            </w:pPr>
            <w:r>
              <w:rPr>
                <w:rFonts w:ascii="宋体" w:hAnsi="宋体" w:eastAsia="宋体" w:cs="宋体"/>
                <w:b w:val="0"/>
                <w:bCs w:val="0"/>
                <w:color w:val="000000"/>
                <w:sz w:val="16"/>
                <w:szCs w:val="16"/>
              </w:rPr>
              <w:t>校验一致→06；</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校验异常→04</w:t>
            </w:r>
          </w:p>
        </w:tc>
        <w:tc>
          <w:tcPr>
            <w:tcW w:w="2000" w:type="dxa"/>
            <w:shd w:val="clear" w:color="auto" w:fill="FFFFFF"/>
            <w:vAlign w:val="center"/>
          </w:tcPr>
          <w:p w14:paraId="59668557">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p>
        </w:tc>
      </w:tr>
      <w:tr w14:paraId="7E9F178D">
        <w:trPr>
          <w:cantSplit/>
          <w:jc w:val="center"/>
        </w:trPr>
        <w:tc>
          <w:tcPr>
            <w:tcW w:w="650" w:type="dxa"/>
            <w:shd w:val="clear" w:color="auto" w:fill="FFFFFF"/>
            <w:vAlign w:val="center"/>
          </w:tcPr>
          <w:p w14:paraId="23E4EA80">
            <w:pPr>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2D5EA93E">
            <w:pPr>
              <w:spacing w:before="0" w:after="0" w:line="240" w:lineRule="auto"/>
              <w:ind w:left="0" w:right="0" w:firstLine="0" w:firstLineChars="0"/>
              <w:jc w:val="center"/>
            </w:pPr>
            <w:r>
              <w:rPr>
                <w:rFonts w:ascii="宋体" w:hAnsi="宋体" w:eastAsia="宋体" w:cs="宋体"/>
                <w:b w:val="0"/>
                <w:bCs w:val="0"/>
                <w:color w:val="000000"/>
                <w:sz w:val="16"/>
                <w:szCs w:val="16"/>
              </w:rPr>
              <w:t>组织结果并标注来源</w:t>
            </w:r>
          </w:p>
        </w:tc>
        <w:tc>
          <w:tcPr>
            <w:tcW w:w="950" w:type="dxa"/>
            <w:shd w:val="clear" w:color="auto" w:fill="FFFFFF"/>
            <w:vAlign w:val="center"/>
          </w:tcPr>
          <w:p w14:paraId="2959BD99">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24F5D718">
            <w:pPr>
              <w:spacing w:before="0" w:after="0" w:line="240" w:lineRule="auto"/>
              <w:ind w:left="0" w:right="0" w:firstLine="0" w:firstLineChars="0"/>
              <w:jc w:val="left"/>
            </w:pPr>
            <w:r>
              <w:rPr>
                <w:rFonts w:ascii="宋体" w:hAnsi="宋体" w:eastAsia="宋体" w:cs="宋体"/>
                <w:b w:val="0"/>
                <w:bCs w:val="0"/>
                <w:color w:val="000000"/>
                <w:sz w:val="16"/>
                <w:szCs w:val="16"/>
              </w:rPr>
              <w:t>输入：校验通过的结果与口径</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输出：自然语言结果</w:t>
            </w:r>
          </w:p>
        </w:tc>
        <w:tc>
          <w:tcPr>
            <w:tcW w:w="2000" w:type="dxa"/>
            <w:shd w:val="clear" w:color="auto" w:fill="FFFFFF"/>
            <w:vAlign w:val="center"/>
          </w:tcPr>
          <w:p w14:paraId="25E0553E">
            <w:pPr>
              <w:spacing w:before="0" w:after="0" w:line="240" w:lineRule="auto"/>
              <w:ind w:left="0" w:right="0" w:firstLine="0" w:firstLineChars="0"/>
              <w:jc w:val="left"/>
            </w:pPr>
            <w:r>
              <w:rPr>
                <w:rFonts w:ascii="宋体" w:hAnsi="宋体" w:eastAsia="宋体" w:cs="宋体"/>
                <w:b w:val="0"/>
                <w:bCs w:val="0"/>
                <w:color w:val="000000"/>
                <w:sz w:val="16"/>
                <w:szCs w:val="16"/>
              </w:rPr>
              <w:t>将供应链分析结果组织为自然语言说明，标注SCOS来源、业务口径及数据截止时间，保留计算结果与相应条件。</w:t>
            </w:r>
          </w:p>
        </w:tc>
        <w:tc>
          <w:tcPr>
            <w:tcW w:w="1072" w:type="dxa"/>
            <w:shd w:val="clear" w:color="auto" w:fill="FFFFFF"/>
            <w:vAlign w:val="center"/>
          </w:tcPr>
          <w:p w14:paraId="2E67F80B">
            <w:pPr>
              <w:spacing w:before="0" w:after="0" w:line="240" w:lineRule="auto"/>
              <w:ind w:left="0" w:right="0" w:firstLine="0" w:firstLineChars="0"/>
              <w:jc w:val="left"/>
            </w:pPr>
            <w:r>
              <w:rPr>
                <w:rFonts w:ascii="宋体" w:hAnsi="宋体" w:eastAsia="宋体" w:cs="宋体"/>
                <w:b w:val="0"/>
                <w:bCs w:val="0"/>
                <w:color w:val="000000"/>
                <w:sz w:val="16"/>
                <w:szCs w:val="16"/>
              </w:rPr>
              <w:t>→07</w:t>
            </w:r>
          </w:p>
        </w:tc>
        <w:tc>
          <w:tcPr>
            <w:tcW w:w="2000" w:type="dxa"/>
            <w:shd w:val="clear" w:color="auto" w:fill="FFFFFF"/>
            <w:vAlign w:val="center"/>
          </w:tcPr>
          <w:p w14:paraId="6885DFD0">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p>
        </w:tc>
      </w:tr>
      <w:tr w14:paraId="4CF3958E">
        <w:trPr>
          <w:cantSplit/>
          <w:jc w:val="center"/>
        </w:trPr>
        <w:tc>
          <w:tcPr>
            <w:tcW w:w="650" w:type="dxa"/>
            <w:shd w:val="clear" w:color="auto" w:fill="FFFFFF"/>
            <w:vAlign w:val="center"/>
          </w:tcPr>
          <w:p w14:paraId="2B7B61FC">
            <w:pPr>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375871F1">
            <w:pPr>
              <w:spacing w:before="0" w:after="0" w:line="240" w:lineRule="auto"/>
              <w:ind w:left="0" w:right="0" w:firstLine="0" w:firstLineChars="0"/>
              <w:jc w:val="center"/>
            </w:pPr>
            <w:r>
              <w:rPr>
                <w:rFonts w:ascii="宋体" w:hAnsi="宋体" w:eastAsia="宋体" w:cs="宋体"/>
                <w:b w:val="0"/>
                <w:bCs w:val="0"/>
                <w:color w:val="000000"/>
                <w:sz w:val="16"/>
                <w:szCs w:val="16"/>
              </w:rPr>
              <w:t>呈现问答或报告</w:t>
            </w:r>
          </w:p>
        </w:tc>
        <w:tc>
          <w:tcPr>
            <w:tcW w:w="950" w:type="dxa"/>
            <w:shd w:val="clear" w:color="auto" w:fill="FFFFFF"/>
            <w:vAlign w:val="center"/>
          </w:tcPr>
          <w:p w14:paraId="297BD0DD">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1AC0D2D4">
            <w:pPr>
              <w:spacing w:before="0" w:after="0" w:line="240" w:lineRule="auto"/>
              <w:ind w:left="0" w:right="0" w:firstLine="0" w:firstLineChars="0"/>
              <w:jc w:val="left"/>
            </w:pPr>
            <w:r>
              <w:rPr>
                <w:rFonts w:ascii="宋体" w:hAnsi="宋体" w:eastAsia="宋体" w:cs="宋体"/>
                <w:b w:val="0"/>
                <w:bCs w:val="0"/>
                <w:color w:val="000000"/>
                <w:sz w:val="16"/>
                <w:szCs w:val="16"/>
              </w:rPr>
              <w:t>输入：可追溯结果</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输出：会话应答或可导出报告</w:t>
            </w:r>
          </w:p>
        </w:tc>
        <w:tc>
          <w:tcPr>
            <w:tcW w:w="2000" w:type="dxa"/>
            <w:shd w:val="clear" w:color="auto" w:fill="FFFFFF"/>
            <w:vAlign w:val="center"/>
          </w:tcPr>
          <w:p w14:paraId="67C84E4B">
            <w:pPr>
              <w:spacing w:before="0" w:after="0" w:line="240" w:lineRule="auto"/>
              <w:ind w:left="0" w:right="0" w:firstLine="0" w:firstLineChars="0"/>
              <w:jc w:val="left"/>
            </w:pPr>
            <w:r>
              <w:rPr>
                <w:rFonts w:ascii="宋体" w:hAnsi="宋体" w:eastAsia="宋体" w:cs="宋体"/>
                <w:b w:val="0"/>
                <w:bCs w:val="0"/>
                <w:color w:val="000000"/>
                <w:sz w:val="16"/>
                <w:szCs w:val="16"/>
              </w:rPr>
              <w:t>按角色权限在会话内呈现六类分析结果。</w:t>
            </w:r>
          </w:p>
        </w:tc>
        <w:tc>
          <w:tcPr>
            <w:tcW w:w="1072" w:type="dxa"/>
            <w:shd w:val="clear" w:color="auto" w:fill="FFFFFF"/>
            <w:vAlign w:val="center"/>
          </w:tcPr>
          <w:p w14:paraId="2A714DE2">
            <w:pPr>
              <w:spacing w:before="0" w:after="0" w:line="240" w:lineRule="auto"/>
              <w:ind w:left="0" w:right="0" w:firstLine="0" w:firstLineChars="0"/>
              <w:jc w:val="left"/>
            </w:pPr>
            <w:r>
              <w:rPr>
                <w:rFonts w:ascii="宋体" w:hAnsi="宋体" w:eastAsia="宋体" w:cs="宋体"/>
                <w:b w:val="0"/>
                <w:bCs w:val="0"/>
                <w:color w:val="000000"/>
                <w:sz w:val="16"/>
                <w:szCs w:val="16"/>
              </w:rPr>
              <w:t>参数追问→08；</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查看完成→结束</w:t>
            </w:r>
          </w:p>
        </w:tc>
        <w:tc>
          <w:tcPr>
            <w:tcW w:w="2000" w:type="dxa"/>
            <w:shd w:val="clear" w:color="auto" w:fill="FFFFFF"/>
            <w:vAlign w:val="center"/>
          </w:tcPr>
          <w:p w14:paraId="58B5D2DC">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p>
        </w:tc>
      </w:tr>
      <w:tr w14:paraId="2FB2E1D9">
        <w:trPr>
          <w:cantSplit/>
          <w:jc w:val="center"/>
        </w:trPr>
        <w:tc>
          <w:tcPr>
            <w:tcW w:w="650" w:type="dxa"/>
            <w:shd w:val="clear" w:color="auto" w:fill="FFFFFF"/>
            <w:vAlign w:val="center"/>
          </w:tcPr>
          <w:p w14:paraId="663DF4B0">
            <w:pPr>
              <w:spacing w:before="0" w:after="0" w:line="240" w:lineRule="auto"/>
              <w:ind w:left="0" w:right="0" w:firstLine="0" w:firstLineChars="0"/>
              <w:jc w:val="center"/>
            </w:pPr>
            <w:r>
              <w:rPr>
                <w:rFonts w:ascii="宋体" w:hAnsi="宋体" w:eastAsia="宋体" w:cs="宋体"/>
                <w:b w:val="0"/>
                <w:bCs w:val="0"/>
                <w:color w:val="000000"/>
                <w:sz w:val="16"/>
                <w:szCs w:val="16"/>
              </w:rPr>
              <w:t>08</w:t>
            </w:r>
          </w:p>
        </w:tc>
        <w:tc>
          <w:tcPr>
            <w:tcW w:w="1050" w:type="dxa"/>
            <w:shd w:val="clear" w:color="auto" w:fill="FFFFFF"/>
            <w:vAlign w:val="center"/>
          </w:tcPr>
          <w:p w14:paraId="7E07E676">
            <w:pPr>
              <w:spacing w:before="0" w:after="0" w:line="240" w:lineRule="auto"/>
              <w:ind w:left="0" w:right="0" w:firstLine="0" w:firstLineChars="0"/>
              <w:jc w:val="center"/>
            </w:pPr>
            <w:r>
              <w:rPr>
                <w:rFonts w:ascii="宋体" w:hAnsi="宋体" w:eastAsia="宋体" w:cs="宋体"/>
                <w:b w:val="0"/>
                <w:bCs w:val="0"/>
                <w:color w:val="000000"/>
                <w:sz w:val="16"/>
                <w:szCs w:val="16"/>
              </w:rPr>
              <w:t>携带新参数继续查询</w:t>
            </w:r>
          </w:p>
        </w:tc>
        <w:tc>
          <w:tcPr>
            <w:tcW w:w="950" w:type="dxa"/>
            <w:shd w:val="clear" w:color="auto" w:fill="FFFFFF"/>
            <w:vAlign w:val="center"/>
          </w:tcPr>
          <w:p w14:paraId="6BF9B90D">
            <w:pPr>
              <w:spacing w:before="0" w:after="0" w:line="240" w:lineRule="auto"/>
              <w:ind w:left="0" w:right="0" w:firstLine="0" w:firstLineChars="0"/>
              <w:jc w:val="center"/>
            </w:pPr>
            <w:r>
              <w:rPr>
                <w:rFonts w:ascii="宋体" w:hAnsi="宋体" w:eastAsia="宋体" w:cs="宋体"/>
                <w:b w:val="0"/>
                <w:bCs w:val="0"/>
                <w:color w:val="000000"/>
                <w:sz w:val="16"/>
                <w:szCs w:val="16"/>
              </w:rPr>
              <w:t>用户</w:t>
            </w:r>
          </w:p>
        </w:tc>
        <w:tc>
          <w:tcPr>
            <w:tcW w:w="1350" w:type="dxa"/>
            <w:shd w:val="clear" w:color="auto" w:fill="FFFFFF"/>
            <w:vAlign w:val="center"/>
          </w:tcPr>
          <w:p w14:paraId="3D3681B2">
            <w:pPr>
              <w:spacing w:before="0" w:after="0" w:line="240" w:lineRule="auto"/>
              <w:ind w:left="0" w:right="0" w:firstLine="0" w:firstLineChars="0"/>
              <w:jc w:val="left"/>
            </w:pPr>
            <w:r>
              <w:rPr>
                <w:rFonts w:ascii="宋体" w:hAnsi="宋体" w:eastAsia="宋体" w:cs="宋体"/>
                <w:b w:val="0"/>
                <w:bCs w:val="0"/>
                <w:color w:val="000000"/>
                <w:sz w:val="16"/>
                <w:szCs w:val="16"/>
              </w:rPr>
              <w:t>输入：新的假设条件或追问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输出：新接口查询参数</w:t>
            </w:r>
          </w:p>
        </w:tc>
        <w:tc>
          <w:tcPr>
            <w:tcW w:w="2000" w:type="dxa"/>
            <w:shd w:val="clear" w:color="auto" w:fill="FFFFFF"/>
            <w:vAlign w:val="center"/>
          </w:tcPr>
          <w:p w14:paraId="40F8E0A7">
            <w:pPr>
              <w:spacing w:before="0" w:after="0" w:line="240" w:lineRule="auto"/>
              <w:ind w:left="0" w:right="0" w:firstLine="0" w:firstLineChars="0"/>
              <w:jc w:val="left"/>
            </w:pPr>
            <w:r>
              <w:rPr>
                <w:rFonts w:ascii="宋体" w:hAnsi="宋体" w:eastAsia="宋体" w:cs="宋体"/>
                <w:b w:val="0"/>
                <w:bCs w:val="0"/>
                <w:color w:val="000000"/>
                <w:sz w:val="16"/>
                <w:szCs w:val="16"/>
              </w:rPr>
              <w:t>用户补充新的对象、时段或已登记的查询参数，平台核对参数含义与可查询条件后重新组织取数，保留本轮与前轮的条件变化。</w:t>
            </w:r>
          </w:p>
        </w:tc>
        <w:tc>
          <w:tcPr>
            <w:tcW w:w="1072" w:type="dxa"/>
            <w:shd w:val="clear" w:color="auto" w:fill="FFFFFF"/>
            <w:vAlign w:val="center"/>
          </w:tcPr>
          <w:p w14:paraId="7842132F">
            <w:pPr>
              <w:spacing w:before="0" w:after="0" w:line="240" w:lineRule="auto"/>
              <w:ind w:left="0" w:right="0" w:firstLine="0" w:firstLineChars="0"/>
              <w:jc w:val="left"/>
            </w:pPr>
            <w:r>
              <w:rPr>
                <w:rFonts w:ascii="宋体" w:hAnsi="宋体" w:eastAsia="宋体" w:cs="宋体"/>
                <w:b w:val="0"/>
                <w:bCs w:val="0"/>
                <w:color w:val="000000"/>
                <w:sz w:val="16"/>
                <w:szCs w:val="16"/>
              </w:rPr>
              <w:t>补充条件→02</w:t>
            </w:r>
          </w:p>
        </w:tc>
        <w:tc>
          <w:tcPr>
            <w:tcW w:w="2000" w:type="dxa"/>
            <w:shd w:val="clear" w:color="auto" w:fill="FFFFFF"/>
            <w:vAlign w:val="center"/>
          </w:tcPr>
          <w:p w14:paraId="1A82B218">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p>
        </w:tc>
      </w:tr>
    </w:tbl>
    <w:p w14:paraId="72000019">
      <w:pPr>
        <w:pStyle w:val="4"/>
        <w:snapToGrid w:val="0"/>
      </w:pPr>
      <w:bookmarkStart w:id="24" w:name="s3_3_2"/>
      <w:r>
        <w:rPr>
          <w:rFonts w:ascii="黑体" w:hAnsi="黑体" w:eastAsia="黑体" w:cs="黑体"/>
          <w:b/>
          <w:color w:val="000000"/>
        </w:rPr>
        <w:t>3.3.2　物流优化</w:t>
      </w:r>
      <w:bookmarkEnd w:id="24"/>
    </w:p>
    <w:p w14:paraId="5AA207C1">
      <w:pPr>
        <w:pStyle w:val="12"/>
        <w:keepNext/>
        <w:snapToGrid w:val="0"/>
        <w:spacing w:before="0" w:after="40" w:line="240" w:lineRule="auto"/>
        <w:ind w:left="0" w:right="0" w:firstLine="0" w:firstLineChars="0"/>
        <w:jc w:val="center"/>
      </w:pPr>
      <w:r>
        <w:drawing>
          <wp:inline distT="0" distB="0" distL="0" distR="0">
            <wp:extent cx="5759450" cy="5636895"/>
            <wp:effectExtent l="0" t="0" r="0" b="0"/>
            <wp:docPr id="13" name="P-ZLTC-AI-WLYH-112 物流优化业务流程" descr="P-ZLTC-AI-WLYH-112 物流优化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ZLTC-AI-WLYH-112 物流优化业务流程" descr="P-ZLTC-AI-WLYH-112 物流优化业务流程"/>
                    <pic:cNvPicPr>
                      <a:picLocks noChangeAspect="1"/>
                    </pic:cNvPicPr>
                  </pic:nvPicPr>
                  <pic:blipFill>
                    <a:blip r:embed="rId22"/>
                    <a:stretch>
                      <a:fillRect/>
                    </a:stretch>
                  </pic:blipFill>
                  <pic:spPr>
                    <a:xfrm>
                      <a:off x="0" y="0"/>
                      <a:ext cx="5759450" cy="5637062"/>
                    </a:xfrm>
                    <a:prstGeom prst="rect">
                      <a:avLst/>
                    </a:prstGeom>
                  </pic:spPr>
                </pic:pic>
              </a:graphicData>
            </a:graphic>
          </wp:inline>
        </w:drawing>
      </w:r>
    </w:p>
    <w:p w14:paraId="142F3772">
      <w:pPr>
        <w:pStyle w:val="15"/>
        <w:keepNext w:val="0"/>
        <w:snapToGrid w:val="0"/>
        <w:jc w:val="center"/>
      </w:pPr>
      <w:r>
        <w:t>图3-12　物流优化业务流程图</w:t>
      </w:r>
    </w:p>
    <w:p w14:paraId="03C5F2FE">
      <w:pPr>
        <w:pStyle w:val="15"/>
        <w:keepNext/>
        <w:snapToGrid w:val="0"/>
        <w:jc w:val="center"/>
      </w:pPr>
      <w:r>
        <w:t>表3-12　物流优化业务流程说明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0C3A1F45">
        <w:trPr>
          <w:cantSplit/>
          <w:tblHeader/>
          <w:jc w:val="center"/>
        </w:trPr>
        <w:tc>
          <w:tcPr>
            <w:tcW w:w="650" w:type="dxa"/>
            <w:shd w:val="clear" w:color="auto" w:fill="FFFFFF"/>
            <w:vAlign w:val="center"/>
          </w:tcPr>
          <w:p w14:paraId="348A045E">
            <w:pPr>
              <w:keepNext/>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4B1AFB9F">
            <w:pPr>
              <w:keepNext/>
              <w:spacing w:before="0" w:after="0" w:line="240" w:lineRule="auto"/>
              <w:ind w:left="0" w:right="0" w:firstLine="0" w:firstLineChars="0"/>
              <w:jc w:val="center"/>
            </w:pPr>
            <w:r>
              <w:rPr>
                <w:rFonts w:ascii="宋体" w:hAnsi="宋体" w:eastAsia="宋体" w:cs="宋体"/>
                <w:b/>
                <w:bCs/>
                <w:color w:val="000000"/>
                <w:sz w:val="16"/>
                <w:szCs w:val="16"/>
              </w:rPr>
              <w:t>节点名称</w:t>
            </w:r>
          </w:p>
        </w:tc>
        <w:tc>
          <w:tcPr>
            <w:tcW w:w="950" w:type="dxa"/>
            <w:shd w:val="clear" w:color="auto" w:fill="FFFFFF"/>
            <w:vAlign w:val="center"/>
          </w:tcPr>
          <w:p w14:paraId="31DC58CC">
            <w:pPr>
              <w:keepNext/>
              <w:spacing w:before="0" w:after="0" w:line="240" w:lineRule="auto"/>
              <w:ind w:left="0" w:right="0" w:firstLine="0" w:firstLineChars="0"/>
              <w:jc w:val="center"/>
            </w:pPr>
            <w:r>
              <w:rPr>
                <w:rFonts w:ascii="宋体" w:hAnsi="宋体" w:eastAsia="宋体" w:cs="宋体"/>
                <w:b/>
                <w:bCs/>
                <w:color w:val="000000"/>
                <w:sz w:val="16"/>
                <w:szCs w:val="16"/>
              </w:rPr>
              <w:t>责任节点</w:t>
            </w:r>
          </w:p>
        </w:tc>
        <w:tc>
          <w:tcPr>
            <w:tcW w:w="1350" w:type="dxa"/>
            <w:shd w:val="clear" w:color="auto" w:fill="FFFFFF"/>
            <w:vAlign w:val="center"/>
          </w:tcPr>
          <w:p w14:paraId="19D10F16">
            <w:pPr>
              <w:keepNext/>
              <w:spacing w:before="0" w:after="0" w:line="240" w:lineRule="auto"/>
              <w:ind w:left="0" w:right="0" w:firstLine="0" w:firstLineChars="0"/>
              <w:jc w:val="center"/>
            </w:pPr>
            <w:r>
              <w:rPr>
                <w:rFonts w:ascii="宋体" w:hAnsi="宋体" w:eastAsia="宋体" w:cs="宋体"/>
                <w:b/>
                <w:bCs/>
                <w:color w:val="000000"/>
                <w:sz w:val="16"/>
                <w:szCs w:val="16"/>
              </w:rPr>
              <w:t>输入/输出</w:t>
            </w:r>
          </w:p>
        </w:tc>
        <w:tc>
          <w:tcPr>
            <w:tcW w:w="2000" w:type="dxa"/>
            <w:shd w:val="clear" w:color="auto" w:fill="FFFFFF"/>
            <w:vAlign w:val="center"/>
          </w:tcPr>
          <w:p w14:paraId="45F4324D">
            <w:pPr>
              <w:keepNext/>
              <w:spacing w:before="0" w:after="0" w:line="240" w:lineRule="auto"/>
              <w:ind w:left="0" w:right="0" w:firstLine="0" w:firstLineChars="0"/>
              <w:jc w:val="center"/>
            </w:pPr>
            <w:r>
              <w:rPr>
                <w:rFonts w:ascii="宋体" w:hAnsi="宋体" w:eastAsia="宋体" w:cs="宋体"/>
                <w:b/>
                <w:bCs/>
                <w:color w:val="000000"/>
                <w:sz w:val="16"/>
                <w:szCs w:val="16"/>
              </w:rPr>
              <w:t>处理说明</w:t>
            </w:r>
          </w:p>
        </w:tc>
        <w:tc>
          <w:tcPr>
            <w:tcW w:w="1072" w:type="dxa"/>
            <w:shd w:val="clear" w:color="auto" w:fill="FFFFFF"/>
            <w:vAlign w:val="center"/>
          </w:tcPr>
          <w:p w14:paraId="3BBEC1AC">
            <w:pPr>
              <w:keepNext/>
              <w:spacing w:before="0" w:after="0" w:line="240" w:lineRule="auto"/>
              <w:ind w:left="0" w:right="0" w:firstLine="0" w:firstLineChars="0"/>
              <w:jc w:val="center"/>
            </w:pPr>
            <w:r>
              <w:rPr>
                <w:rFonts w:ascii="宋体" w:hAnsi="宋体" w:eastAsia="宋体" w:cs="宋体"/>
                <w:b/>
                <w:bCs/>
                <w:color w:val="000000"/>
                <w:sz w:val="16"/>
                <w:szCs w:val="16"/>
              </w:rPr>
              <w:t>异常/分支</w:t>
            </w:r>
          </w:p>
        </w:tc>
        <w:tc>
          <w:tcPr>
            <w:tcW w:w="2000" w:type="dxa"/>
            <w:shd w:val="clear" w:color="auto" w:fill="FFFFFF"/>
            <w:vAlign w:val="center"/>
          </w:tcPr>
          <w:p w14:paraId="0E6EBE08">
            <w:pPr>
              <w:keepNext/>
              <w:spacing w:before="0" w:after="0" w:line="240" w:lineRule="auto"/>
              <w:ind w:left="0" w:right="0" w:firstLine="0" w:firstLineChars="0"/>
              <w:jc w:val="center"/>
            </w:pPr>
            <w:r>
              <w:rPr>
                <w:rFonts w:ascii="宋体" w:hAnsi="宋体" w:eastAsia="宋体" w:cs="宋体"/>
                <w:b/>
                <w:bCs/>
                <w:color w:val="000000"/>
                <w:sz w:val="16"/>
                <w:szCs w:val="16"/>
              </w:rPr>
              <w:t>关联规则</w:t>
            </w:r>
          </w:p>
        </w:tc>
      </w:tr>
      <w:tr w14:paraId="18B0E7CC">
        <w:trPr>
          <w:cantSplit/>
          <w:jc w:val="center"/>
        </w:trPr>
        <w:tc>
          <w:tcPr>
            <w:tcW w:w="650" w:type="dxa"/>
            <w:shd w:val="clear" w:color="auto" w:fill="FFFFFF"/>
            <w:vAlign w:val="center"/>
          </w:tcPr>
          <w:p w14:paraId="27F7DE9A">
            <w:pPr>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55C0C79A">
            <w:pPr>
              <w:spacing w:before="0" w:after="0" w:line="240" w:lineRule="auto"/>
              <w:ind w:left="0" w:right="0" w:firstLine="0" w:firstLineChars="0"/>
              <w:jc w:val="center"/>
            </w:pPr>
            <w:r>
              <w:rPr>
                <w:rFonts w:ascii="宋体" w:hAnsi="宋体" w:eastAsia="宋体" w:cs="宋体"/>
                <w:b w:val="0"/>
                <w:bCs w:val="0"/>
                <w:color w:val="000000"/>
                <w:sz w:val="16"/>
                <w:szCs w:val="16"/>
              </w:rPr>
              <w:t>提出物流问题或应急情景</w:t>
            </w:r>
          </w:p>
        </w:tc>
        <w:tc>
          <w:tcPr>
            <w:tcW w:w="950" w:type="dxa"/>
            <w:shd w:val="clear" w:color="auto" w:fill="FFFFFF"/>
            <w:vAlign w:val="center"/>
          </w:tcPr>
          <w:p w14:paraId="3318218A">
            <w:pPr>
              <w:spacing w:before="0" w:after="0" w:line="240" w:lineRule="auto"/>
              <w:ind w:left="0" w:right="0" w:firstLine="0" w:firstLineChars="0"/>
              <w:jc w:val="center"/>
            </w:pPr>
            <w:r>
              <w:rPr>
                <w:rFonts w:ascii="宋体" w:hAnsi="宋体" w:eastAsia="宋体" w:cs="宋体"/>
                <w:b w:val="0"/>
                <w:bCs w:val="0"/>
                <w:color w:val="000000"/>
                <w:sz w:val="16"/>
                <w:szCs w:val="16"/>
              </w:rPr>
              <w:t>用户</w:t>
            </w:r>
          </w:p>
        </w:tc>
        <w:tc>
          <w:tcPr>
            <w:tcW w:w="1350" w:type="dxa"/>
            <w:shd w:val="clear" w:color="auto" w:fill="FFFFFF"/>
            <w:vAlign w:val="center"/>
          </w:tcPr>
          <w:p w14:paraId="3FD35631">
            <w:pPr>
              <w:spacing w:before="0" w:after="0" w:line="240" w:lineRule="auto"/>
              <w:ind w:left="0" w:right="0" w:firstLine="0" w:firstLineChars="0"/>
              <w:jc w:val="left"/>
            </w:pPr>
            <w:r>
              <w:rPr>
                <w:rFonts w:ascii="宋体" w:hAnsi="宋体" w:eastAsia="宋体" w:cs="宋体"/>
                <w:b w:val="0"/>
                <w:bCs w:val="0"/>
                <w:color w:val="000000"/>
                <w:sz w:val="16"/>
                <w:szCs w:val="16"/>
              </w:rPr>
              <w:t>输入：查询问题或突发情况</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输出：物流任务</w:t>
            </w:r>
          </w:p>
        </w:tc>
        <w:tc>
          <w:tcPr>
            <w:tcW w:w="2000" w:type="dxa"/>
            <w:shd w:val="clear" w:color="auto" w:fill="FFFFFF"/>
            <w:vAlign w:val="center"/>
          </w:tcPr>
          <w:p w14:paraId="1BD5C0AC">
            <w:pPr>
              <w:spacing w:before="0" w:after="0" w:line="240" w:lineRule="auto"/>
              <w:ind w:left="0" w:right="0" w:firstLine="0" w:firstLineChars="0"/>
              <w:jc w:val="left"/>
            </w:pPr>
            <w:r>
              <w:rPr>
                <w:rFonts w:ascii="宋体" w:hAnsi="宋体" w:eastAsia="宋体" w:cs="宋体"/>
                <w:b w:val="0"/>
                <w:bCs w:val="0"/>
                <w:color w:val="000000"/>
                <w:sz w:val="16"/>
                <w:szCs w:val="16"/>
              </w:rPr>
              <w:t>用户查询库存、在途与计划建议，或口述供应商毁约、天气延误等应急补货情景。</w:t>
            </w:r>
          </w:p>
        </w:tc>
        <w:tc>
          <w:tcPr>
            <w:tcW w:w="1072" w:type="dxa"/>
            <w:shd w:val="clear" w:color="auto" w:fill="FFFFFF"/>
            <w:vAlign w:val="center"/>
          </w:tcPr>
          <w:p w14:paraId="5CFE438F">
            <w:pPr>
              <w:spacing w:before="0" w:after="0" w:line="240" w:lineRule="auto"/>
              <w:ind w:left="0" w:right="0" w:firstLine="0" w:firstLineChars="0"/>
              <w:jc w:val="left"/>
            </w:pPr>
            <w:r>
              <w:rPr>
                <w:rFonts w:ascii="宋体" w:hAnsi="宋体" w:eastAsia="宋体" w:cs="宋体"/>
                <w:b w:val="0"/>
                <w:bCs w:val="0"/>
                <w:color w:val="000000"/>
                <w:sz w:val="16"/>
                <w:szCs w:val="16"/>
              </w:rPr>
              <w:t>→02</w:t>
            </w:r>
          </w:p>
        </w:tc>
        <w:tc>
          <w:tcPr>
            <w:tcW w:w="2000" w:type="dxa"/>
            <w:shd w:val="clear" w:color="auto" w:fill="FFFFFF"/>
            <w:vAlign w:val="center"/>
          </w:tcPr>
          <w:p w14:paraId="58491775">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1729D14F">
        <w:trPr>
          <w:cantSplit/>
          <w:jc w:val="center"/>
        </w:trPr>
        <w:tc>
          <w:tcPr>
            <w:tcW w:w="650" w:type="dxa"/>
            <w:shd w:val="clear" w:color="auto" w:fill="FFFFFF"/>
            <w:vAlign w:val="center"/>
          </w:tcPr>
          <w:p w14:paraId="649CA3D0">
            <w:pPr>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762A4E06">
            <w:pPr>
              <w:spacing w:before="0" w:after="0" w:line="240" w:lineRule="auto"/>
              <w:ind w:left="0" w:right="0" w:firstLine="0" w:firstLineChars="0"/>
              <w:jc w:val="center"/>
            </w:pPr>
            <w:r>
              <w:rPr>
                <w:rFonts w:ascii="宋体" w:hAnsi="宋体" w:eastAsia="宋体" w:cs="宋体"/>
                <w:b w:val="0"/>
                <w:bCs w:val="0"/>
                <w:color w:val="000000"/>
                <w:sz w:val="16"/>
                <w:szCs w:val="16"/>
              </w:rPr>
              <w:t>识别三类能力路径</w:t>
            </w:r>
          </w:p>
        </w:tc>
        <w:tc>
          <w:tcPr>
            <w:tcW w:w="950" w:type="dxa"/>
            <w:shd w:val="clear" w:color="auto" w:fill="FFFFFF"/>
            <w:vAlign w:val="center"/>
          </w:tcPr>
          <w:p w14:paraId="52AE79DA">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31D655CA">
            <w:pPr>
              <w:spacing w:before="0" w:after="0" w:line="240" w:lineRule="auto"/>
              <w:ind w:left="0" w:right="0" w:firstLine="0" w:firstLineChars="0"/>
              <w:jc w:val="left"/>
            </w:pPr>
            <w:r>
              <w:rPr>
                <w:rFonts w:ascii="宋体" w:hAnsi="宋体" w:eastAsia="宋体" w:cs="宋体"/>
                <w:b w:val="0"/>
                <w:bCs w:val="0"/>
                <w:color w:val="000000"/>
                <w:sz w:val="16"/>
                <w:szCs w:val="16"/>
              </w:rPr>
              <w:t>输入：问题意图</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输出：事实、计划建议或应急任务</w:t>
            </w:r>
          </w:p>
        </w:tc>
        <w:tc>
          <w:tcPr>
            <w:tcW w:w="2000" w:type="dxa"/>
            <w:shd w:val="clear" w:color="auto" w:fill="FFFFFF"/>
            <w:vAlign w:val="center"/>
          </w:tcPr>
          <w:p w14:paraId="4693C073">
            <w:pPr>
              <w:spacing w:before="0" w:after="0" w:line="240" w:lineRule="auto"/>
              <w:ind w:left="0" w:right="0" w:firstLine="0" w:firstLineChars="0"/>
              <w:jc w:val="left"/>
            </w:pPr>
            <w:r>
              <w:rPr>
                <w:rFonts w:ascii="宋体" w:hAnsi="宋体" w:eastAsia="宋体" w:cs="宋体"/>
                <w:b w:val="0"/>
                <w:bCs w:val="0"/>
                <w:color w:val="000000"/>
                <w:sz w:val="16"/>
                <w:szCs w:val="16"/>
              </w:rPr>
              <w:t>按现有三层能力分流，事实查询复用综合数据问答，计划建议引用SCOS，应急情景由平台归集候选。</w:t>
            </w:r>
          </w:p>
        </w:tc>
        <w:tc>
          <w:tcPr>
            <w:tcW w:w="1072" w:type="dxa"/>
            <w:shd w:val="clear" w:color="auto" w:fill="FFFFFF"/>
            <w:vAlign w:val="center"/>
          </w:tcPr>
          <w:p w14:paraId="2107D960">
            <w:pPr>
              <w:spacing w:before="0" w:after="0" w:line="240" w:lineRule="auto"/>
              <w:ind w:left="0" w:right="0" w:firstLine="0" w:firstLineChars="0"/>
              <w:jc w:val="left"/>
            </w:pPr>
            <w:r>
              <w:rPr>
                <w:rFonts w:ascii="宋体" w:hAnsi="宋体" w:eastAsia="宋体" w:cs="宋体"/>
                <w:b w:val="0"/>
                <w:bCs w:val="0"/>
                <w:color w:val="000000"/>
                <w:sz w:val="16"/>
                <w:szCs w:val="16"/>
              </w:rPr>
              <w:t>物流事实→03；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计划建议→04；</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应急补货→06</w:t>
            </w:r>
          </w:p>
        </w:tc>
        <w:tc>
          <w:tcPr>
            <w:tcW w:w="2000" w:type="dxa"/>
            <w:shd w:val="clear" w:color="auto" w:fill="FFFFFF"/>
            <w:vAlign w:val="center"/>
          </w:tcPr>
          <w:p w14:paraId="038713C6">
            <w:pPr>
              <w:spacing w:before="0" w:after="0" w:line="240" w:lineRule="auto"/>
              <w:ind w:left="0" w:right="0" w:firstLine="0" w:firstLineChars="0"/>
              <w:jc w:val="left"/>
            </w:pPr>
            <w:r>
              <w:rPr>
                <w:rFonts w:ascii="宋体" w:hAnsi="宋体" w:eastAsia="宋体" w:cs="宋体"/>
                <w:b w:val="0"/>
                <w:bCs w:val="0"/>
                <w:color w:val="000000"/>
                <w:sz w:val="16"/>
                <w:szCs w:val="16"/>
              </w:rPr>
              <w:t>P-ZLTC-AI-ZNWS-101-04-001</w:t>
            </w:r>
          </w:p>
        </w:tc>
      </w:tr>
      <w:tr w14:paraId="6590C9A0">
        <w:trPr>
          <w:cantSplit/>
          <w:jc w:val="center"/>
        </w:trPr>
        <w:tc>
          <w:tcPr>
            <w:tcW w:w="650" w:type="dxa"/>
            <w:shd w:val="clear" w:color="auto" w:fill="FFFFFF"/>
            <w:vAlign w:val="center"/>
          </w:tcPr>
          <w:p w14:paraId="7A7B4C39">
            <w:pPr>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19DD1499">
            <w:pPr>
              <w:spacing w:before="0" w:after="0" w:line="240" w:lineRule="auto"/>
              <w:ind w:left="0" w:right="0" w:firstLine="0" w:firstLineChars="0"/>
              <w:jc w:val="center"/>
            </w:pPr>
            <w:r>
              <w:rPr>
                <w:rFonts w:ascii="宋体" w:hAnsi="宋体" w:eastAsia="宋体" w:cs="宋体"/>
                <w:b w:val="0"/>
                <w:bCs w:val="0"/>
                <w:color w:val="000000"/>
                <w:sz w:val="16"/>
                <w:szCs w:val="16"/>
              </w:rPr>
              <w:t>复用库存与在途事实</w:t>
            </w:r>
          </w:p>
        </w:tc>
        <w:tc>
          <w:tcPr>
            <w:tcW w:w="950" w:type="dxa"/>
            <w:shd w:val="clear" w:color="auto" w:fill="FFFFFF"/>
            <w:vAlign w:val="center"/>
          </w:tcPr>
          <w:p w14:paraId="6764FEAC">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4CE6B158">
            <w:pPr>
              <w:spacing w:before="0" w:after="0" w:line="240" w:lineRule="auto"/>
              <w:ind w:left="0" w:right="0" w:firstLine="0" w:firstLineChars="0"/>
              <w:jc w:val="left"/>
            </w:pPr>
            <w:r>
              <w:rPr>
                <w:rFonts w:ascii="宋体" w:hAnsi="宋体" w:eastAsia="宋体" w:cs="宋体"/>
                <w:b w:val="0"/>
                <w:bCs w:val="0"/>
                <w:color w:val="000000"/>
                <w:sz w:val="16"/>
                <w:szCs w:val="16"/>
              </w:rPr>
              <w:t>输入：物料、时间等查询条件</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输出：库存、到货及发运事实</w:t>
            </w:r>
          </w:p>
        </w:tc>
        <w:tc>
          <w:tcPr>
            <w:tcW w:w="2000" w:type="dxa"/>
            <w:shd w:val="clear" w:color="auto" w:fill="FFFFFF"/>
            <w:vAlign w:val="center"/>
          </w:tcPr>
          <w:p w14:paraId="054E4DCA">
            <w:pPr>
              <w:spacing w:before="0" w:after="0" w:line="240" w:lineRule="auto"/>
              <w:ind w:left="0" w:right="0" w:firstLine="0" w:firstLineChars="0"/>
              <w:jc w:val="left"/>
            </w:pPr>
            <w:r>
              <w:rPr>
                <w:rFonts w:ascii="宋体" w:hAnsi="宋体" w:eastAsia="宋体" w:cs="宋体"/>
                <w:b w:val="0"/>
                <w:bCs w:val="0"/>
                <w:color w:val="000000"/>
                <w:sz w:val="16"/>
                <w:szCs w:val="16"/>
              </w:rPr>
              <w:t>使用综合数据问答的授权查询结果，提供当前库存、在途到货、发运进度与在途状态。经AI数据治理关联WMS库存和出入库记录、TMS在途运输及到货发运状态，保持物料和时间条件一致。</w:t>
            </w:r>
          </w:p>
        </w:tc>
        <w:tc>
          <w:tcPr>
            <w:tcW w:w="1072" w:type="dxa"/>
            <w:shd w:val="clear" w:color="auto" w:fill="FFFFFF"/>
            <w:vAlign w:val="center"/>
          </w:tcPr>
          <w:p w14:paraId="1A473B86">
            <w:pPr>
              <w:spacing w:before="0" w:after="0" w:line="240" w:lineRule="auto"/>
              <w:ind w:left="0" w:right="0" w:firstLine="0" w:firstLineChars="0"/>
              <w:jc w:val="left"/>
            </w:pPr>
            <w:r>
              <w:rPr>
                <w:rFonts w:ascii="宋体" w:hAnsi="宋体" w:eastAsia="宋体" w:cs="宋体"/>
                <w:b w:val="0"/>
                <w:bCs w:val="0"/>
                <w:color w:val="000000"/>
                <w:sz w:val="16"/>
                <w:szCs w:val="16"/>
              </w:rPr>
              <w:t>→10</w:t>
            </w:r>
          </w:p>
        </w:tc>
        <w:tc>
          <w:tcPr>
            <w:tcW w:w="2000" w:type="dxa"/>
            <w:shd w:val="clear" w:color="auto" w:fill="FFFFFF"/>
            <w:vAlign w:val="center"/>
          </w:tcPr>
          <w:p w14:paraId="4E8A4A38">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p>
        </w:tc>
      </w:tr>
      <w:tr w14:paraId="3BAFB52A">
        <w:trPr>
          <w:cantSplit/>
          <w:jc w:val="center"/>
        </w:trPr>
        <w:tc>
          <w:tcPr>
            <w:tcW w:w="650" w:type="dxa"/>
            <w:shd w:val="clear" w:color="auto" w:fill="FFFFFF"/>
            <w:vAlign w:val="center"/>
          </w:tcPr>
          <w:p w14:paraId="46D94CE1">
            <w:pPr>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344CC9E3">
            <w:pPr>
              <w:spacing w:before="0" w:after="0" w:line="240" w:lineRule="auto"/>
              <w:ind w:left="0" w:right="0" w:firstLine="0" w:firstLineChars="0"/>
              <w:jc w:val="center"/>
            </w:pPr>
            <w:r>
              <w:rPr>
                <w:rFonts w:ascii="宋体" w:hAnsi="宋体" w:eastAsia="宋体" w:cs="宋体"/>
                <w:b w:val="0"/>
                <w:bCs w:val="0"/>
                <w:color w:val="000000"/>
                <w:sz w:val="16"/>
                <w:szCs w:val="16"/>
              </w:rPr>
              <w:t>取得SCOS计划与建议</w:t>
            </w:r>
          </w:p>
        </w:tc>
        <w:tc>
          <w:tcPr>
            <w:tcW w:w="950" w:type="dxa"/>
            <w:shd w:val="clear" w:color="auto" w:fill="FFFFFF"/>
            <w:vAlign w:val="center"/>
          </w:tcPr>
          <w:p w14:paraId="0EF2BC1F">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124ED8A8">
            <w:pPr>
              <w:spacing w:before="0" w:after="0" w:line="240" w:lineRule="auto"/>
              <w:ind w:left="0" w:right="0" w:firstLine="0" w:firstLineChars="0"/>
              <w:jc w:val="left"/>
            </w:pPr>
            <w:r>
              <w:rPr>
                <w:rFonts w:ascii="宋体" w:hAnsi="宋体" w:eastAsia="宋体" w:cs="宋体"/>
                <w:b w:val="0"/>
                <w:bCs w:val="0"/>
                <w:color w:val="000000"/>
                <w:sz w:val="16"/>
                <w:szCs w:val="16"/>
              </w:rPr>
              <w:t>输入：查询条件</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输出：安全库存、补货及覆盖结果</w:t>
            </w:r>
          </w:p>
        </w:tc>
        <w:tc>
          <w:tcPr>
            <w:tcW w:w="2000" w:type="dxa"/>
            <w:shd w:val="clear" w:color="auto" w:fill="FFFFFF"/>
            <w:vAlign w:val="center"/>
          </w:tcPr>
          <w:p w14:paraId="542D5197">
            <w:pPr>
              <w:spacing w:before="0" w:after="0" w:line="240" w:lineRule="auto"/>
              <w:ind w:left="0" w:right="0" w:firstLine="0" w:firstLineChars="0"/>
              <w:jc w:val="left"/>
            </w:pPr>
            <w:r>
              <w:rPr>
                <w:rFonts w:ascii="宋体" w:hAnsi="宋体" w:eastAsia="宋体" w:cs="宋体"/>
                <w:b w:val="0"/>
                <w:bCs w:val="0"/>
                <w:color w:val="000000"/>
                <w:sz w:val="16"/>
                <w:szCs w:val="16"/>
              </w:rPr>
              <w:t>取得SCOS安全库存、补货建议及覆盖或缺口计算结果，校验数字并标注来源、计算条件和截止时间。上述计划及覆盖结果以SCOS原始返回为依据，保留结果提供方。</w:t>
            </w:r>
          </w:p>
        </w:tc>
        <w:tc>
          <w:tcPr>
            <w:tcW w:w="1072" w:type="dxa"/>
            <w:shd w:val="clear" w:color="auto" w:fill="FFFFFF"/>
            <w:vAlign w:val="center"/>
          </w:tcPr>
          <w:p w14:paraId="12C3A406">
            <w:pPr>
              <w:spacing w:before="0" w:after="0" w:line="240" w:lineRule="auto"/>
              <w:ind w:left="0" w:right="0" w:firstLine="0" w:firstLineChars="0"/>
              <w:jc w:val="left"/>
            </w:pPr>
            <w:r>
              <w:rPr>
                <w:rFonts w:ascii="宋体" w:hAnsi="宋体" w:eastAsia="宋体" w:cs="宋体"/>
                <w:b w:val="0"/>
                <w:bCs w:val="0"/>
                <w:color w:val="000000"/>
                <w:sz w:val="16"/>
                <w:szCs w:val="16"/>
              </w:rPr>
              <w:t>结果可用→10；</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暂无结果→05</w:t>
            </w:r>
          </w:p>
        </w:tc>
        <w:tc>
          <w:tcPr>
            <w:tcW w:w="2000" w:type="dxa"/>
            <w:shd w:val="clear" w:color="auto" w:fill="FFFFFF"/>
            <w:vAlign w:val="center"/>
          </w:tcPr>
          <w:p w14:paraId="458FF7A8">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p>
        </w:tc>
      </w:tr>
      <w:tr w14:paraId="391F8444">
        <w:trPr>
          <w:cantSplit/>
          <w:jc w:val="center"/>
        </w:trPr>
        <w:tc>
          <w:tcPr>
            <w:tcW w:w="650" w:type="dxa"/>
            <w:shd w:val="clear" w:color="auto" w:fill="FFFFFF"/>
            <w:vAlign w:val="center"/>
          </w:tcPr>
          <w:p w14:paraId="463FE488">
            <w:pPr>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4F846FD6">
            <w:pPr>
              <w:spacing w:before="0" w:after="0" w:line="240" w:lineRule="auto"/>
              <w:ind w:left="0" w:right="0" w:firstLine="0" w:firstLineChars="0"/>
              <w:jc w:val="center"/>
            </w:pPr>
            <w:r>
              <w:rPr>
                <w:rFonts w:ascii="宋体" w:hAnsi="宋体" w:eastAsia="宋体" w:cs="宋体"/>
                <w:b w:val="0"/>
                <w:bCs w:val="0"/>
                <w:color w:val="000000"/>
                <w:sz w:val="16"/>
                <w:szCs w:val="16"/>
              </w:rPr>
              <w:t>说明状态与可用事实</w:t>
            </w:r>
          </w:p>
        </w:tc>
        <w:tc>
          <w:tcPr>
            <w:tcW w:w="950" w:type="dxa"/>
            <w:shd w:val="clear" w:color="auto" w:fill="FFFFFF"/>
            <w:vAlign w:val="center"/>
          </w:tcPr>
          <w:p w14:paraId="68DAF061">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1C948587">
            <w:pPr>
              <w:spacing w:before="0" w:after="0" w:line="240" w:lineRule="auto"/>
              <w:ind w:left="0" w:right="0" w:firstLine="0" w:firstLineChars="0"/>
              <w:jc w:val="left"/>
            </w:pPr>
            <w:r>
              <w:rPr>
                <w:rFonts w:ascii="宋体" w:hAnsi="宋体" w:eastAsia="宋体" w:cs="宋体"/>
                <w:b w:val="0"/>
                <w:bCs w:val="0"/>
                <w:color w:val="000000"/>
                <w:sz w:val="16"/>
                <w:szCs w:val="16"/>
              </w:rPr>
              <w:t>输入：无结果或数据状态</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输出：限制说明及可用事实</w:t>
            </w:r>
          </w:p>
        </w:tc>
        <w:tc>
          <w:tcPr>
            <w:tcW w:w="2000" w:type="dxa"/>
            <w:shd w:val="clear" w:color="auto" w:fill="FFFFFF"/>
            <w:vAlign w:val="center"/>
          </w:tcPr>
          <w:p w14:paraId="268090D3">
            <w:pPr>
              <w:spacing w:before="0" w:after="0" w:line="240" w:lineRule="auto"/>
              <w:ind w:left="0" w:right="0" w:firstLine="0" w:firstLineChars="0"/>
              <w:jc w:val="left"/>
            </w:pPr>
            <w:r>
              <w:rPr>
                <w:rFonts w:ascii="宋体" w:hAnsi="宋体" w:eastAsia="宋体" w:cs="宋体"/>
                <w:b w:val="0"/>
                <w:bCs w:val="0"/>
                <w:color w:val="000000"/>
                <w:sz w:val="16"/>
                <w:szCs w:val="16"/>
              </w:rPr>
              <w:t>说明计划结果或候选数据的获取状态；已有库存、在途量及到货时间时一并提供，便于业务人员结合当前生产条件判断。</w:t>
            </w:r>
          </w:p>
        </w:tc>
        <w:tc>
          <w:tcPr>
            <w:tcW w:w="1072" w:type="dxa"/>
            <w:shd w:val="clear" w:color="auto" w:fill="FFFFFF"/>
            <w:vAlign w:val="center"/>
          </w:tcPr>
          <w:p w14:paraId="4BD57811">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7028A781">
            <w:pPr>
              <w:spacing w:before="0" w:after="0" w:line="240" w:lineRule="auto"/>
              <w:ind w:left="0" w:right="0" w:firstLine="0" w:firstLineChars="0"/>
              <w:jc w:val="left"/>
            </w:pPr>
            <w:r>
              <w:rPr>
                <w:rFonts w:ascii="宋体" w:hAnsi="宋体" w:eastAsia="宋体" w:cs="宋体"/>
                <w:b w:val="0"/>
                <w:bCs w:val="0"/>
                <w:color w:val="000000"/>
                <w:sz w:val="16"/>
                <w:szCs w:val="16"/>
              </w:rPr>
              <w:t>P-ZLTC-AI-ZNWS-101-08-003</w:t>
            </w:r>
          </w:p>
        </w:tc>
      </w:tr>
      <w:tr w14:paraId="5B7A2907">
        <w:trPr>
          <w:cantSplit/>
          <w:jc w:val="center"/>
        </w:trPr>
        <w:tc>
          <w:tcPr>
            <w:tcW w:w="650" w:type="dxa"/>
            <w:shd w:val="clear" w:color="auto" w:fill="FFFFFF"/>
            <w:vAlign w:val="center"/>
          </w:tcPr>
          <w:p w14:paraId="49647685">
            <w:pPr>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77F50154">
            <w:pPr>
              <w:spacing w:before="0" w:after="0" w:line="240" w:lineRule="auto"/>
              <w:ind w:left="0" w:right="0" w:firstLine="0" w:firstLineChars="0"/>
              <w:jc w:val="center"/>
            </w:pPr>
            <w:r>
              <w:rPr>
                <w:rFonts w:ascii="宋体" w:hAnsi="宋体" w:eastAsia="宋体" w:cs="宋体"/>
                <w:b w:val="0"/>
                <w:bCs w:val="0"/>
                <w:color w:val="000000"/>
                <w:sz w:val="16"/>
                <w:szCs w:val="16"/>
              </w:rPr>
              <w:t>抽取应急参数并回显确认</w:t>
            </w:r>
          </w:p>
        </w:tc>
        <w:tc>
          <w:tcPr>
            <w:tcW w:w="950" w:type="dxa"/>
            <w:shd w:val="clear" w:color="auto" w:fill="FFFFFF"/>
            <w:vAlign w:val="center"/>
          </w:tcPr>
          <w:p w14:paraId="39A2B373">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090D5F35">
            <w:pPr>
              <w:spacing w:before="0" w:after="0" w:line="240" w:lineRule="auto"/>
              <w:ind w:left="0" w:right="0" w:firstLine="0" w:firstLineChars="0"/>
              <w:jc w:val="left"/>
            </w:pPr>
            <w:r>
              <w:rPr>
                <w:rFonts w:ascii="宋体" w:hAnsi="宋体" w:eastAsia="宋体" w:cs="宋体"/>
                <w:b w:val="0"/>
                <w:bCs w:val="0"/>
                <w:color w:val="000000"/>
                <w:sz w:val="16"/>
                <w:szCs w:val="16"/>
              </w:rPr>
              <w:t>输入：口述突发情况</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输出：确认后的应急条件</w:t>
            </w:r>
          </w:p>
        </w:tc>
        <w:tc>
          <w:tcPr>
            <w:tcW w:w="2000" w:type="dxa"/>
            <w:shd w:val="clear" w:color="auto" w:fill="FFFFFF"/>
            <w:vAlign w:val="center"/>
          </w:tcPr>
          <w:p w14:paraId="5A076679">
            <w:pPr>
              <w:spacing w:before="0" w:after="0" w:line="240" w:lineRule="auto"/>
              <w:ind w:left="0" w:right="0" w:firstLine="0" w:firstLineChars="0"/>
              <w:jc w:val="left"/>
            </w:pPr>
            <w:r>
              <w:rPr>
                <w:rFonts w:ascii="宋体" w:hAnsi="宋体" w:eastAsia="宋体" w:cs="宋体"/>
                <w:b w:val="0"/>
                <w:bCs w:val="0"/>
                <w:color w:val="000000"/>
                <w:sz w:val="16"/>
                <w:szCs w:val="16"/>
              </w:rPr>
              <w:t>提取物料、原供应商、失效原因、原定到货时间等结构化参数，回显由用户确认。</w:t>
            </w:r>
          </w:p>
        </w:tc>
        <w:tc>
          <w:tcPr>
            <w:tcW w:w="1072" w:type="dxa"/>
            <w:shd w:val="clear" w:color="auto" w:fill="FFFFFF"/>
            <w:vAlign w:val="center"/>
          </w:tcPr>
          <w:p w14:paraId="154DE93E">
            <w:pPr>
              <w:spacing w:before="0" w:after="0" w:line="240" w:lineRule="auto"/>
              <w:ind w:left="0" w:right="0" w:firstLine="0" w:firstLineChars="0"/>
              <w:jc w:val="left"/>
            </w:pPr>
            <w:r>
              <w:rPr>
                <w:rFonts w:ascii="宋体" w:hAnsi="宋体" w:eastAsia="宋体" w:cs="宋体"/>
                <w:b w:val="0"/>
                <w:bCs w:val="0"/>
                <w:color w:val="000000"/>
                <w:sz w:val="16"/>
                <w:szCs w:val="16"/>
              </w:rPr>
              <w:t>补充确认→06；</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条件明确→07</w:t>
            </w:r>
          </w:p>
        </w:tc>
        <w:tc>
          <w:tcPr>
            <w:tcW w:w="2000" w:type="dxa"/>
            <w:shd w:val="clear" w:color="auto" w:fill="FFFFFF"/>
            <w:vAlign w:val="center"/>
          </w:tcPr>
          <w:p w14:paraId="788FF5B1">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p>
        </w:tc>
      </w:tr>
      <w:tr w14:paraId="7A9426D6">
        <w:trPr>
          <w:cantSplit/>
          <w:jc w:val="center"/>
        </w:trPr>
        <w:tc>
          <w:tcPr>
            <w:tcW w:w="650" w:type="dxa"/>
            <w:shd w:val="clear" w:color="auto" w:fill="FFFFFF"/>
            <w:vAlign w:val="center"/>
          </w:tcPr>
          <w:p w14:paraId="06D37C01">
            <w:pPr>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2022A126">
            <w:pPr>
              <w:spacing w:before="0" w:after="0" w:line="240" w:lineRule="auto"/>
              <w:ind w:left="0" w:right="0" w:firstLine="0" w:firstLineChars="0"/>
              <w:jc w:val="center"/>
            </w:pPr>
            <w:r>
              <w:rPr>
                <w:rFonts w:ascii="宋体" w:hAnsi="宋体" w:eastAsia="宋体" w:cs="宋体"/>
                <w:b w:val="0"/>
                <w:bCs w:val="0"/>
                <w:color w:val="000000"/>
                <w:sz w:val="16"/>
                <w:szCs w:val="16"/>
              </w:rPr>
              <w:t>归集可联络补货候选</w:t>
            </w:r>
          </w:p>
        </w:tc>
        <w:tc>
          <w:tcPr>
            <w:tcW w:w="950" w:type="dxa"/>
            <w:shd w:val="clear" w:color="auto" w:fill="FFFFFF"/>
            <w:vAlign w:val="center"/>
          </w:tcPr>
          <w:p w14:paraId="762A232B">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0C9A5520">
            <w:pPr>
              <w:spacing w:before="0" w:after="0" w:line="240" w:lineRule="auto"/>
              <w:ind w:left="0" w:right="0" w:firstLine="0" w:firstLineChars="0"/>
              <w:jc w:val="left"/>
            </w:pPr>
            <w:r>
              <w:rPr>
                <w:rFonts w:ascii="宋体" w:hAnsi="宋体" w:eastAsia="宋体" w:cs="宋体"/>
                <w:b w:val="0"/>
                <w:bCs w:val="0"/>
                <w:color w:val="000000"/>
                <w:sz w:val="16"/>
                <w:szCs w:val="16"/>
              </w:rPr>
              <w:t>输入：确认条件及业务身份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输出：候选数据</w:t>
            </w:r>
          </w:p>
        </w:tc>
        <w:tc>
          <w:tcPr>
            <w:tcW w:w="2000" w:type="dxa"/>
            <w:shd w:val="clear" w:color="auto" w:fill="FFFFFF"/>
            <w:vAlign w:val="center"/>
          </w:tcPr>
          <w:p w14:paraId="5366ED1B">
            <w:pPr>
              <w:spacing w:before="0" w:after="0" w:line="240" w:lineRule="auto"/>
              <w:ind w:left="0" w:right="0" w:firstLine="0" w:firstLineChars="0"/>
              <w:jc w:val="left"/>
            </w:pPr>
            <w:r>
              <w:rPr>
                <w:rFonts w:ascii="宋体" w:hAnsi="宋体" w:eastAsia="宋体" w:cs="宋体"/>
                <w:b w:val="0"/>
                <w:bCs w:val="0"/>
                <w:color w:val="000000"/>
                <w:sz w:val="16"/>
                <w:szCs w:val="16"/>
              </w:rPr>
              <w:t>从SCOS采购辅助决策与供应商能力、AI数据治理提供的WMS和TMS库存在途数据归集可联络候选，保留来源。</w:t>
            </w:r>
          </w:p>
        </w:tc>
        <w:tc>
          <w:tcPr>
            <w:tcW w:w="1072" w:type="dxa"/>
            <w:shd w:val="clear" w:color="auto" w:fill="FFFFFF"/>
            <w:vAlign w:val="center"/>
          </w:tcPr>
          <w:p w14:paraId="15D336A3">
            <w:pPr>
              <w:spacing w:before="0" w:after="0" w:line="240" w:lineRule="auto"/>
              <w:ind w:left="0" w:right="0" w:firstLine="0" w:firstLineChars="0"/>
              <w:jc w:val="left"/>
            </w:pPr>
            <w:r>
              <w:rPr>
                <w:rFonts w:ascii="宋体" w:hAnsi="宋体" w:eastAsia="宋体" w:cs="宋体"/>
                <w:b w:val="0"/>
                <w:bCs w:val="0"/>
                <w:color w:val="000000"/>
                <w:sz w:val="16"/>
                <w:szCs w:val="16"/>
              </w:rPr>
              <w:t>数据不可用→05；</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数据可用→08</w:t>
            </w:r>
          </w:p>
        </w:tc>
        <w:tc>
          <w:tcPr>
            <w:tcW w:w="2000" w:type="dxa"/>
            <w:shd w:val="clear" w:color="auto" w:fill="FFFFFF"/>
            <w:vAlign w:val="center"/>
          </w:tcPr>
          <w:p w14:paraId="2F0D7670">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p>
        </w:tc>
      </w:tr>
      <w:tr w14:paraId="0D1ABF1D">
        <w:trPr>
          <w:cantSplit/>
          <w:jc w:val="center"/>
        </w:trPr>
        <w:tc>
          <w:tcPr>
            <w:tcW w:w="650" w:type="dxa"/>
            <w:shd w:val="clear" w:color="auto" w:fill="FFFFFF"/>
            <w:vAlign w:val="center"/>
          </w:tcPr>
          <w:p w14:paraId="2FA6DEA4">
            <w:pPr>
              <w:spacing w:before="0" w:after="0" w:line="240" w:lineRule="auto"/>
              <w:ind w:left="0" w:right="0" w:firstLine="0" w:firstLineChars="0"/>
              <w:jc w:val="center"/>
            </w:pPr>
            <w:r>
              <w:rPr>
                <w:rFonts w:ascii="宋体" w:hAnsi="宋体" w:eastAsia="宋体" w:cs="宋体"/>
                <w:b w:val="0"/>
                <w:bCs w:val="0"/>
                <w:color w:val="000000"/>
                <w:sz w:val="16"/>
                <w:szCs w:val="16"/>
              </w:rPr>
              <w:t>08</w:t>
            </w:r>
          </w:p>
        </w:tc>
        <w:tc>
          <w:tcPr>
            <w:tcW w:w="1050" w:type="dxa"/>
            <w:shd w:val="clear" w:color="auto" w:fill="FFFFFF"/>
            <w:vAlign w:val="center"/>
          </w:tcPr>
          <w:p w14:paraId="3027EC61">
            <w:pPr>
              <w:spacing w:before="0" w:after="0" w:line="240" w:lineRule="auto"/>
              <w:ind w:left="0" w:right="0" w:firstLine="0" w:firstLineChars="0"/>
              <w:jc w:val="center"/>
            </w:pPr>
            <w:r>
              <w:rPr>
                <w:rFonts w:ascii="宋体" w:hAnsi="宋体" w:eastAsia="宋体" w:cs="宋体"/>
                <w:b w:val="0"/>
                <w:bCs w:val="0"/>
                <w:color w:val="000000"/>
                <w:sz w:val="16"/>
                <w:szCs w:val="16"/>
              </w:rPr>
              <w:t>按参考时效排序并标风险</w:t>
            </w:r>
          </w:p>
        </w:tc>
        <w:tc>
          <w:tcPr>
            <w:tcW w:w="950" w:type="dxa"/>
            <w:shd w:val="clear" w:color="auto" w:fill="FFFFFF"/>
            <w:vAlign w:val="center"/>
          </w:tcPr>
          <w:p w14:paraId="63B8A916">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7361E01E">
            <w:pPr>
              <w:spacing w:before="0" w:after="0" w:line="240" w:lineRule="auto"/>
              <w:ind w:left="0" w:right="0" w:firstLine="0" w:firstLineChars="0"/>
              <w:jc w:val="left"/>
            </w:pPr>
            <w:r>
              <w:rPr>
                <w:rFonts w:ascii="宋体" w:hAnsi="宋体" w:eastAsia="宋体" w:cs="宋体"/>
                <w:b w:val="0"/>
                <w:bCs w:val="0"/>
                <w:color w:val="000000"/>
                <w:sz w:val="16"/>
                <w:szCs w:val="16"/>
              </w:rPr>
              <w:t>输入：候选数据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输出：排序清单及适用风险提示</w:t>
            </w:r>
          </w:p>
        </w:tc>
        <w:tc>
          <w:tcPr>
            <w:tcW w:w="2000" w:type="dxa"/>
            <w:shd w:val="clear" w:color="auto" w:fill="FFFFFF"/>
            <w:vAlign w:val="center"/>
          </w:tcPr>
          <w:p w14:paraId="3205EE96">
            <w:pPr>
              <w:spacing w:before="0" w:after="0" w:line="240" w:lineRule="auto"/>
              <w:ind w:left="0" w:right="0" w:firstLine="0" w:firstLineChars="0"/>
              <w:jc w:val="left"/>
            </w:pPr>
            <w:r>
              <w:rPr>
                <w:rFonts w:ascii="宋体" w:hAnsi="宋体" w:eastAsia="宋体" w:cs="宋体"/>
                <w:b w:val="0"/>
                <w:bCs w:val="0"/>
                <w:color w:val="000000"/>
                <w:sz w:val="16"/>
                <w:szCs w:val="16"/>
              </w:rPr>
              <w:t>列明候选供应商、仓库位置、品类、运输方式、参考时效、联系方式及能力，按参考时效排序；注明时效来源，结合已接入气象和节假日信息提示运输风险。</w:t>
            </w:r>
          </w:p>
        </w:tc>
        <w:tc>
          <w:tcPr>
            <w:tcW w:w="1072" w:type="dxa"/>
            <w:shd w:val="clear" w:color="auto" w:fill="FFFFFF"/>
            <w:vAlign w:val="center"/>
          </w:tcPr>
          <w:p w14:paraId="7D54D5A4">
            <w:pPr>
              <w:spacing w:before="0" w:after="0" w:line="240" w:lineRule="auto"/>
              <w:ind w:left="0" w:right="0" w:firstLine="0" w:firstLineChars="0"/>
              <w:jc w:val="left"/>
            </w:pPr>
            <w:r>
              <w:rPr>
                <w:rFonts w:ascii="宋体" w:hAnsi="宋体" w:eastAsia="宋体" w:cs="宋体"/>
                <w:b w:val="0"/>
                <w:bCs w:val="0"/>
                <w:color w:val="000000"/>
                <w:sz w:val="16"/>
                <w:szCs w:val="16"/>
              </w:rPr>
              <w:t>→09</w:t>
            </w:r>
          </w:p>
        </w:tc>
        <w:tc>
          <w:tcPr>
            <w:tcW w:w="2000" w:type="dxa"/>
            <w:shd w:val="clear" w:color="auto" w:fill="FFFFFF"/>
            <w:vAlign w:val="center"/>
          </w:tcPr>
          <w:p w14:paraId="7194590D">
            <w:pPr>
              <w:spacing w:before="0" w:after="0" w:line="240" w:lineRule="auto"/>
              <w:ind w:left="0" w:right="0" w:firstLine="0" w:firstLineChars="0"/>
              <w:jc w:val="left"/>
            </w:pPr>
            <w:r>
              <w:rPr>
                <w:rFonts w:ascii="宋体" w:hAnsi="宋体" w:eastAsia="宋体" w:cs="宋体"/>
                <w:b w:val="0"/>
                <w:bCs w:val="0"/>
                <w:color w:val="000000"/>
                <w:sz w:val="16"/>
                <w:szCs w:val="16"/>
              </w:rPr>
              <w:t>P-ZLTC-AI-ZNWS-101-08-002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p>
        </w:tc>
      </w:tr>
      <w:tr w14:paraId="2F111A49">
        <w:trPr>
          <w:cantSplit/>
          <w:jc w:val="center"/>
        </w:trPr>
        <w:tc>
          <w:tcPr>
            <w:tcW w:w="650" w:type="dxa"/>
            <w:shd w:val="clear" w:color="auto" w:fill="FFFFFF"/>
            <w:vAlign w:val="center"/>
          </w:tcPr>
          <w:p w14:paraId="714F2278">
            <w:pPr>
              <w:spacing w:before="0" w:after="0" w:line="240" w:lineRule="auto"/>
              <w:ind w:left="0" w:right="0" w:firstLine="0" w:firstLineChars="0"/>
              <w:jc w:val="center"/>
            </w:pPr>
            <w:r>
              <w:rPr>
                <w:rFonts w:ascii="宋体" w:hAnsi="宋体" w:eastAsia="宋体" w:cs="宋体"/>
                <w:b w:val="0"/>
                <w:bCs w:val="0"/>
                <w:color w:val="000000"/>
                <w:sz w:val="16"/>
                <w:szCs w:val="16"/>
              </w:rPr>
              <w:t>09</w:t>
            </w:r>
          </w:p>
        </w:tc>
        <w:tc>
          <w:tcPr>
            <w:tcW w:w="1050" w:type="dxa"/>
            <w:shd w:val="clear" w:color="auto" w:fill="FFFFFF"/>
            <w:vAlign w:val="center"/>
          </w:tcPr>
          <w:p w14:paraId="6CAFBCF8">
            <w:pPr>
              <w:spacing w:before="0" w:after="0" w:line="240" w:lineRule="auto"/>
              <w:ind w:left="0" w:right="0" w:firstLine="0" w:firstLineChars="0"/>
              <w:jc w:val="center"/>
            </w:pPr>
            <w:r>
              <w:rPr>
                <w:rFonts w:ascii="宋体" w:hAnsi="宋体" w:eastAsia="宋体" w:cs="宋体"/>
                <w:b w:val="0"/>
                <w:bCs w:val="0"/>
                <w:color w:val="000000"/>
                <w:sz w:val="16"/>
                <w:szCs w:val="16"/>
              </w:rPr>
              <w:t>标注候选依据与时效</w:t>
            </w:r>
          </w:p>
        </w:tc>
        <w:tc>
          <w:tcPr>
            <w:tcW w:w="950" w:type="dxa"/>
            <w:shd w:val="clear" w:color="auto" w:fill="FFFFFF"/>
            <w:vAlign w:val="center"/>
          </w:tcPr>
          <w:p w14:paraId="4900C62D">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669DFE89">
            <w:pPr>
              <w:spacing w:before="0" w:after="0" w:line="240" w:lineRule="auto"/>
              <w:ind w:left="0" w:right="0" w:firstLine="0" w:firstLineChars="0"/>
              <w:jc w:val="left"/>
            </w:pPr>
            <w:r>
              <w:rPr>
                <w:rFonts w:ascii="宋体" w:hAnsi="宋体" w:eastAsia="宋体" w:cs="宋体"/>
                <w:b w:val="0"/>
                <w:bCs w:val="0"/>
                <w:color w:val="000000"/>
                <w:sz w:val="16"/>
                <w:szCs w:val="16"/>
              </w:rPr>
              <w:t>输入：候选清单</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输出：带来源与截止时间的候选结果</w:t>
            </w:r>
          </w:p>
        </w:tc>
        <w:tc>
          <w:tcPr>
            <w:tcW w:w="2000" w:type="dxa"/>
            <w:shd w:val="clear" w:color="auto" w:fill="FFFFFF"/>
            <w:vAlign w:val="center"/>
          </w:tcPr>
          <w:p w14:paraId="2CA2411C">
            <w:pPr>
              <w:spacing w:before="0" w:after="0" w:line="240" w:lineRule="auto"/>
              <w:ind w:left="0" w:right="0" w:firstLine="0" w:firstLineChars="0"/>
              <w:jc w:val="left"/>
            </w:pPr>
            <w:r>
              <w:rPr>
                <w:rFonts w:ascii="宋体" w:hAnsi="宋体" w:eastAsia="宋体" w:cs="宋体"/>
                <w:b w:val="0"/>
                <w:bCs w:val="0"/>
                <w:color w:val="000000"/>
                <w:sz w:val="16"/>
                <w:szCs w:val="16"/>
              </w:rPr>
              <w:t>为候选清单标注数据来源、截止时间和参考时效依据，列明需采购人员电话核实的实际可供量、到货时间及联络信息。</w:t>
            </w:r>
          </w:p>
        </w:tc>
        <w:tc>
          <w:tcPr>
            <w:tcW w:w="1072" w:type="dxa"/>
            <w:shd w:val="clear" w:color="auto" w:fill="FFFFFF"/>
            <w:vAlign w:val="center"/>
          </w:tcPr>
          <w:p w14:paraId="4DB2E74D">
            <w:pPr>
              <w:spacing w:before="0" w:after="0" w:line="240" w:lineRule="auto"/>
              <w:ind w:left="0" w:right="0" w:firstLine="0" w:firstLineChars="0"/>
              <w:jc w:val="left"/>
            </w:pPr>
            <w:r>
              <w:rPr>
                <w:rFonts w:ascii="宋体" w:hAnsi="宋体" w:eastAsia="宋体" w:cs="宋体"/>
                <w:b w:val="0"/>
                <w:bCs w:val="0"/>
                <w:color w:val="000000"/>
                <w:sz w:val="16"/>
                <w:szCs w:val="16"/>
              </w:rPr>
              <w:t>→10</w:t>
            </w:r>
          </w:p>
        </w:tc>
        <w:tc>
          <w:tcPr>
            <w:tcW w:w="2000" w:type="dxa"/>
            <w:shd w:val="clear" w:color="auto" w:fill="FFFFFF"/>
            <w:vAlign w:val="center"/>
          </w:tcPr>
          <w:p w14:paraId="64FF4592">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p>
        </w:tc>
      </w:tr>
      <w:tr w14:paraId="730E974B">
        <w:trPr>
          <w:cantSplit/>
          <w:jc w:val="center"/>
        </w:trPr>
        <w:tc>
          <w:tcPr>
            <w:tcW w:w="650" w:type="dxa"/>
            <w:shd w:val="clear" w:color="auto" w:fill="FFFFFF"/>
            <w:vAlign w:val="center"/>
          </w:tcPr>
          <w:p w14:paraId="392B8C85">
            <w:pPr>
              <w:spacing w:before="0" w:after="0" w:line="240" w:lineRule="auto"/>
              <w:ind w:left="0" w:right="0" w:firstLine="0" w:firstLineChars="0"/>
              <w:jc w:val="center"/>
            </w:pPr>
            <w:r>
              <w:rPr>
                <w:rFonts w:ascii="宋体" w:hAnsi="宋体" w:eastAsia="宋体" w:cs="宋体"/>
                <w:b w:val="0"/>
                <w:bCs w:val="0"/>
                <w:color w:val="000000"/>
                <w:sz w:val="16"/>
                <w:szCs w:val="16"/>
              </w:rPr>
              <w:t>10</w:t>
            </w:r>
          </w:p>
        </w:tc>
        <w:tc>
          <w:tcPr>
            <w:tcW w:w="1050" w:type="dxa"/>
            <w:shd w:val="clear" w:color="auto" w:fill="FFFFFF"/>
            <w:vAlign w:val="center"/>
          </w:tcPr>
          <w:p w14:paraId="457532E6">
            <w:pPr>
              <w:spacing w:before="0" w:after="0" w:line="240" w:lineRule="auto"/>
              <w:ind w:left="0" w:right="0" w:firstLine="0" w:firstLineChars="0"/>
              <w:jc w:val="center"/>
            </w:pPr>
            <w:r>
              <w:rPr>
                <w:rFonts w:ascii="宋体" w:hAnsi="宋体" w:eastAsia="宋体" w:cs="宋体"/>
                <w:b w:val="0"/>
                <w:bCs w:val="0"/>
                <w:color w:val="000000"/>
                <w:sz w:val="16"/>
                <w:szCs w:val="16"/>
              </w:rPr>
              <w:t>呈现查询结果或候选清单</w:t>
            </w:r>
          </w:p>
        </w:tc>
        <w:tc>
          <w:tcPr>
            <w:tcW w:w="950" w:type="dxa"/>
            <w:shd w:val="clear" w:color="auto" w:fill="FFFFFF"/>
            <w:vAlign w:val="center"/>
          </w:tcPr>
          <w:p w14:paraId="7C35CD0A">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07634FF2">
            <w:pPr>
              <w:spacing w:before="0" w:after="0" w:line="240" w:lineRule="auto"/>
              <w:ind w:left="0" w:right="0" w:firstLine="0" w:firstLineChars="0"/>
              <w:jc w:val="left"/>
            </w:pPr>
            <w:r>
              <w:rPr>
                <w:rFonts w:ascii="宋体" w:hAnsi="宋体" w:eastAsia="宋体" w:cs="宋体"/>
                <w:b w:val="0"/>
                <w:bCs w:val="0"/>
                <w:color w:val="000000"/>
                <w:sz w:val="16"/>
                <w:szCs w:val="16"/>
              </w:rPr>
              <w:t>输入：事实、SCOS结果或候选清单</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输出：会话应答</w:t>
            </w:r>
          </w:p>
        </w:tc>
        <w:tc>
          <w:tcPr>
            <w:tcW w:w="2000" w:type="dxa"/>
            <w:shd w:val="clear" w:color="auto" w:fill="FFFFFF"/>
            <w:vAlign w:val="center"/>
          </w:tcPr>
          <w:p w14:paraId="748D8AF9">
            <w:pPr>
              <w:spacing w:before="0" w:after="0" w:line="240" w:lineRule="auto"/>
              <w:ind w:left="0" w:right="0" w:firstLine="0" w:firstLineChars="0"/>
              <w:jc w:val="left"/>
            </w:pPr>
            <w:r>
              <w:rPr>
                <w:rFonts w:ascii="宋体" w:hAnsi="宋体" w:eastAsia="宋体" w:cs="宋体"/>
                <w:b w:val="0"/>
                <w:bCs w:val="0"/>
                <w:color w:val="000000"/>
                <w:sz w:val="16"/>
                <w:szCs w:val="16"/>
              </w:rPr>
              <w:t>呈现物流事实、SCOS计划结果或补货候选清单，保留来源、计算条件和数据截止时间，支持授权导出及后续联络。</w:t>
            </w:r>
          </w:p>
        </w:tc>
        <w:tc>
          <w:tcPr>
            <w:tcW w:w="1072" w:type="dxa"/>
            <w:shd w:val="clear" w:color="auto" w:fill="FFFFFF"/>
            <w:vAlign w:val="center"/>
          </w:tcPr>
          <w:p w14:paraId="65552248">
            <w:pPr>
              <w:spacing w:before="0" w:after="0" w:line="240" w:lineRule="auto"/>
              <w:ind w:left="0" w:right="0" w:firstLine="0" w:firstLineChars="0"/>
              <w:jc w:val="left"/>
            </w:pPr>
            <w:r>
              <w:rPr>
                <w:rFonts w:ascii="宋体" w:hAnsi="宋体" w:eastAsia="宋体" w:cs="宋体"/>
                <w:b w:val="0"/>
                <w:bCs w:val="0"/>
                <w:color w:val="000000"/>
                <w:sz w:val="16"/>
                <w:szCs w:val="16"/>
              </w:rPr>
              <w:t>联络决策→11；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查看完成→结束</w:t>
            </w:r>
          </w:p>
        </w:tc>
        <w:tc>
          <w:tcPr>
            <w:tcW w:w="2000" w:type="dxa"/>
            <w:shd w:val="clear" w:color="auto" w:fill="FFFFFF"/>
            <w:vAlign w:val="center"/>
          </w:tcPr>
          <w:p w14:paraId="1A40BA90">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4FC0ECA2">
        <w:trPr>
          <w:cantSplit/>
          <w:jc w:val="center"/>
        </w:trPr>
        <w:tc>
          <w:tcPr>
            <w:tcW w:w="650" w:type="dxa"/>
            <w:shd w:val="clear" w:color="auto" w:fill="FFFFFF"/>
            <w:vAlign w:val="center"/>
          </w:tcPr>
          <w:p w14:paraId="3E946743">
            <w:pPr>
              <w:spacing w:before="0" w:after="0" w:line="240" w:lineRule="auto"/>
              <w:ind w:left="0" w:right="0" w:firstLine="0" w:firstLineChars="0"/>
              <w:jc w:val="center"/>
            </w:pPr>
            <w:r>
              <w:rPr>
                <w:rFonts w:ascii="宋体" w:hAnsi="宋体" w:eastAsia="宋体" w:cs="宋体"/>
                <w:b w:val="0"/>
                <w:bCs w:val="0"/>
                <w:color w:val="000000"/>
                <w:sz w:val="16"/>
                <w:szCs w:val="16"/>
              </w:rPr>
              <w:t>11</w:t>
            </w:r>
          </w:p>
        </w:tc>
        <w:tc>
          <w:tcPr>
            <w:tcW w:w="1050" w:type="dxa"/>
            <w:shd w:val="clear" w:color="auto" w:fill="FFFFFF"/>
            <w:vAlign w:val="center"/>
          </w:tcPr>
          <w:p w14:paraId="46991A8A">
            <w:pPr>
              <w:spacing w:before="0" w:after="0" w:line="240" w:lineRule="auto"/>
              <w:ind w:left="0" w:right="0" w:firstLine="0" w:firstLineChars="0"/>
              <w:jc w:val="center"/>
            </w:pPr>
            <w:r>
              <w:rPr>
                <w:rFonts w:ascii="宋体" w:hAnsi="宋体" w:eastAsia="宋体" w:cs="宋体"/>
                <w:b w:val="0"/>
                <w:bCs w:val="0"/>
                <w:color w:val="000000"/>
                <w:sz w:val="16"/>
                <w:szCs w:val="16"/>
              </w:rPr>
              <w:t>采购人员联络并决策</w:t>
            </w:r>
          </w:p>
        </w:tc>
        <w:tc>
          <w:tcPr>
            <w:tcW w:w="950" w:type="dxa"/>
            <w:shd w:val="clear" w:color="auto" w:fill="FFFFFF"/>
            <w:vAlign w:val="center"/>
          </w:tcPr>
          <w:p w14:paraId="26F601DD">
            <w:pPr>
              <w:spacing w:before="0" w:after="0" w:line="240" w:lineRule="auto"/>
              <w:ind w:left="0" w:right="0" w:firstLine="0" w:firstLineChars="0"/>
              <w:jc w:val="center"/>
            </w:pPr>
            <w:r>
              <w:rPr>
                <w:rFonts w:ascii="宋体" w:hAnsi="宋体" w:eastAsia="宋体" w:cs="宋体"/>
                <w:b w:val="0"/>
                <w:bCs w:val="0"/>
                <w:color w:val="000000"/>
                <w:sz w:val="16"/>
                <w:szCs w:val="16"/>
              </w:rPr>
              <w:t>采购人员</w:t>
            </w:r>
          </w:p>
        </w:tc>
        <w:tc>
          <w:tcPr>
            <w:tcW w:w="1350" w:type="dxa"/>
            <w:shd w:val="clear" w:color="auto" w:fill="FFFFFF"/>
            <w:vAlign w:val="center"/>
          </w:tcPr>
          <w:p w14:paraId="1E9187C3">
            <w:pPr>
              <w:spacing w:before="0" w:after="0" w:line="240" w:lineRule="auto"/>
              <w:ind w:left="0" w:right="0" w:firstLine="0" w:firstLineChars="0"/>
              <w:jc w:val="left"/>
            </w:pPr>
            <w:r>
              <w:rPr>
                <w:rFonts w:ascii="宋体" w:hAnsi="宋体" w:eastAsia="宋体" w:cs="宋体"/>
                <w:b w:val="0"/>
                <w:bCs w:val="0"/>
                <w:color w:val="000000"/>
                <w:sz w:val="16"/>
                <w:szCs w:val="16"/>
              </w:rPr>
              <w:t>输入：候选清单</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输出：人工确认及采购决策</w:t>
            </w:r>
          </w:p>
        </w:tc>
        <w:tc>
          <w:tcPr>
            <w:tcW w:w="2000" w:type="dxa"/>
            <w:shd w:val="clear" w:color="auto" w:fill="FFFFFF"/>
            <w:vAlign w:val="center"/>
          </w:tcPr>
          <w:p w14:paraId="28500D7C">
            <w:pPr>
              <w:spacing w:before="0" w:after="0" w:line="240" w:lineRule="auto"/>
              <w:ind w:left="0" w:right="0" w:firstLine="0" w:firstLineChars="0"/>
              <w:jc w:val="left"/>
            </w:pPr>
            <w:r>
              <w:rPr>
                <w:rFonts w:ascii="宋体" w:hAnsi="宋体" w:eastAsia="宋体" w:cs="宋体"/>
                <w:b w:val="0"/>
                <w:bCs w:val="0"/>
                <w:color w:val="000000"/>
                <w:sz w:val="16"/>
                <w:szCs w:val="16"/>
              </w:rPr>
              <w:t>采购人员逐家联络候选供应商，确认实际可供量、到货时间和商务条件，完成询价、签约及调货决策。</w:t>
            </w:r>
          </w:p>
        </w:tc>
        <w:tc>
          <w:tcPr>
            <w:tcW w:w="1072" w:type="dxa"/>
            <w:shd w:val="clear" w:color="auto" w:fill="FFFFFF"/>
            <w:vAlign w:val="center"/>
          </w:tcPr>
          <w:p w14:paraId="69886AC6">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148B5BDC">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1D913096">
        <w:trPr>
          <w:cantSplit/>
          <w:jc w:val="center"/>
        </w:trPr>
        <w:tc>
          <w:tcPr>
            <w:tcW w:w="650" w:type="dxa"/>
            <w:shd w:val="clear" w:color="auto" w:fill="FFFFFF"/>
            <w:vAlign w:val="center"/>
          </w:tcPr>
          <w:p w14:paraId="0333DBFE">
            <w:pPr>
              <w:spacing w:before="0" w:after="0" w:line="240" w:lineRule="auto"/>
              <w:ind w:left="0" w:right="0" w:firstLine="0" w:firstLineChars="0"/>
              <w:jc w:val="center"/>
            </w:pPr>
            <w:r>
              <w:rPr>
                <w:rFonts w:ascii="宋体" w:hAnsi="宋体" w:eastAsia="宋体" w:cs="宋体"/>
                <w:b w:val="0"/>
                <w:bCs w:val="0"/>
                <w:color w:val="000000"/>
                <w:sz w:val="16"/>
                <w:szCs w:val="16"/>
              </w:rPr>
              <w:t>12</w:t>
            </w:r>
          </w:p>
        </w:tc>
        <w:tc>
          <w:tcPr>
            <w:tcW w:w="1050" w:type="dxa"/>
            <w:shd w:val="clear" w:color="auto" w:fill="FFFFFF"/>
            <w:vAlign w:val="center"/>
          </w:tcPr>
          <w:p w14:paraId="16F2F5E5">
            <w:pPr>
              <w:spacing w:before="0" w:after="0" w:line="240" w:lineRule="auto"/>
              <w:ind w:left="0" w:right="0" w:firstLine="0" w:firstLineChars="0"/>
              <w:jc w:val="center"/>
            </w:pPr>
            <w:r>
              <w:rPr>
                <w:rFonts w:ascii="宋体" w:hAnsi="宋体" w:eastAsia="宋体" w:cs="宋体"/>
                <w:b w:val="0"/>
                <w:bCs w:val="0"/>
                <w:color w:val="000000"/>
                <w:sz w:val="16"/>
                <w:szCs w:val="16"/>
              </w:rPr>
              <w:t>接收已有低库存预警</w:t>
            </w:r>
          </w:p>
        </w:tc>
        <w:tc>
          <w:tcPr>
            <w:tcW w:w="950" w:type="dxa"/>
            <w:shd w:val="clear" w:color="auto" w:fill="FFFFFF"/>
            <w:vAlign w:val="center"/>
          </w:tcPr>
          <w:p w14:paraId="117E201E">
            <w:pPr>
              <w:spacing w:before="0" w:after="0" w:line="240" w:lineRule="auto"/>
              <w:ind w:left="0" w:right="0" w:firstLine="0" w:firstLineChars="0"/>
              <w:jc w:val="center"/>
            </w:pPr>
            <w:r>
              <w:rPr>
                <w:rFonts w:ascii="宋体" w:hAnsi="宋体" w:eastAsia="宋体" w:cs="宋体"/>
                <w:b w:val="0"/>
                <w:bCs w:val="0"/>
                <w:color w:val="000000"/>
                <w:sz w:val="16"/>
                <w:szCs w:val="16"/>
              </w:rPr>
              <w:t>业务事件源</w:t>
            </w:r>
          </w:p>
        </w:tc>
        <w:tc>
          <w:tcPr>
            <w:tcW w:w="1350" w:type="dxa"/>
            <w:shd w:val="clear" w:color="auto" w:fill="FFFFFF"/>
            <w:vAlign w:val="center"/>
          </w:tcPr>
          <w:p w14:paraId="0EB111D2">
            <w:pPr>
              <w:spacing w:before="0" w:after="0" w:line="240" w:lineRule="auto"/>
              <w:ind w:left="0" w:right="0" w:firstLine="0" w:firstLineChars="0"/>
              <w:jc w:val="left"/>
            </w:pPr>
            <w:r>
              <w:rPr>
                <w:rFonts w:ascii="宋体" w:hAnsi="宋体" w:eastAsia="宋体" w:cs="宋体"/>
                <w:b w:val="0"/>
                <w:bCs w:val="0"/>
                <w:color w:val="000000"/>
                <w:sz w:val="16"/>
                <w:szCs w:val="16"/>
              </w:rPr>
              <w:t>输入：WMS或SCOS已有低库存事件</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输出：可转发事件</w:t>
            </w:r>
          </w:p>
        </w:tc>
        <w:tc>
          <w:tcPr>
            <w:tcW w:w="2000" w:type="dxa"/>
            <w:shd w:val="clear" w:color="auto" w:fill="FFFFFF"/>
            <w:vAlign w:val="center"/>
          </w:tcPr>
          <w:p w14:paraId="18BDADDE">
            <w:pPr>
              <w:spacing w:before="0" w:after="0" w:line="240" w:lineRule="auto"/>
              <w:ind w:left="0" w:right="0" w:firstLine="0" w:firstLineChars="0"/>
              <w:jc w:val="left"/>
            </w:pPr>
            <w:r>
              <w:rPr>
                <w:rFonts w:ascii="宋体" w:hAnsi="宋体" w:eastAsia="宋体" w:cs="宋体"/>
                <w:b w:val="0"/>
                <w:bCs w:val="0"/>
                <w:color w:val="000000"/>
                <w:sz w:val="16"/>
                <w:szCs w:val="16"/>
              </w:rPr>
              <w:t>接收WMS或SCOS产生的低库存预警，经数据治理服务提供并关联已登记事件卡，保留预警对象、时段和来源。</w:t>
            </w:r>
          </w:p>
        </w:tc>
        <w:tc>
          <w:tcPr>
            <w:tcW w:w="1072" w:type="dxa"/>
            <w:shd w:val="clear" w:color="auto" w:fill="FFFFFF"/>
            <w:vAlign w:val="center"/>
          </w:tcPr>
          <w:p w14:paraId="030523CE">
            <w:pPr>
              <w:spacing w:before="0" w:after="0" w:line="240" w:lineRule="auto"/>
              <w:ind w:left="0" w:right="0" w:firstLine="0" w:firstLineChars="0"/>
              <w:jc w:val="left"/>
            </w:pPr>
            <w:r>
              <w:rPr>
                <w:rFonts w:ascii="宋体" w:hAnsi="宋体" w:eastAsia="宋体" w:cs="宋体"/>
                <w:b w:val="0"/>
                <w:bCs w:val="0"/>
                <w:color w:val="000000"/>
                <w:sz w:val="16"/>
                <w:szCs w:val="16"/>
              </w:rPr>
              <w:t>→13</w:t>
            </w:r>
          </w:p>
        </w:tc>
        <w:tc>
          <w:tcPr>
            <w:tcW w:w="2000" w:type="dxa"/>
            <w:shd w:val="clear" w:color="auto" w:fill="FFFFFF"/>
            <w:vAlign w:val="center"/>
          </w:tcPr>
          <w:p w14:paraId="1552DEB9">
            <w:pPr>
              <w:spacing w:before="0" w:after="0" w:line="240" w:lineRule="auto"/>
              <w:ind w:left="0" w:right="0" w:firstLine="0" w:firstLineChars="0"/>
              <w:jc w:val="left"/>
            </w:pPr>
            <w:r>
              <w:rPr>
                <w:rFonts w:ascii="宋体" w:hAnsi="宋体" w:eastAsia="宋体" w:cs="宋体"/>
                <w:b w:val="0"/>
                <w:bCs w:val="0"/>
                <w:color w:val="000000"/>
                <w:sz w:val="16"/>
                <w:szCs w:val="16"/>
              </w:rPr>
              <w:t>P-ZLTC-AI-ZNWS-101-02-001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p>
        </w:tc>
      </w:tr>
      <w:tr w14:paraId="31D8CD3B">
        <w:trPr>
          <w:cantSplit/>
          <w:jc w:val="center"/>
        </w:trPr>
        <w:tc>
          <w:tcPr>
            <w:tcW w:w="650" w:type="dxa"/>
            <w:shd w:val="clear" w:color="auto" w:fill="FFFFFF"/>
            <w:vAlign w:val="center"/>
          </w:tcPr>
          <w:p w14:paraId="2FCB3EEA">
            <w:pPr>
              <w:spacing w:before="0" w:after="0" w:line="240" w:lineRule="auto"/>
              <w:ind w:left="0" w:right="0" w:firstLine="0" w:firstLineChars="0"/>
              <w:jc w:val="center"/>
            </w:pPr>
            <w:r>
              <w:rPr>
                <w:rFonts w:ascii="宋体" w:hAnsi="宋体" w:eastAsia="宋体" w:cs="宋体"/>
                <w:b w:val="0"/>
                <w:bCs w:val="0"/>
                <w:color w:val="000000"/>
                <w:sz w:val="16"/>
                <w:szCs w:val="16"/>
              </w:rPr>
              <w:t>13</w:t>
            </w:r>
          </w:p>
        </w:tc>
        <w:tc>
          <w:tcPr>
            <w:tcW w:w="1050" w:type="dxa"/>
            <w:shd w:val="clear" w:color="auto" w:fill="FFFFFF"/>
            <w:vAlign w:val="center"/>
          </w:tcPr>
          <w:p w14:paraId="24741B67">
            <w:pPr>
              <w:spacing w:before="0" w:after="0" w:line="240" w:lineRule="auto"/>
              <w:ind w:left="0" w:right="0" w:firstLine="0" w:firstLineChars="0"/>
              <w:jc w:val="center"/>
            </w:pPr>
            <w:r>
              <w:rPr>
                <w:rFonts w:ascii="宋体" w:hAnsi="宋体" w:eastAsia="宋体" w:cs="宋体"/>
                <w:b w:val="0"/>
                <w:bCs w:val="0"/>
                <w:color w:val="000000"/>
                <w:sz w:val="16"/>
                <w:szCs w:val="16"/>
              </w:rPr>
              <w:t>按订阅授权转发预警</w:t>
            </w:r>
          </w:p>
        </w:tc>
        <w:tc>
          <w:tcPr>
            <w:tcW w:w="950" w:type="dxa"/>
            <w:shd w:val="clear" w:color="auto" w:fill="FFFFFF"/>
            <w:vAlign w:val="center"/>
          </w:tcPr>
          <w:p w14:paraId="7CB7E61B">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6BD9FC7B">
            <w:pPr>
              <w:spacing w:before="0" w:after="0" w:line="240" w:lineRule="auto"/>
              <w:ind w:left="0" w:right="0" w:firstLine="0" w:firstLineChars="0"/>
              <w:jc w:val="left"/>
            </w:pPr>
            <w:r>
              <w:rPr>
                <w:rFonts w:ascii="宋体" w:hAnsi="宋体" w:eastAsia="宋体" w:cs="宋体"/>
                <w:b w:val="0"/>
                <w:bCs w:val="0"/>
                <w:color w:val="000000"/>
                <w:sz w:val="16"/>
                <w:szCs w:val="16"/>
              </w:rPr>
              <w:t>输入：低库存事件及订阅授权</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输出：门户通知</w:t>
            </w:r>
          </w:p>
        </w:tc>
        <w:tc>
          <w:tcPr>
            <w:tcW w:w="2000" w:type="dxa"/>
            <w:shd w:val="clear" w:color="auto" w:fill="FFFFFF"/>
            <w:vAlign w:val="center"/>
          </w:tcPr>
          <w:p w14:paraId="4C06283C">
            <w:pPr>
              <w:spacing w:before="0" w:after="0" w:line="240" w:lineRule="auto"/>
              <w:ind w:left="0" w:right="0" w:firstLine="0" w:firstLineChars="0"/>
              <w:jc w:val="left"/>
            </w:pPr>
            <w:r>
              <w:rPr>
                <w:rFonts w:ascii="宋体" w:hAnsi="宋体" w:eastAsia="宋体" w:cs="宋体"/>
                <w:b w:val="0"/>
                <w:bCs w:val="0"/>
                <w:color w:val="000000"/>
                <w:sz w:val="16"/>
                <w:szCs w:val="16"/>
              </w:rPr>
              <w:t>向计划、采购等授权订阅用户转发原始预警，保持源系统事实及来源。</w:t>
            </w:r>
          </w:p>
        </w:tc>
        <w:tc>
          <w:tcPr>
            <w:tcW w:w="1072" w:type="dxa"/>
            <w:shd w:val="clear" w:color="auto" w:fill="FFFFFF"/>
            <w:vAlign w:val="center"/>
          </w:tcPr>
          <w:p w14:paraId="7CE604BA">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7270D8CA">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P-ZLTC-AI-WLPHGY-102-11-001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bl>
    <w:p w14:paraId="7200001D">
      <w:pPr>
        <w:pStyle w:val="4"/>
        <w:snapToGrid w:val="0"/>
      </w:pPr>
      <w:bookmarkStart w:id="25" w:name="s3_3_3"/>
      <w:r>
        <w:rPr>
          <w:rFonts w:ascii="黑体" w:hAnsi="黑体" w:eastAsia="黑体" w:cs="黑体"/>
          <w:b/>
          <w:color w:val="000000"/>
        </w:rPr>
        <w:t>3.3.3　工况异常识别</w:t>
      </w:r>
      <w:bookmarkEnd w:id="25"/>
    </w:p>
    <w:p w14:paraId="720003DD">
      <w:pPr>
        <w:keepNext/>
        <w:keepLines/>
        <w:shd w:val="clear" w:fill="FFFFFF"/>
        <w:snapToGrid w:val="0"/>
        <w:spacing w:before="0" w:after="0" w:line="240" w:lineRule="auto"/>
        <w:ind w:left="1886" w:right="1886" w:firstLine="0" w:firstLineChars="0"/>
        <w:jc w:val="left"/>
      </w:pPr>
      <w:r>
        <w:rPr>
          <w:rFonts w:ascii="宋体" w:hAnsi="宋体" w:eastAsia="宋体" w:cs="宋体"/>
          <w:b/>
          <w:color w:val="000000"/>
          <w:sz w:val="17"/>
          <w:szCs w:val="17"/>
        </w:rPr>
        <w:t>流程编号及名称：P-ZLTC-AI-YCGK-113  异常工况识别</w:t>
      </w:r>
    </w:p>
    <w:p w14:paraId="48647E27">
      <w:pPr>
        <w:keepNext/>
        <w:snapToGrid w:val="0"/>
        <w:spacing w:before="0" w:after="0" w:line="240" w:lineRule="auto"/>
        <w:ind w:left="0" w:right="0" w:firstLine="0" w:firstLineChars="0"/>
        <w:jc w:val="center"/>
        <w:rPr>
          <w:rFonts w:ascii="宋体" w:hAnsi="宋体" w:eastAsia="宋体"/>
          <w:b w:val="0"/>
          <w:color w:val="auto"/>
        </w:rPr>
      </w:pPr>
      <w:r>
        <w:rPr>
          <w:rFonts w:ascii="宋体" w:hAnsi="宋体" w:eastAsia="宋体" w:cs="宋体"/>
          <w:kern w:val="0"/>
          <w:sz w:val="24"/>
          <w:szCs w:val="24"/>
          <w:lang w:val="en-US" w:eastAsia="zh-CN" w:bidi="ar"/>
        </w:rPr>
        <w:drawing>
          <wp:inline distT="0" distB="0" distL="114300" distR="114300">
            <wp:extent cx="3365500" cy="7366000"/>
            <wp:effectExtent l="0" t="0" r="22860" b="14605"/>
            <wp:docPr id="15" name="P-ZLTC-AI-YCGK-113 异常工况识别" descr="P-ZLTC-AI-YCGK-113 异常工况识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ZLTC-AI-YCGK-113 异常工况识别" descr="P-ZLTC-AI-YCGK-113 异常工况识别"/>
                    <pic:cNvPicPr>
                      <a:picLocks noChangeAspect="1"/>
                    </pic:cNvPicPr>
                  </pic:nvPicPr>
                  <pic:blipFill>
                    <a:blip r:embed="rId23"/>
                    <a:srcRect t="2237"/>
                    <a:stretch>
                      <a:fillRect/>
                    </a:stretch>
                  </pic:blipFill>
                  <pic:spPr>
                    <a:xfrm>
                      <a:off x="0" y="0"/>
                      <a:ext cx="3365938" cy="7366000"/>
                    </a:xfrm>
                    <a:prstGeom prst="rect">
                      <a:avLst/>
                    </a:prstGeom>
                    <a:noFill/>
                    <a:ln w="9525">
                      <a:noFill/>
                    </a:ln>
                  </pic:spPr>
                </pic:pic>
              </a:graphicData>
            </a:graphic>
          </wp:inline>
        </w:drawing>
      </w:r>
    </w:p>
    <w:p w14:paraId="490F968F">
      <w:pPr>
        <w:pStyle w:val="15"/>
        <w:keepNext w:val="0"/>
        <w:snapToGrid w:val="0"/>
        <w:jc w:val="center"/>
      </w:pPr>
      <w:r>
        <w:t>图3-13　工况异常识别与处置流程图</w:t>
      </w:r>
    </w:p>
    <w:p w14:paraId="3C90ACBD">
      <w:pPr>
        <w:pStyle w:val="15"/>
        <w:keepNext/>
        <w:snapToGrid w:val="0"/>
        <w:jc w:val="center"/>
      </w:pPr>
      <w:r>
        <w:t>表3-13　工况异常识别与处置流程说明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70BDA693">
        <w:trPr>
          <w:cantSplit/>
          <w:tblHeader/>
          <w:jc w:val="center"/>
        </w:trPr>
        <w:tc>
          <w:tcPr>
            <w:tcW w:w="650" w:type="dxa"/>
            <w:shd w:val="clear" w:color="auto" w:fill="FFFFFF"/>
            <w:vAlign w:val="center"/>
          </w:tcPr>
          <w:p w14:paraId="5684EEF1">
            <w:pPr>
              <w:keepNext w:val="0"/>
              <w:keepLines/>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7A067506">
            <w:pPr>
              <w:keepNext w:val="0"/>
              <w:keepLines/>
              <w:spacing w:before="0" w:after="0" w:line="240" w:lineRule="auto"/>
              <w:ind w:left="0" w:right="0" w:firstLine="0" w:firstLineChars="0"/>
              <w:jc w:val="center"/>
            </w:pPr>
            <w:r>
              <w:rPr>
                <w:rFonts w:ascii="宋体" w:hAnsi="宋体" w:eastAsia="宋体" w:cs="宋体"/>
                <w:b/>
                <w:bCs/>
                <w:color w:val="000000"/>
                <w:sz w:val="16"/>
                <w:szCs w:val="16"/>
              </w:rPr>
              <w:t>步骤名称</w:t>
            </w:r>
          </w:p>
        </w:tc>
        <w:tc>
          <w:tcPr>
            <w:tcW w:w="950" w:type="dxa"/>
            <w:shd w:val="clear" w:color="auto" w:fill="FFFFFF"/>
            <w:vAlign w:val="center"/>
          </w:tcPr>
          <w:p w14:paraId="015E509A">
            <w:pPr>
              <w:keepNext w:val="0"/>
              <w:keepLines/>
              <w:spacing w:before="0" w:after="0" w:line="240" w:lineRule="auto"/>
              <w:ind w:left="0" w:right="0" w:firstLine="0" w:firstLineChars="0"/>
              <w:jc w:val="center"/>
            </w:pPr>
            <w:r>
              <w:rPr>
                <w:rFonts w:ascii="宋体" w:hAnsi="宋体" w:eastAsia="宋体" w:cs="宋体"/>
                <w:b/>
                <w:bCs/>
                <w:color w:val="000000"/>
                <w:sz w:val="16"/>
                <w:szCs w:val="16"/>
              </w:rPr>
              <w:t>所属角色</w:t>
            </w:r>
          </w:p>
        </w:tc>
        <w:tc>
          <w:tcPr>
            <w:tcW w:w="1350" w:type="dxa"/>
            <w:shd w:val="clear" w:color="auto" w:fill="FFFFFF"/>
            <w:vAlign w:val="center"/>
          </w:tcPr>
          <w:p w14:paraId="7054648D">
            <w:pPr>
              <w:keepNext w:val="0"/>
              <w:keepLines/>
              <w:spacing w:before="0" w:after="0" w:line="240" w:lineRule="auto"/>
              <w:ind w:left="0" w:right="0" w:firstLine="0" w:firstLineChars="0"/>
              <w:jc w:val="center"/>
            </w:pPr>
            <w:r>
              <w:rPr>
                <w:rFonts w:ascii="宋体" w:hAnsi="宋体" w:eastAsia="宋体" w:cs="宋体"/>
                <w:b/>
                <w:bCs/>
                <w:color w:val="000000"/>
                <w:sz w:val="16"/>
                <w:szCs w:val="16"/>
              </w:rPr>
              <w:t>触发条件</w:t>
            </w:r>
          </w:p>
        </w:tc>
        <w:tc>
          <w:tcPr>
            <w:tcW w:w="2000" w:type="dxa"/>
            <w:shd w:val="clear" w:color="auto" w:fill="FFFFFF"/>
            <w:vAlign w:val="center"/>
          </w:tcPr>
          <w:p w14:paraId="22D2B405">
            <w:pPr>
              <w:keepNext w:val="0"/>
              <w:keepLines/>
              <w:spacing w:before="0" w:after="0" w:line="240" w:lineRule="auto"/>
              <w:ind w:left="0" w:right="0" w:firstLine="0" w:firstLineChars="0"/>
              <w:jc w:val="center"/>
            </w:pPr>
            <w:r>
              <w:rPr>
                <w:rFonts w:ascii="宋体" w:hAnsi="宋体" w:eastAsia="宋体" w:cs="宋体"/>
                <w:b/>
                <w:bCs/>
                <w:color w:val="000000"/>
                <w:sz w:val="16"/>
                <w:szCs w:val="16"/>
              </w:rPr>
              <w:t>输入数据来源</w:t>
            </w:r>
          </w:p>
        </w:tc>
        <w:tc>
          <w:tcPr>
            <w:tcW w:w="1072" w:type="dxa"/>
            <w:shd w:val="clear" w:color="auto" w:fill="FFFFFF"/>
            <w:vAlign w:val="center"/>
          </w:tcPr>
          <w:p w14:paraId="5CBC3722">
            <w:pPr>
              <w:keepNext w:val="0"/>
              <w:keepLines/>
              <w:spacing w:before="0" w:after="0" w:line="240" w:lineRule="auto"/>
              <w:ind w:left="0" w:right="0" w:firstLine="0" w:firstLineChars="0"/>
              <w:jc w:val="center"/>
            </w:pPr>
            <w:r>
              <w:rPr>
                <w:rFonts w:ascii="宋体" w:hAnsi="宋体" w:eastAsia="宋体" w:cs="宋体"/>
                <w:b/>
                <w:bCs/>
                <w:color w:val="000000"/>
                <w:sz w:val="16"/>
                <w:szCs w:val="16"/>
              </w:rPr>
              <w:t>输出结果</w:t>
            </w:r>
          </w:p>
        </w:tc>
        <w:tc>
          <w:tcPr>
            <w:tcW w:w="2000" w:type="dxa"/>
            <w:shd w:val="clear" w:color="auto" w:fill="FFFFFF"/>
            <w:vAlign w:val="center"/>
          </w:tcPr>
          <w:p w14:paraId="1D4F5808">
            <w:pPr>
              <w:keepNext w:val="0"/>
              <w:keepLines/>
              <w:spacing w:before="0" w:after="0" w:line="240" w:lineRule="auto"/>
              <w:ind w:left="0" w:right="0" w:firstLine="0" w:firstLineChars="0"/>
              <w:jc w:val="center"/>
            </w:pPr>
            <w:r>
              <w:rPr>
                <w:rFonts w:ascii="宋体" w:hAnsi="宋体" w:eastAsia="宋体" w:cs="宋体"/>
                <w:b/>
                <w:bCs/>
                <w:color w:val="000000"/>
                <w:sz w:val="16"/>
                <w:szCs w:val="16"/>
              </w:rPr>
              <w:t>关联规则编号</w:t>
            </w:r>
          </w:p>
        </w:tc>
      </w:tr>
      <w:tr w14:paraId="59C856AC">
        <w:trPr>
          <w:cantSplit/>
          <w:jc w:val="center"/>
        </w:trPr>
        <w:tc>
          <w:tcPr>
            <w:tcW w:w="650" w:type="dxa"/>
            <w:shd w:val="clear" w:color="auto" w:fill="FFFFFF"/>
            <w:vAlign w:val="center"/>
          </w:tcPr>
          <w:p w14:paraId="224AB03E">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15392A76">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接收有效报警</w:t>
            </w:r>
          </w:p>
        </w:tc>
        <w:tc>
          <w:tcPr>
            <w:tcW w:w="950" w:type="dxa"/>
            <w:shd w:val="clear" w:color="auto" w:fill="FFFFFF"/>
            <w:vAlign w:val="center"/>
          </w:tcPr>
          <w:p w14:paraId="1E9BD348">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异常工况智能诊断引擎</w:t>
            </w:r>
          </w:p>
        </w:tc>
        <w:tc>
          <w:tcPr>
            <w:tcW w:w="1350" w:type="dxa"/>
            <w:shd w:val="clear" w:color="auto" w:fill="FFFFFF"/>
            <w:vAlign w:val="center"/>
          </w:tcPr>
          <w:p w14:paraId="20DD963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接收 BJ-001 有效报警流</w:t>
            </w:r>
          </w:p>
        </w:tc>
        <w:tc>
          <w:tcPr>
            <w:tcW w:w="2000" w:type="dxa"/>
            <w:shd w:val="clear" w:color="auto" w:fill="FFFFFF"/>
            <w:vAlign w:val="center"/>
          </w:tcPr>
          <w:p w14:paraId="0D58B341">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BJ-001（有效报警事件）</w:t>
            </w:r>
          </w:p>
        </w:tc>
        <w:tc>
          <w:tcPr>
            <w:tcW w:w="1072" w:type="dxa"/>
            <w:shd w:val="clear" w:color="auto" w:fill="FFFFFF"/>
            <w:vAlign w:val="center"/>
          </w:tcPr>
          <w:p w14:paraId="1F11179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质量异常事件</w:t>
            </w:r>
          </w:p>
        </w:tc>
        <w:tc>
          <w:tcPr>
            <w:tcW w:w="2000" w:type="dxa"/>
            <w:shd w:val="clear" w:color="auto" w:fill="FFFFFF"/>
            <w:vAlign w:val="center"/>
          </w:tcPr>
          <w:p w14:paraId="4B147947">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R-YC-001</w:t>
            </w:r>
          </w:p>
        </w:tc>
      </w:tr>
      <w:tr w14:paraId="585EA775">
        <w:trPr>
          <w:cantSplit/>
          <w:jc w:val="center"/>
        </w:trPr>
        <w:tc>
          <w:tcPr>
            <w:tcW w:w="650" w:type="dxa"/>
            <w:shd w:val="clear" w:color="auto" w:fill="FFFFFF"/>
            <w:vAlign w:val="center"/>
          </w:tcPr>
          <w:p w14:paraId="68F424DB">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0BA51901">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HAZOP/FMEA 知识图谱匹配</w:t>
            </w:r>
          </w:p>
        </w:tc>
        <w:tc>
          <w:tcPr>
            <w:tcW w:w="950" w:type="dxa"/>
            <w:shd w:val="clear" w:color="auto" w:fill="FFFFFF"/>
            <w:vAlign w:val="center"/>
          </w:tcPr>
          <w:p w14:paraId="3B30C0C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异常工况智能诊断引擎</w:t>
            </w:r>
          </w:p>
        </w:tc>
        <w:tc>
          <w:tcPr>
            <w:tcW w:w="1350" w:type="dxa"/>
            <w:shd w:val="clear" w:color="auto" w:fill="FFFFFF"/>
            <w:vAlign w:val="center"/>
          </w:tcPr>
          <w:p w14:paraId="073B71B0">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任务单生成</w:t>
            </w:r>
          </w:p>
        </w:tc>
        <w:tc>
          <w:tcPr>
            <w:tcW w:w="2000" w:type="dxa"/>
            <w:shd w:val="clear" w:color="auto" w:fill="FFFFFF"/>
            <w:vAlign w:val="center"/>
          </w:tcPr>
          <w:p w14:paraId="0FAA8615">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质量知识图谱</w:t>
            </w:r>
          </w:p>
        </w:tc>
        <w:tc>
          <w:tcPr>
            <w:tcW w:w="1072" w:type="dxa"/>
            <w:shd w:val="clear" w:color="auto" w:fill="FFFFFF"/>
            <w:vAlign w:val="center"/>
          </w:tcPr>
          <w:p w14:paraId="3493A892">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因果链路视图</w:t>
            </w:r>
          </w:p>
        </w:tc>
        <w:tc>
          <w:tcPr>
            <w:tcW w:w="2000" w:type="dxa"/>
            <w:shd w:val="clear" w:color="auto" w:fill="FFFFFF"/>
            <w:vAlign w:val="center"/>
          </w:tcPr>
          <w:p w14:paraId="53E70BE2">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R-YC-002</w:t>
            </w:r>
          </w:p>
        </w:tc>
      </w:tr>
      <w:tr w14:paraId="77C9E553">
        <w:trPr>
          <w:cantSplit/>
          <w:jc w:val="center"/>
        </w:trPr>
        <w:tc>
          <w:tcPr>
            <w:tcW w:w="650" w:type="dxa"/>
            <w:shd w:val="clear" w:color="auto" w:fill="FFFFFF"/>
            <w:vAlign w:val="center"/>
          </w:tcPr>
          <w:p w14:paraId="268FF929">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6934F4AA">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多源数据汇聚</w:t>
            </w:r>
          </w:p>
        </w:tc>
        <w:tc>
          <w:tcPr>
            <w:tcW w:w="950" w:type="dxa"/>
            <w:shd w:val="clear" w:color="auto" w:fill="FFFFFF"/>
            <w:vAlign w:val="center"/>
          </w:tcPr>
          <w:p w14:paraId="17D7CBD3">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异常工况智能诊断引擎</w:t>
            </w:r>
          </w:p>
        </w:tc>
        <w:tc>
          <w:tcPr>
            <w:tcW w:w="1350" w:type="dxa"/>
            <w:shd w:val="clear" w:color="auto" w:fill="FFFFFF"/>
            <w:vAlign w:val="center"/>
          </w:tcPr>
          <w:p w14:paraId="2C11AB2E">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图谱加载完成</w:t>
            </w:r>
          </w:p>
        </w:tc>
        <w:tc>
          <w:tcPr>
            <w:tcW w:w="2000" w:type="dxa"/>
            <w:shd w:val="clear" w:color="auto" w:fill="FFFFFF"/>
            <w:vAlign w:val="center"/>
          </w:tcPr>
          <w:p w14:paraId="6B3E0B7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DCS（实时工艺参数、仪表历史基线）</w:t>
            </w:r>
          </w:p>
        </w:tc>
        <w:tc>
          <w:tcPr>
            <w:tcW w:w="1072" w:type="dxa"/>
            <w:shd w:val="clear" w:color="auto" w:fill="FFFFFF"/>
            <w:vAlign w:val="center"/>
          </w:tcPr>
          <w:p w14:paraId="33B0BAB3">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标准化证据数据集</w:t>
            </w:r>
          </w:p>
        </w:tc>
        <w:tc>
          <w:tcPr>
            <w:tcW w:w="2000" w:type="dxa"/>
            <w:shd w:val="clear" w:color="auto" w:fill="FFFFFF"/>
            <w:vAlign w:val="center"/>
          </w:tcPr>
          <w:p w14:paraId="3B5E40B7">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R-YC-003</w:t>
            </w:r>
          </w:p>
        </w:tc>
      </w:tr>
      <w:tr w14:paraId="1087D0B0">
        <w:trPr>
          <w:cantSplit/>
          <w:jc w:val="center"/>
        </w:trPr>
        <w:tc>
          <w:tcPr>
            <w:tcW w:w="650" w:type="dxa"/>
            <w:shd w:val="clear" w:color="auto" w:fill="FFFFFF"/>
            <w:vAlign w:val="center"/>
          </w:tcPr>
          <w:p w14:paraId="63D78003">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05E0DBB0">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是否信号异常（决策）</w:t>
            </w:r>
          </w:p>
        </w:tc>
        <w:tc>
          <w:tcPr>
            <w:tcW w:w="950" w:type="dxa"/>
            <w:shd w:val="clear" w:color="auto" w:fill="FFFFFF"/>
            <w:vAlign w:val="center"/>
          </w:tcPr>
          <w:p w14:paraId="3EB40400">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异常工况智能诊断引擎</w:t>
            </w:r>
          </w:p>
        </w:tc>
        <w:tc>
          <w:tcPr>
            <w:tcW w:w="1350" w:type="dxa"/>
            <w:shd w:val="clear" w:color="auto" w:fill="FFFFFF"/>
            <w:vAlign w:val="center"/>
          </w:tcPr>
          <w:p w14:paraId="60968815">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验证完成</w:t>
            </w:r>
          </w:p>
        </w:tc>
        <w:tc>
          <w:tcPr>
            <w:tcW w:w="2000" w:type="dxa"/>
            <w:shd w:val="clear" w:color="auto" w:fill="FFFFFF"/>
            <w:vAlign w:val="center"/>
          </w:tcPr>
          <w:p w14:paraId="235AC0D6">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无（完整度评估内置）</w:t>
            </w:r>
          </w:p>
        </w:tc>
        <w:tc>
          <w:tcPr>
            <w:tcW w:w="1072" w:type="dxa"/>
            <w:shd w:val="clear" w:color="auto" w:fill="FFFFFF"/>
            <w:vAlign w:val="center"/>
          </w:tcPr>
          <w:p w14:paraId="78A7F490">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是→推送复核；否→真实异常诊断</w:t>
            </w:r>
          </w:p>
        </w:tc>
        <w:tc>
          <w:tcPr>
            <w:tcW w:w="2000" w:type="dxa"/>
            <w:shd w:val="clear" w:color="auto" w:fill="FFFFFF"/>
            <w:vAlign w:val="center"/>
          </w:tcPr>
          <w:p w14:paraId="7B8CA006">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R-YC-003</w:t>
            </w:r>
          </w:p>
        </w:tc>
      </w:tr>
      <w:tr w14:paraId="1B597BD2">
        <w:trPr>
          <w:cantSplit/>
          <w:jc w:val="center"/>
        </w:trPr>
        <w:tc>
          <w:tcPr>
            <w:tcW w:w="650" w:type="dxa"/>
            <w:shd w:val="clear" w:color="auto" w:fill="FFFFFF"/>
            <w:vAlign w:val="center"/>
          </w:tcPr>
          <w:p w14:paraId="1ABFFDE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1FD3B0AF">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标记仪表/通讯故障</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推送人工复核</w:t>
            </w:r>
          </w:p>
        </w:tc>
        <w:tc>
          <w:tcPr>
            <w:tcW w:w="950" w:type="dxa"/>
            <w:shd w:val="clear" w:color="auto" w:fill="FFFFFF"/>
            <w:vAlign w:val="center"/>
          </w:tcPr>
          <w:p w14:paraId="276395F2">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异常工况智能诊断引擎</w:t>
            </w:r>
          </w:p>
        </w:tc>
        <w:tc>
          <w:tcPr>
            <w:tcW w:w="1350" w:type="dxa"/>
            <w:shd w:val="clear" w:color="auto" w:fill="FFFFFF"/>
            <w:vAlign w:val="center"/>
          </w:tcPr>
          <w:p w14:paraId="723994B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决策结果为"是"</w:t>
            </w:r>
          </w:p>
        </w:tc>
        <w:tc>
          <w:tcPr>
            <w:tcW w:w="2000" w:type="dxa"/>
            <w:shd w:val="clear" w:color="auto" w:fill="FFFFFF"/>
            <w:vAlign w:val="center"/>
          </w:tcPr>
          <w:p w14:paraId="2B7019AB">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无（人工判断）</w:t>
            </w:r>
          </w:p>
        </w:tc>
        <w:tc>
          <w:tcPr>
            <w:tcW w:w="1072" w:type="dxa"/>
            <w:shd w:val="clear" w:color="auto" w:fill="FFFFFF"/>
            <w:vAlign w:val="center"/>
          </w:tcPr>
          <w:p w14:paraId="6CFADF25">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人工复核信息推送</w:t>
            </w:r>
          </w:p>
        </w:tc>
        <w:tc>
          <w:tcPr>
            <w:tcW w:w="2000" w:type="dxa"/>
            <w:shd w:val="clear" w:color="auto" w:fill="FFFFFF"/>
            <w:vAlign w:val="center"/>
          </w:tcPr>
          <w:p w14:paraId="3719415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R-YC-003</w:t>
            </w:r>
          </w:p>
        </w:tc>
      </w:tr>
      <w:tr w14:paraId="22D18426">
        <w:trPr>
          <w:cantSplit/>
          <w:jc w:val="center"/>
        </w:trPr>
        <w:tc>
          <w:tcPr>
            <w:tcW w:w="650" w:type="dxa"/>
            <w:shd w:val="clear" w:color="auto" w:fill="FFFFFF"/>
            <w:vAlign w:val="center"/>
          </w:tcPr>
          <w:p w14:paraId="285C423A">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71936B20">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执行根因诊断算法</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输出根因、生成处置建议方案</w:t>
            </w:r>
          </w:p>
        </w:tc>
        <w:tc>
          <w:tcPr>
            <w:tcW w:w="950" w:type="dxa"/>
            <w:shd w:val="clear" w:color="auto" w:fill="FFFFFF"/>
            <w:vAlign w:val="center"/>
          </w:tcPr>
          <w:p w14:paraId="1986AEA0">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异常工况智能诊断引擎</w:t>
            </w:r>
          </w:p>
        </w:tc>
        <w:tc>
          <w:tcPr>
            <w:tcW w:w="1350" w:type="dxa"/>
            <w:shd w:val="clear" w:color="auto" w:fill="FFFFFF"/>
            <w:vAlign w:val="center"/>
          </w:tcPr>
          <w:p w14:paraId="7D62C0E0">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决策结果为"否"</w:t>
            </w:r>
          </w:p>
        </w:tc>
        <w:tc>
          <w:tcPr>
            <w:tcW w:w="2000" w:type="dxa"/>
            <w:shd w:val="clear" w:color="auto" w:fill="FFFFFF"/>
            <w:vAlign w:val="center"/>
          </w:tcPr>
          <w:p w14:paraId="7B704978">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无（人工判断）</w:t>
            </w:r>
          </w:p>
        </w:tc>
        <w:tc>
          <w:tcPr>
            <w:tcW w:w="1072" w:type="dxa"/>
            <w:shd w:val="clear" w:color="auto" w:fill="FFFFFF"/>
            <w:vAlign w:val="center"/>
          </w:tcPr>
          <w:p w14:paraId="0199979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诊断结论</w:t>
            </w:r>
          </w:p>
        </w:tc>
        <w:tc>
          <w:tcPr>
            <w:tcW w:w="2000" w:type="dxa"/>
            <w:shd w:val="clear" w:color="auto" w:fill="FFFFFF"/>
            <w:vAlign w:val="center"/>
          </w:tcPr>
          <w:p w14:paraId="6BBAB466">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R-YC-004</w:t>
            </w:r>
          </w:p>
        </w:tc>
      </w:tr>
      <w:tr w14:paraId="1003AED2">
        <w:trPr>
          <w:cantSplit/>
          <w:jc w:val="center"/>
        </w:trPr>
        <w:tc>
          <w:tcPr>
            <w:tcW w:w="650" w:type="dxa"/>
            <w:shd w:val="clear" w:color="auto" w:fill="FFFFFF"/>
            <w:vAlign w:val="center"/>
          </w:tcPr>
          <w:p w14:paraId="19DA99E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15CB82E3">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复核与改进确认</w:t>
            </w:r>
          </w:p>
        </w:tc>
        <w:tc>
          <w:tcPr>
            <w:tcW w:w="950" w:type="dxa"/>
            <w:shd w:val="clear" w:color="auto" w:fill="FFFFFF"/>
            <w:vAlign w:val="center"/>
          </w:tcPr>
          <w:p w14:paraId="767A2C66">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中控室操作员</w:t>
            </w:r>
          </w:p>
        </w:tc>
        <w:tc>
          <w:tcPr>
            <w:tcW w:w="1350" w:type="dxa"/>
            <w:shd w:val="clear" w:color="auto" w:fill="FFFFFF"/>
            <w:vAlign w:val="center"/>
          </w:tcPr>
          <w:p w14:paraId="6847302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接收归因报告</w:t>
            </w:r>
          </w:p>
        </w:tc>
        <w:tc>
          <w:tcPr>
            <w:tcW w:w="2000" w:type="dxa"/>
            <w:shd w:val="clear" w:color="auto" w:fill="FFFFFF"/>
            <w:vAlign w:val="center"/>
          </w:tcPr>
          <w:p w14:paraId="0E78ADDB">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无（报告内容评审）</w:t>
            </w:r>
          </w:p>
        </w:tc>
        <w:tc>
          <w:tcPr>
            <w:tcW w:w="1072" w:type="dxa"/>
            <w:shd w:val="clear" w:color="auto" w:fill="FFFFFF"/>
            <w:vAlign w:val="center"/>
          </w:tcPr>
          <w:p w14:paraId="3167483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复核结论 + 改进措施</w:t>
            </w:r>
          </w:p>
        </w:tc>
        <w:tc>
          <w:tcPr>
            <w:tcW w:w="2000" w:type="dxa"/>
            <w:shd w:val="clear" w:color="auto" w:fill="FFFFFF"/>
            <w:vAlign w:val="center"/>
          </w:tcPr>
          <w:p w14:paraId="0848BE30">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R-YC-005</w:t>
            </w:r>
          </w:p>
        </w:tc>
      </w:tr>
      <w:tr w14:paraId="4839A702">
        <w:trPr>
          <w:cantSplit/>
          <w:jc w:val="center"/>
        </w:trPr>
        <w:tc>
          <w:tcPr>
            <w:tcW w:w="650" w:type="dxa"/>
            <w:shd w:val="clear" w:color="auto" w:fill="FFFFFF"/>
            <w:vAlign w:val="center"/>
          </w:tcPr>
          <w:p w14:paraId="0AB484E9">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08</w:t>
            </w:r>
          </w:p>
        </w:tc>
        <w:tc>
          <w:tcPr>
            <w:tcW w:w="1050" w:type="dxa"/>
            <w:shd w:val="clear" w:color="auto" w:fill="FFFFFF"/>
            <w:vAlign w:val="center"/>
          </w:tcPr>
          <w:p w14:paraId="22AD7D8E">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是否采纳（决策）</w:t>
            </w:r>
          </w:p>
        </w:tc>
        <w:tc>
          <w:tcPr>
            <w:tcW w:w="950" w:type="dxa"/>
            <w:shd w:val="clear" w:color="auto" w:fill="FFFFFF"/>
            <w:vAlign w:val="center"/>
          </w:tcPr>
          <w:p w14:paraId="69336BA4">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中控室操作员</w:t>
            </w:r>
          </w:p>
        </w:tc>
        <w:tc>
          <w:tcPr>
            <w:tcW w:w="1350" w:type="dxa"/>
            <w:shd w:val="clear" w:color="auto" w:fill="FFFFFF"/>
            <w:vAlign w:val="center"/>
          </w:tcPr>
          <w:p w14:paraId="0B9FD5C3">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复核完成</w:t>
            </w:r>
          </w:p>
        </w:tc>
        <w:tc>
          <w:tcPr>
            <w:tcW w:w="2000" w:type="dxa"/>
            <w:shd w:val="clear" w:color="auto" w:fill="FFFFFF"/>
            <w:vAlign w:val="center"/>
          </w:tcPr>
          <w:p w14:paraId="4BE058D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无（人工判断）</w:t>
            </w:r>
          </w:p>
        </w:tc>
        <w:tc>
          <w:tcPr>
            <w:tcW w:w="1072" w:type="dxa"/>
            <w:shd w:val="clear" w:color="auto" w:fill="FFFFFF"/>
            <w:vAlign w:val="center"/>
          </w:tcPr>
          <w:p w14:paraId="69F8FDC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是→沉淀归档；否→再次推送执行诊断</w:t>
            </w:r>
          </w:p>
        </w:tc>
        <w:tc>
          <w:tcPr>
            <w:tcW w:w="2000" w:type="dxa"/>
            <w:shd w:val="clear" w:color="auto" w:fill="FFFFFF"/>
            <w:vAlign w:val="center"/>
          </w:tcPr>
          <w:p w14:paraId="4D7752A4">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R-YC-006</w:t>
            </w:r>
          </w:p>
        </w:tc>
      </w:tr>
      <w:tr w14:paraId="56BAD645">
        <w:trPr>
          <w:cantSplit/>
          <w:jc w:val="center"/>
        </w:trPr>
        <w:tc>
          <w:tcPr>
            <w:tcW w:w="650" w:type="dxa"/>
            <w:shd w:val="clear" w:color="auto" w:fill="FFFFFF"/>
            <w:vAlign w:val="center"/>
          </w:tcPr>
          <w:p w14:paraId="43228FB6">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09</w:t>
            </w:r>
          </w:p>
        </w:tc>
        <w:tc>
          <w:tcPr>
            <w:tcW w:w="1050" w:type="dxa"/>
            <w:shd w:val="clear" w:color="auto" w:fill="FFFFFF"/>
            <w:vAlign w:val="center"/>
          </w:tcPr>
          <w:p w14:paraId="7ED8B79E">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否认结论</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更新操作触发算法重新诊断</w:t>
            </w:r>
          </w:p>
        </w:tc>
        <w:tc>
          <w:tcPr>
            <w:tcW w:w="950" w:type="dxa"/>
            <w:shd w:val="clear" w:color="auto" w:fill="FFFFFF"/>
            <w:vAlign w:val="center"/>
          </w:tcPr>
          <w:p w14:paraId="0199E2EF">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中控室操作员</w:t>
            </w:r>
          </w:p>
        </w:tc>
        <w:tc>
          <w:tcPr>
            <w:tcW w:w="1350" w:type="dxa"/>
            <w:shd w:val="clear" w:color="auto" w:fill="FFFFFF"/>
            <w:vAlign w:val="center"/>
          </w:tcPr>
          <w:p w14:paraId="654A2E44">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决策结果为"否"</w:t>
            </w:r>
          </w:p>
        </w:tc>
        <w:tc>
          <w:tcPr>
            <w:tcW w:w="2000" w:type="dxa"/>
            <w:shd w:val="clear" w:color="auto" w:fill="FFFFFF"/>
            <w:vAlign w:val="center"/>
          </w:tcPr>
          <w:p w14:paraId="5CA07BD5">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无（人工判断）</w:t>
            </w:r>
          </w:p>
        </w:tc>
        <w:tc>
          <w:tcPr>
            <w:tcW w:w="1072" w:type="dxa"/>
            <w:shd w:val="clear" w:color="auto" w:fill="FFFFFF"/>
            <w:vAlign w:val="center"/>
          </w:tcPr>
          <w:p w14:paraId="39D62705">
            <w:pPr>
              <w:keepNext w:val="0"/>
              <w:keepLines/>
              <w:spacing w:before="0" w:after="0" w:line="240" w:lineRule="auto"/>
              <w:ind w:left="0" w:right="0" w:firstLine="0" w:firstLineChars="0"/>
              <w:jc w:val="left"/>
            </w:pPr>
          </w:p>
        </w:tc>
        <w:tc>
          <w:tcPr>
            <w:tcW w:w="2000" w:type="dxa"/>
            <w:shd w:val="clear" w:color="auto" w:fill="FFFFFF"/>
            <w:vAlign w:val="center"/>
          </w:tcPr>
          <w:p w14:paraId="6D0566FF">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R-YC-007</w:t>
            </w:r>
          </w:p>
        </w:tc>
      </w:tr>
      <w:tr w14:paraId="0E4D3795">
        <w:trPr>
          <w:cantSplit/>
          <w:jc w:val="center"/>
        </w:trPr>
        <w:tc>
          <w:tcPr>
            <w:tcW w:w="650" w:type="dxa"/>
            <w:shd w:val="clear" w:color="auto" w:fill="FFFFFF"/>
            <w:vAlign w:val="center"/>
          </w:tcPr>
          <w:p w14:paraId="77771337">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10</w:t>
            </w:r>
          </w:p>
        </w:tc>
        <w:tc>
          <w:tcPr>
            <w:tcW w:w="1050" w:type="dxa"/>
            <w:shd w:val="clear" w:color="auto" w:fill="FFFFFF"/>
            <w:vAlign w:val="center"/>
          </w:tcPr>
          <w:p w14:paraId="53A61693">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确认（并执行）处置</w:t>
            </w:r>
          </w:p>
        </w:tc>
        <w:tc>
          <w:tcPr>
            <w:tcW w:w="950" w:type="dxa"/>
            <w:shd w:val="clear" w:color="auto" w:fill="FFFFFF"/>
            <w:vAlign w:val="center"/>
          </w:tcPr>
          <w:p w14:paraId="38459902">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中控室操作员</w:t>
            </w:r>
          </w:p>
        </w:tc>
        <w:tc>
          <w:tcPr>
            <w:tcW w:w="1350" w:type="dxa"/>
            <w:shd w:val="clear" w:color="auto" w:fill="FFFFFF"/>
            <w:vAlign w:val="center"/>
          </w:tcPr>
          <w:p w14:paraId="6435FB6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决策结果为"是"</w:t>
            </w:r>
          </w:p>
        </w:tc>
        <w:tc>
          <w:tcPr>
            <w:tcW w:w="2000" w:type="dxa"/>
            <w:shd w:val="clear" w:color="auto" w:fill="FFFFFF"/>
            <w:vAlign w:val="center"/>
          </w:tcPr>
          <w:p w14:paraId="5D880E3B">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无（人工判断）</w:t>
            </w:r>
          </w:p>
        </w:tc>
        <w:tc>
          <w:tcPr>
            <w:tcW w:w="1072" w:type="dxa"/>
            <w:shd w:val="clear" w:color="auto" w:fill="FFFFFF"/>
            <w:vAlign w:val="center"/>
          </w:tcPr>
          <w:p w14:paraId="54F3C8E1">
            <w:pPr>
              <w:keepNext w:val="0"/>
              <w:keepLines/>
              <w:spacing w:before="0" w:after="0" w:line="240" w:lineRule="auto"/>
              <w:ind w:left="0" w:right="0" w:firstLine="0" w:firstLineChars="0"/>
              <w:jc w:val="left"/>
            </w:pPr>
          </w:p>
        </w:tc>
        <w:tc>
          <w:tcPr>
            <w:tcW w:w="2000" w:type="dxa"/>
            <w:shd w:val="clear" w:color="auto" w:fill="FFFFFF"/>
            <w:vAlign w:val="center"/>
          </w:tcPr>
          <w:p w14:paraId="73F0F74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R-YC-007</w:t>
            </w:r>
          </w:p>
        </w:tc>
      </w:tr>
      <w:tr w14:paraId="69F96525">
        <w:trPr>
          <w:cantSplit/>
          <w:jc w:val="center"/>
        </w:trPr>
        <w:tc>
          <w:tcPr>
            <w:tcW w:w="650" w:type="dxa"/>
            <w:shd w:val="clear" w:color="auto" w:fill="FFFFFF"/>
            <w:vAlign w:val="center"/>
          </w:tcPr>
          <w:p w14:paraId="277C2C64">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11</w:t>
            </w:r>
          </w:p>
        </w:tc>
        <w:tc>
          <w:tcPr>
            <w:tcW w:w="1050" w:type="dxa"/>
            <w:shd w:val="clear" w:color="auto" w:fill="FFFFFF"/>
            <w:vAlign w:val="center"/>
          </w:tcPr>
          <w:p w14:paraId="0F3D308C">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沉淀为质量改进案例</w:t>
            </w:r>
          </w:p>
        </w:tc>
        <w:tc>
          <w:tcPr>
            <w:tcW w:w="950" w:type="dxa"/>
            <w:shd w:val="clear" w:color="auto" w:fill="FFFFFF"/>
            <w:vAlign w:val="center"/>
          </w:tcPr>
          <w:p w14:paraId="3F02187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异常工况智能诊断引擎</w:t>
            </w:r>
          </w:p>
        </w:tc>
        <w:tc>
          <w:tcPr>
            <w:tcW w:w="1350" w:type="dxa"/>
            <w:shd w:val="clear" w:color="auto" w:fill="FFFFFF"/>
            <w:vAlign w:val="center"/>
          </w:tcPr>
          <w:p w14:paraId="2B4B129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执行完成</w:t>
            </w:r>
          </w:p>
        </w:tc>
        <w:tc>
          <w:tcPr>
            <w:tcW w:w="2000" w:type="dxa"/>
            <w:shd w:val="clear" w:color="auto" w:fill="FFFFFF"/>
            <w:vAlign w:val="center"/>
          </w:tcPr>
          <w:p w14:paraId="2D2D20B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无（归因报告内部沉淀）</w:t>
            </w:r>
          </w:p>
        </w:tc>
        <w:tc>
          <w:tcPr>
            <w:tcW w:w="1072" w:type="dxa"/>
            <w:shd w:val="clear" w:color="auto" w:fill="FFFFFF"/>
            <w:vAlign w:val="center"/>
          </w:tcPr>
          <w:p w14:paraId="0A8D4DF4">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案例入库 + 图谱权重更新</w:t>
            </w:r>
          </w:p>
        </w:tc>
        <w:tc>
          <w:tcPr>
            <w:tcW w:w="2000" w:type="dxa"/>
            <w:shd w:val="clear" w:color="auto" w:fill="FFFFFF"/>
            <w:vAlign w:val="center"/>
          </w:tcPr>
          <w:p w14:paraId="650A018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R-YC-007</w:t>
            </w:r>
          </w:p>
        </w:tc>
      </w:tr>
      <w:tr w14:paraId="3E18090B">
        <w:trPr>
          <w:cantSplit/>
          <w:jc w:val="center"/>
        </w:trPr>
        <w:tc>
          <w:tcPr>
            <w:tcW w:w="650" w:type="dxa"/>
            <w:shd w:val="clear" w:color="auto" w:fill="FFFFFF"/>
            <w:vAlign w:val="center"/>
          </w:tcPr>
          <w:p w14:paraId="2421CEA6">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12</w:t>
            </w:r>
          </w:p>
        </w:tc>
        <w:tc>
          <w:tcPr>
            <w:tcW w:w="1050" w:type="dxa"/>
            <w:shd w:val="clear" w:color="auto" w:fill="FFFFFF"/>
            <w:vAlign w:val="center"/>
          </w:tcPr>
          <w:p w14:paraId="03457275">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同步更新交接班记录</w:t>
            </w:r>
          </w:p>
        </w:tc>
        <w:tc>
          <w:tcPr>
            <w:tcW w:w="950" w:type="dxa"/>
            <w:shd w:val="clear" w:color="auto" w:fill="FFFFFF"/>
            <w:vAlign w:val="center"/>
          </w:tcPr>
          <w:p w14:paraId="5D88681C">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异常工况智能诊断引擎</w:t>
            </w:r>
          </w:p>
        </w:tc>
        <w:tc>
          <w:tcPr>
            <w:tcW w:w="1350" w:type="dxa"/>
            <w:shd w:val="clear" w:color="auto" w:fill="FFFFFF"/>
            <w:vAlign w:val="center"/>
          </w:tcPr>
          <w:p w14:paraId="5A590FE8">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归档完成</w:t>
            </w:r>
          </w:p>
        </w:tc>
        <w:tc>
          <w:tcPr>
            <w:tcW w:w="2000" w:type="dxa"/>
            <w:shd w:val="clear" w:color="auto" w:fill="FFFFFF"/>
            <w:vAlign w:val="center"/>
          </w:tcPr>
          <w:p w14:paraId="58A8D818">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无（归因报告内部沉淀）</w:t>
            </w:r>
          </w:p>
        </w:tc>
        <w:tc>
          <w:tcPr>
            <w:tcW w:w="1072" w:type="dxa"/>
            <w:shd w:val="clear" w:color="auto" w:fill="FFFFFF"/>
            <w:vAlign w:val="center"/>
          </w:tcPr>
          <w:p w14:paraId="40B6BC8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更新交接班记录</w:t>
            </w:r>
          </w:p>
        </w:tc>
        <w:tc>
          <w:tcPr>
            <w:tcW w:w="2000" w:type="dxa"/>
            <w:shd w:val="clear" w:color="auto" w:fill="FFFFFF"/>
            <w:vAlign w:val="center"/>
          </w:tcPr>
          <w:p w14:paraId="507E6981">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R-YC-004 / R-YC-007</w:t>
            </w:r>
          </w:p>
        </w:tc>
      </w:tr>
    </w:tbl>
    <w:p w14:paraId="74C061BC">
      <w:pPr>
        <w:pStyle w:val="15"/>
        <w:keepNext/>
        <w:snapToGrid w:val="0"/>
        <w:jc w:val="center"/>
      </w:pPr>
      <w:r>
        <w:t>表3-14　工况异常识别决策与控制说明</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016"/>
        <w:gridCol w:w="2116"/>
        <w:gridCol w:w="3326"/>
        <w:gridCol w:w="1614"/>
      </w:tblGrid>
      <w:tr w14:paraId="0E004F2E">
        <w:trPr>
          <w:cantSplit/>
          <w:tblHeader/>
        </w:trPr>
        <w:tc>
          <w:tcPr>
            <w:tcW w:w="2016" w:type="dxa"/>
            <w:vAlign w:val="center"/>
          </w:tcPr>
          <w:p w14:paraId="325D79D5">
            <w:pPr>
              <w:pStyle w:val="14"/>
              <w:keepNext w:val="0"/>
              <w:keepLines/>
              <w:snapToGrid w:val="0"/>
              <w:jc w:val="center"/>
            </w:pPr>
            <w:r>
              <w:rPr>
                <w:b/>
              </w:rPr>
              <w:t>步骤</w:t>
            </w:r>
          </w:p>
        </w:tc>
        <w:tc>
          <w:tcPr>
            <w:tcW w:w="2116" w:type="dxa"/>
            <w:vAlign w:val="center"/>
          </w:tcPr>
          <w:p w14:paraId="5F55F033">
            <w:pPr>
              <w:pStyle w:val="14"/>
              <w:keepNext w:val="0"/>
              <w:keepLines/>
              <w:snapToGrid w:val="0"/>
              <w:jc w:val="center"/>
            </w:pPr>
            <w:r>
              <w:rPr>
                <w:b/>
              </w:rPr>
              <w:t>责任岗位</w:t>
            </w:r>
          </w:p>
        </w:tc>
        <w:tc>
          <w:tcPr>
            <w:tcW w:w="3326" w:type="dxa"/>
            <w:vAlign w:val="center"/>
          </w:tcPr>
          <w:p w14:paraId="4267C42F">
            <w:pPr>
              <w:pStyle w:val="14"/>
              <w:keepNext w:val="0"/>
              <w:keepLines/>
              <w:snapToGrid w:val="0"/>
              <w:jc w:val="center"/>
            </w:pPr>
            <w:r>
              <w:rPr>
                <w:b/>
              </w:rPr>
              <w:t>决策条件</w:t>
            </w:r>
          </w:p>
        </w:tc>
        <w:tc>
          <w:tcPr>
            <w:tcW w:w="1614" w:type="dxa"/>
            <w:vAlign w:val="center"/>
          </w:tcPr>
          <w:p w14:paraId="569ECB6A">
            <w:pPr>
              <w:pStyle w:val="14"/>
              <w:keepNext w:val="0"/>
              <w:keepLines/>
              <w:snapToGrid w:val="0"/>
              <w:jc w:val="center"/>
            </w:pPr>
            <w:r>
              <w:rPr>
                <w:b/>
              </w:rPr>
              <w:t>控制职责</w:t>
            </w:r>
          </w:p>
        </w:tc>
      </w:tr>
      <w:tr w14:paraId="52BE8A98">
        <w:trPr>
          <w:cantSplit/>
        </w:trPr>
        <w:tc>
          <w:tcPr>
            <w:tcW w:w="2016" w:type="dxa"/>
            <w:vAlign w:val="center"/>
          </w:tcPr>
          <w:p w14:paraId="718654E2">
            <w:pPr>
              <w:pStyle w:val="14"/>
              <w:keepNext w:val="0"/>
              <w:keepLines/>
              <w:snapToGrid w:val="0"/>
              <w:jc w:val="left"/>
            </w:pPr>
            <w:r>
              <w:t>04</w:t>
            </w:r>
          </w:p>
        </w:tc>
        <w:tc>
          <w:tcPr>
            <w:tcW w:w="2116" w:type="dxa"/>
            <w:vAlign w:val="center"/>
          </w:tcPr>
          <w:p w14:paraId="2937A7C5">
            <w:pPr>
              <w:pStyle w:val="14"/>
              <w:keepNext w:val="0"/>
              <w:keepLines/>
              <w:snapToGrid w:val="0"/>
              <w:jc w:val="left"/>
            </w:pPr>
            <w:r>
              <w:t>异常工况智能诊断引擎</w:t>
            </w:r>
          </w:p>
        </w:tc>
        <w:tc>
          <w:tcPr>
            <w:tcW w:w="3326" w:type="dxa"/>
            <w:vAlign w:val="center"/>
          </w:tcPr>
          <w:p w14:paraId="6ACD1DD9">
            <w:pPr>
              <w:pStyle w:val="14"/>
              <w:keepNext w:val="0"/>
              <w:keepLines/>
              <w:snapToGrid w:val="0"/>
              <w:jc w:val="left"/>
            </w:pPr>
            <w:r>
              <w:t>是否信号异常</w:t>
            </w:r>
          </w:p>
        </w:tc>
        <w:tc>
          <w:tcPr>
            <w:tcW w:w="1614" w:type="dxa"/>
            <w:vAlign w:val="center"/>
          </w:tcPr>
          <w:p w14:paraId="46DB5DEA">
            <w:pPr>
              <w:pStyle w:val="14"/>
              <w:keepNext w:val="0"/>
              <w:keepLines/>
              <w:snapToGrid w:val="0"/>
              <w:jc w:val="left"/>
            </w:pPr>
            <w:r>
              <w:t>是→标记仪表/通讯故障并推送人工复核；否→执行根因诊断算法</w:t>
            </w:r>
          </w:p>
        </w:tc>
      </w:tr>
      <w:tr w14:paraId="25088358">
        <w:trPr>
          <w:cantSplit/>
        </w:trPr>
        <w:tc>
          <w:tcPr>
            <w:tcW w:w="2016" w:type="dxa"/>
            <w:vAlign w:val="center"/>
          </w:tcPr>
          <w:p w14:paraId="2BE70427">
            <w:pPr>
              <w:pStyle w:val="14"/>
              <w:keepNext w:val="0"/>
              <w:keepLines/>
              <w:snapToGrid w:val="0"/>
              <w:jc w:val="left"/>
            </w:pPr>
            <w:r>
              <w:t>08</w:t>
            </w:r>
          </w:p>
        </w:tc>
        <w:tc>
          <w:tcPr>
            <w:tcW w:w="2116" w:type="dxa"/>
            <w:vAlign w:val="center"/>
          </w:tcPr>
          <w:p w14:paraId="3473A358">
            <w:pPr>
              <w:pStyle w:val="14"/>
              <w:keepNext w:val="0"/>
              <w:keepLines/>
              <w:snapToGrid w:val="0"/>
              <w:jc w:val="left"/>
            </w:pPr>
            <w:r>
              <w:t>中控室操作员</w:t>
            </w:r>
          </w:p>
        </w:tc>
        <w:tc>
          <w:tcPr>
            <w:tcW w:w="3326" w:type="dxa"/>
            <w:vAlign w:val="center"/>
          </w:tcPr>
          <w:p w14:paraId="66D049CC">
            <w:pPr>
              <w:pStyle w:val="14"/>
              <w:keepNext w:val="0"/>
              <w:keepLines/>
              <w:snapToGrid w:val="0"/>
              <w:jc w:val="left"/>
            </w:pPr>
            <w:r>
              <w:t>是否采纳诊断结论</w:t>
            </w:r>
          </w:p>
        </w:tc>
        <w:tc>
          <w:tcPr>
            <w:tcW w:w="1614" w:type="dxa"/>
            <w:vAlign w:val="center"/>
          </w:tcPr>
          <w:p w14:paraId="534C5780">
            <w:pPr>
              <w:pStyle w:val="14"/>
              <w:keepNext w:val="0"/>
              <w:keepLines/>
              <w:snapToGrid w:val="0"/>
              <w:jc w:val="left"/>
            </w:pPr>
            <w:r>
              <w:t>是→确认（并执行）处置；否→触发算法重新诊断</w:t>
            </w:r>
          </w:p>
        </w:tc>
      </w:tr>
    </w:tbl>
    <w:p w14:paraId="7200001F">
      <w:pPr>
        <w:pStyle w:val="4"/>
        <w:snapToGrid w:val="0"/>
      </w:pPr>
      <w:bookmarkStart w:id="26" w:name="s3_3_4"/>
      <w:r>
        <w:rPr>
          <w:rFonts w:ascii="黑体" w:hAnsi="黑体" w:eastAsia="黑体" w:cs="黑体"/>
          <w:b/>
          <w:color w:val="000000"/>
        </w:rPr>
        <w:t>3.3.4　液化工序优化</w:t>
      </w:r>
      <w:bookmarkEnd w:id="26"/>
    </w:p>
    <w:p w14:paraId="720003DE">
      <w:pPr>
        <w:keepNext/>
        <w:keepLines/>
        <w:shd w:val="clear" w:fill="DEE6EF"/>
        <w:snapToGrid w:val="0"/>
        <w:spacing w:before="0" w:after="0" w:line="240" w:lineRule="auto"/>
        <w:ind w:left="142" w:right="142" w:firstLine="0" w:firstLineChars="0"/>
        <w:jc w:val="left"/>
      </w:pPr>
      <w:r>
        <w:rPr>
          <w:rFonts w:ascii="宋体" w:hAnsi="宋体" w:eastAsia="宋体" w:cs="宋体"/>
          <w:b/>
          <w:color w:val="000000"/>
          <w:sz w:val="18"/>
          <w:szCs w:val="18"/>
        </w:rPr>
        <w:t>流程编号及名称：P-ZLTC-AI-YHGXYH-114  液化工序优化流程</w:t>
      </w:r>
    </w:p>
    <w:p w14:paraId="111F3868">
      <w:pPr>
        <w:pStyle w:val="17"/>
        <w:keepNext/>
        <w:keepLines/>
        <w:snapToGrid w:val="0"/>
        <w:spacing w:before="0" w:after="0" w:line="240" w:lineRule="auto"/>
        <w:ind w:left="0" w:right="0" w:firstLine="0" w:firstLineChars="0"/>
        <w:jc w:val="center"/>
        <w:rPr>
          <w:highlight w:val="none"/>
        </w:rPr>
      </w:pPr>
      <w:r>
        <w:rPr>
          <w:highlight w:val="none"/>
        </w:rPr>
        <w:drawing>
          <wp:inline distT="0" distB="0" distL="114300" distR="114300">
            <wp:extent cx="5579745" cy="3971925"/>
            <wp:effectExtent l="0" t="0" r="0" b="0"/>
            <wp:docPr id="16" name="P-ZLTC-AI-YHGXYH-114 液化工序优化流程" descr="P-ZLTC-AI-YHGXYH-114 液化工序优化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ZLTC-AI-YHGXYH-114 液化工序优化流程" descr="P-ZLTC-AI-YHGXYH-114 液化工序优化流程"/>
                    <pic:cNvPicPr>
                      <a:picLocks noChangeAspect="1"/>
                    </pic:cNvPicPr>
                  </pic:nvPicPr>
                  <pic:blipFill>
                    <a:blip r:embed="rId24"/>
                    <a:srcRect t="4662"/>
                    <a:stretch>
                      <a:fillRect/>
                    </a:stretch>
                  </pic:blipFill>
                  <pic:spPr>
                    <a:xfrm>
                      <a:off x="0" y="0"/>
                      <a:ext cx="5579745" cy="3972005"/>
                    </a:xfrm>
                    <a:prstGeom prst="rect">
                      <a:avLst/>
                    </a:prstGeom>
                    <a:noFill/>
                    <a:ln>
                      <a:noFill/>
                    </a:ln>
                  </pic:spPr>
                </pic:pic>
              </a:graphicData>
            </a:graphic>
          </wp:inline>
        </w:drawing>
      </w:r>
    </w:p>
    <w:p w14:paraId="608882BC">
      <w:pPr>
        <w:pStyle w:val="17"/>
        <w:keepNext w:val="0"/>
        <w:spacing w:after="40"/>
        <w:jc w:val="center"/>
        <w:rPr>
          <w:highlight w:val="none"/>
        </w:rPr>
      </w:pPr>
      <w:r>
        <w:rPr>
          <w:rFonts w:ascii="宋体" w:hAnsi="宋体" w:eastAsia="宋体"/>
          <w:sz w:val="21"/>
          <w:highlight w:val="none"/>
        </w:rPr>
        <w:t>图3-14　液化工序优化流程图</w:t>
      </w:r>
    </w:p>
    <w:p w14:paraId="3129F5FC">
      <w:pPr>
        <w:pStyle w:val="17"/>
        <w:keepNext/>
        <w:spacing w:after="40"/>
        <w:jc w:val="center"/>
        <w:rPr>
          <w:highlight w:val="none"/>
        </w:rPr>
      </w:pPr>
      <w:r>
        <w:rPr>
          <w:rFonts w:ascii="宋体" w:hAnsi="宋体" w:eastAsia="宋体"/>
          <w:sz w:val="21"/>
          <w:highlight w:val="none"/>
        </w:rPr>
        <w:t>表3-15　液化工序优化流程描述</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410384A8">
        <w:trPr>
          <w:cantSplit/>
          <w:tblHeader/>
          <w:jc w:val="center"/>
        </w:trPr>
        <w:tc>
          <w:tcPr>
            <w:tcW w:w="650" w:type="dxa"/>
            <w:shd w:val="clear" w:color="auto" w:fill="FFFFFF"/>
            <w:tcMar>
              <w:top w:w="0" w:type="dxa"/>
              <w:left w:w="108" w:type="dxa"/>
              <w:bottom w:w="0" w:type="dxa"/>
              <w:right w:w="108" w:type="dxa"/>
            </w:tcMar>
            <w:vAlign w:val="center"/>
          </w:tcPr>
          <w:p w14:paraId="4B00240F">
            <w:pPr>
              <w:pStyle w:val="17"/>
              <w:keepNext/>
              <w:spacing w:before="0" w:after="0" w:line="240" w:lineRule="auto"/>
              <w:jc w:val="center"/>
              <w:rPr>
                <w:highlight w:val="none"/>
              </w:rPr>
            </w:pPr>
            <w:r>
              <w:rPr>
                <w:rFonts w:ascii="宋体" w:hAnsi="宋体" w:eastAsia="宋体" w:cs="宋体"/>
                <w:b/>
                <w:bCs/>
                <w:color w:val="000000"/>
                <w:sz w:val="16"/>
                <w:highlight w:val="none"/>
              </w:rPr>
              <w:t>步骤编号</w:t>
            </w:r>
          </w:p>
        </w:tc>
        <w:tc>
          <w:tcPr>
            <w:tcW w:w="1050" w:type="dxa"/>
            <w:shd w:val="clear" w:color="auto" w:fill="FFFFFF"/>
            <w:tcMar>
              <w:top w:w="0" w:type="dxa"/>
              <w:left w:w="108" w:type="dxa"/>
              <w:bottom w:w="0" w:type="dxa"/>
              <w:right w:w="108" w:type="dxa"/>
            </w:tcMar>
            <w:vAlign w:val="center"/>
          </w:tcPr>
          <w:p w14:paraId="6C5CD140">
            <w:pPr>
              <w:pStyle w:val="17"/>
              <w:keepNext/>
              <w:spacing w:before="0" w:after="0" w:line="240" w:lineRule="auto"/>
              <w:jc w:val="center"/>
              <w:rPr>
                <w:highlight w:val="none"/>
              </w:rPr>
            </w:pPr>
            <w:r>
              <w:rPr>
                <w:rFonts w:ascii="宋体" w:hAnsi="宋体" w:eastAsia="宋体" w:cs="宋体"/>
                <w:b/>
                <w:bCs/>
                <w:color w:val="000000"/>
                <w:sz w:val="16"/>
                <w:highlight w:val="none"/>
              </w:rPr>
              <w:t>节点名称</w:t>
            </w:r>
          </w:p>
        </w:tc>
        <w:tc>
          <w:tcPr>
            <w:tcW w:w="950" w:type="dxa"/>
            <w:shd w:val="clear" w:color="auto" w:fill="FFFFFF"/>
            <w:tcMar>
              <w:top w:w="0" w:type="dxa"/>
              <w:left w:w="108" w:type="dxa"/>
              <w:bottom w:w="0" w:type="dxa"/>
              <w:right w:w="108" w:type="dxa"/>
            </w:tcMar>
            <w:vAlign w:val="center"/>
          </w:tcPr>
          <w:p w14:paraId="724BC350">
            <w:pPr>
              <w:pStyle w:val="17"/>
              <w:keepNext/>
              <w:spacing w:before="0" w:after="0" w:line="240" w:lineRule="auto"/>
              <w:jc w:val="center"/>
              <w:rPr>
                <w:highlight w:val="none"/>
              </w:rPr>
            </w:pPr>
            <w:r>
              <w:rPr>
                <w:rFonts w:ascii="宋体" w:hAnsi="宋体" w:eastAsia="宋体" w:cs="宋体"/>
                <w:b/>
                <w:bCs/>
                <w:color w:val="000000"/>
                <w:sz w:val="16"/>
                <w:highlight w:val="none"/>
              </w:rPr>
              <w:t>责任节点</w:t>
            </w:r>
          </w:p>
        </w:tc>
        <w:tc>
          <w:tcPr>
            <w:tcW w:w="1350" w:type="dxa"/>
            <w:shd w:val="clear" w:color="auto" w:fill="FFFFFF"/>
            <w:tcMar>
              <w:top w:w="0" w:type="dxa"/>
              <w:left w:w="108" w:type="dxa"/>
              <w:bottom w:w="0" w:type="dxa"/>
              <w:right w:w="108" w:type="dxa"/>
            </w:tcMar>
            <w:vAlign w:val="center"/>
          </w:tcPr>
          <w:p w14:paraId="2F0BCD48">
            <w:pPr>
              <w:pStyle w:val="17"/>
              <w:keepNext/>
              <w:spacing w:before="0" w:after="0" w:line="240" w:lineRule="auto"/>
              <w:jc w:val="center"/>
              <w:rPr>
                <w:highlight w:val="none"/>
              </w:rPr>
            </w:pPr>
            <w:r>
              <w:rPr>
                <w:rFonts w:ascii="宋体" w:hAnsi="宋体" w:eastAsia="宋体" w:cs="宋体"/>
                <w:b/>
                <w:bCs/>
                <w:color w:val="000000"/>
                <w:sz w:val="16"/>
                <w:highlight w:val="none"/>
              </w:rPr>
              <w:t>输入/输出</w:t>
            </w:r>
          </w:p>
        </w:tc>
        <w:tc>
          <w:tcPr>
            <w:tcW w:w="2000" w:type="dxa"/>
            <w:shd w:val="clear" w:color="auto" w:fill="FFFFFF"/>
            <w:tcMar>
              <w:top w:w="0" w:type="dxa"/>
              <w:left w:w="108" w:type="dxa"/>
              <w:bottom w:w="0" w:type="dxa"/>
              <w:right w:w="108" w:type="dxa"/>
            </w:tcMar>
            <w:vAlign w:val="center"/>
          </w:tcPr>
          <w:p w14:paraId="58E062D0">
            <w:pPr>
              <w:pStyle w:val="17"/>
              <w:keepNext/>
              <w:spacing w:before="0" w:after="0" w:line="240" w:lineRule="auto"/>
              <w:jc w:val="center"/>
              <w:rPr>
                <w:highlight w:val="none"/>
              </w:rPr>
            </w:pPr>
            <w:r>
              <w:rPr>
                <w:rFonts w:ascii="宋体" w:hAnsi="宋体" w:eastAsia="宋体" w:cs="宋体"/>
                <w:b/>
                <w:bCs/>
                <w:color w:val="000000"/>
                <w:sz w:val="16"/>
                <w:highlight w:val="none"/>
              </w:rPr>
              <w:t>处理说明</w:t>
            </w:r>
          </w:p>
        </w:tc>
        <w:tc>
          <w:tcPr>
            <w:tcW w:w="1072" w:type="dxa"/>
            <w:shd w:val="clear" w:color="auto" w:fill="FFFFFF"/>
            <w:tcMar>
              <w:top w:w="0" w:type="dxa"/>
              <w:left w:w="108" w:type="dxa"/>
              <w:bottom w:w="0" w:type="dxa"/>
              <w:right w:w="108" w:type="dxa"/>
            </w:tcMar>
            <w:vAlign w:val="center"/>
          </w:tcPr>
          <w:p w14:paraId="583004C6">
            <w:pPr>
              <w:pStyle w:val="17"/>
              <w:keepNext/>
              <w:spacing w:before="0" w:after="0" w:line="240" w:lineRule="auto"/>
              <w:jc w:val="center"/>
              <w:rPr>
                <w:highlight w:val="none"/>
              </w:rPr>
            </w:pPr>
            <w:r>
              <w:rPr>
                <w:rFonts w:ascii="宋体" w:hAnsi="宋体" w:eastAsia="宋体" w:cs="宋体"/>
                <w:b/>
                <w:bCs/>
                <w:color w:val="000000"/>
                <w:sz w:val="16"/>
                <w:highlight w:val="none"/>
              </w:rPr>
              <w:t>异常/分支</w:t>
            </w:r>
          </w:p>
        </w:tc>
        <w:tc>
          <w:tcPr>
            <w:tcW w:w="2000" w:type="dxa"/>
            <w:shd w:val="clear" w:color="auto" w:fill="FFFFFF"/>
            <w:tcMar>
              <w:top w:w="0" w:type="dxa"/>
              <w:left w:w="108" w:type="dxa"/>
              <w:bottom w:w="0" w:type="dxa"/>
              <w:right w:w="108" w:type="dxa"/>
            </w:tcMar>
            <w:vAlign w:val="center"/>
          </w:tcPr>
          <w:p w14:paraId="1F1CAC5C">
            <w:pPr>
              <w:pStyle w:val="17"/>
              <w:keepNext/>
              <w:spacing w:before="0" w:after="0" w:line="240" w:lineRule="auto"/>
              <w:jc w:val="center"/>
              <w:rPr>
                <w:highlight w:val="none"/>
              </w:rPr>
            </w:pPr>
            <w:r>
              <w:rPr>
                <w:rFonts w:ascii="宋体" w:hAnsi="宋体" w:eastAsia="宋体" w:cs="宋体"/>
                <w:b/>
                <w:bCs/>
                <w:color w:val="000000"/>
                <w:sz w:val="16"/>
                <w:highlight w:val="none"/>
              </w:rPr>
              <w:t>关联规则</w:t>
            </w:r>
          </w:p>
        </w:tc>
      </w:tr>
      <w:tr w14:paraId="2ADEB176">
        <w:trPr>
          <w:cantSplit/>
          <w:jc w:val="center"/>
        </w:trPr>
        <w:tc>
          <w:tcPr>
            <w:tcW w:w="650" w:type="dxa"/>
            <w:shd w:val="clear" w:color="auto" w:fill="FFFFFF"/>
            <w:tcMar>
              <w:top w:w="0" w:type="dxa"/>
              <w:left w:w="108" w:type="dxa"/>
              <w:bottom w:w="0" w:type="dxa"/>
              <w:right w:w="108" w:type="dxa"/>
            </w:tcMar>
            <w:vAlign w:val="center"/>
          </w:tcPr>
          <w:p w14:paraId="5C42A4C1">
            <w:pPr>
              <w:pStyle w:val="17"/>
              <w:spacing w:before="0" w:after="0" w:line="240" w:lineRule="auto"/>
              <w:jc w:val="center"/>
              <w:rPr>
                <w:highlight w:val="none"/>
              </w:rPr>
            </w:pPr>
            <w:r>
              <w:rPr>
                <w:rFonts w:ascii="宋体" w:hAnsi="宋体" w:eastAsia="宋体" w:cs="宋体"/>
                <w:b w:val="0"/>
                <w:color w:val="000000"/>
                <w:sz w:val="16"/>
                <w:highlight w:val="none"/>
              </w:rPr>
              <w:t>01</w:t>
            </w:r>
          </w:p>
        </w:tc>
        <w:tc>
          <w:tcPr>
            <w:tcW w:w="1050" w:type="dxa"/>
            <w:shd w:val="clear" w:color="auto" w:fill="FFFFFF"/>
            <w:tcMar>
              <w:top w:w="0" w:type="dxa"/>
              <w:left w:w="108" w:type="dxa"/>
              <w:bottom w:w="0" w:type="dxa"/>
              <w:right w:w="108" w:type="dxa"/>
            </w:tcMar>
            <w:vAlign w:val="center"/>
          </w:tcPr>
          <w:p w14:paraId="051271BA">
            <w:pPr>
              <w:pStyle w:val="17"/>
              <w:spacing w:before="0" w:after="0" w:line="240" w:lineRule="auto"/>
              <w:jc w:val="center"/>
              <w:rPr>
                <w:highlight w:val="none"/>
              </w:rPr>
            </w:pPr>
            <w:r>
              <w:rPr>
                <w:rFonts w:ascii="宋体" w:hAnsi="宋体" w:eastAsia="宋体" w:cs="宋体"/>
                <w:b w:val="0"/>
                <w:color w:val="000000"/>
                <w:sz w:val="16"/>
                <w:highlight w:val="none"/>
              </w:rPr>
              <w:t>定时/事件触发或用户查询</w:t>
            </w:r>
          </w:p>
        </w:tc>
        <w:tc>
          <w:tcPr>
            <w:tcW w:w="950" w:type="dxa"/>
            <w:shd w:val="clear" w:color="auto" w:fill="FFFFFF"/>
            <w:tcMar>
              <w:top w:w="0" w:type="dxa"/>
              <w:left w:w="108" w:type="dxa"/>
              <w:bottom w:w="0" w:type="dxa"/>
              <w:right w:w="108" w:type="dxa"/>
            </w:tcMar>
            <w:vAlign w:val="center"/>
          </w:tcPr>
          <w:p w14:paraId="6E9EB4D7">
            <w:pPr>
              <w:pStyle w:val="17"/>
              <w:spacing w:before="0" w:after="0" w:line="240" w:lineRule="auto"/>
              <w:jc w:val="center"/>
              <w:rPr>
                <w:highlight w:val="none"/>
              </w:rPr>
            </w:pPr>
            <w:r>
              <w:rPr>
                <w:rFonts w:ascii="宋体" w:hAnsi="宋体" w:eastAsia="宋体" w:cs="宋体"/>
                <w:b w:val="0"/>
                <w:color w:val="000000"/>
                <w:sz w:val="16"/>
                <w:highlight w:val="none"/>
              </w:rPr>
              <w:t>业务事件源或用户</w:t>
            </w:r>
          </w:p>
        </w:tc>
        <w:tc>
          <w:tcPr>
            <w:tcW w:w="1350" w:type="dxa"/>
            <w:shd w:val="clear" w:color="auto" w:fill="FFFFFF"/>
            <w:tcMar>
              <w:top w:w="0" w:type="dxa"/>
              <w:left w:w="108" w:type="dxa"/>
              <w:bottom w:w="0" w:type="dxa"/>
              <w:right w:w="108" w:type="dxa"/>
            </w:tcMar>
            <w:vAlign w:val="center"/>
          </w:tcPr>
          <w:p w14:paraId="4DCEA141">
            <w:pPr>
              <w:pStyle w:val="17"/>
              <w:spacing w:before="0" w:after="0" w:line="240" w:lineRule="auto"/>
              <w:jc w:val="left"/>
              <w:rPr>
                <w:highlight w:val="none"/>
              </w:rPr>
            </w:pPr>
            <w:r>
              <w:rPr>
                <w:rFonts w:ascii="宋体" w:hAnsi="宋体" w:eastAsia="宋体" w:cs="宋体"/>
                <w:b w:val="0"/>
                <w:color w:val="000000"/>
                <w:sz w:val="16"/>
                <w:highlight w:val="none"/>
              </w:rPr>
              <w:t>触发信号或问题 → 查询/优化请求</w:t>
            </w:r>
          </w:p>
        </w:tc>
        <w:tc>
          <w:tcPr>
            <w:tcW w:w="2000" w:type="dxa"/>
            <w:shd w:val="clear" w:color="auto" w:fill="FFFFFF"/>
            <w:tcMar>
              <w:top w:w="0" w:type="dxa"/>
              <w:left w:w="108" w:type="dxa"/>
              <w:bottom w:w="0" w:type="dxa"/>
              <w:right w:w="108" w:type="dxa"/>
            </w:tcMar>
            <w:vAlign w:val="center"/>
          </w:tcPr>
          <w:p w14:paraId="0CDEF119">
            <w:pPr>
              <w:pStyle w:val="17"/>
              <w:spacing w:before="0" w:after="0" w:line="240" w:lineRule="auto"/>
              <w:jc w:val="left"/>
              <w:rPr>
                <w:highlight w:val="none"/>
              </w:rPr>
            </w:pPr>
            <w:r>
              <w:rPr>
                <w:rFonts w:ascii="宋体" w:hAnsi="宋体" w:eastAsia="宋体" w:cs="宋体"/>
                <w:b w:val="0"/>
                <w:color w:val="000000"/>
                <w:sz w:val="16"/>
                <w:highlight w:val="none"/>
              </w:rPr>
              <w:t>支持定时触发、事件触发与用户查询三种启动方式：定时与事件触发执行例行工况跟踪与优化评估；用户查询响应状态查询、参数优化、假设模拟与绩效汇报请求。</w:t>
            </w:r>
          </w:p>
        </w:tc>
        <w:tc>
          <w:tcPr>
            <w:tcW w:w="1072" w:type="dxa"/>
            <w:shd w:val="clear" w:color="auto" w:fill="FFFFFF"/>
            <w:tcMar>
              <w:top w:w="0" w:type="dxa"/>
              <w:left w:w="108" w:type="dxa"/>
              <w:bottom w:w="0" w:type="dxa"/>
              <w:right w:w="108" w:type="dxa"/>
            </w:tcMar>
            <w:vAlign w:val="center"/>
          </w:tcPr>
          <w:p w14:paraId="0F8582D2">
            <w:pPr>
              <w:pStyle w:val="17"/>
              <w:spacing w:before="0" w:after="0" w:line="240" w:lineRule="auto"/>
              <w:jc w:val="left"/>
              <w:rPr>
                <w:highlight w:val="none"/>
              </w:rPr>
            </w:pPr>
            <w:r>
              <w:rPr>
                <w:rFonts w:ascii="宋体" w:hAnsi="宋体" w:eastAsia="宋体" w:cs="宋体"/>
                <w:b w:val="0"/>
                <w:color w:val="000000"/>
                <w:sz w:val="16"/>
                <w:highlight w:val="none"/>
              </w:rPr>
              <w:t>进入02。</w:t>
            </w:r>
          </w:p>
        </w:tc>
        <w:tc>
          <w:tcPr>
            <w:tcW w:w="2000" w:type="dxa"/>
            <w:shd w:val="clear" w:color="auto" w:fill="FFFFFF"/>
            <w:tcMar>
              <w:top w:w="0" w:type="dxa"/>
              <w:left w:w="108" w:type="dxa"/>
              <w:bottom w:w="0" w:type="dxa"/>
              <w:right w:w="108" w:type="dxa"/>
            </w:tcMar>
            <w:vAlign w:val="center"/>
          </w:tcPr>
          <w:p w14:paraId="463E7943">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41C8AC80">
        <w:trPr>
          <w:cantSplit/>
          <w:jc w:val="center"/>
        </w:trPr>
        <w:tc>
          <w:tcPr>
            <w:tcW w:w="650" w:type="dxa"/>
            <w:shd w:val="clear" w:color="auto" w:fill="FFFFFF"/>
            <w:tcMar>
              <w:top w:w="0" w:type="dxa"/>
              <w:left w:w="108" w:type="dxa"/>
              <w:bottom w:w="0" w:type="dxa"/>
              <w:right w:w="108" w:type="dxa"/>
            </w:tcMar>
            <w:vAlign w:val="center"/>
          </w:tcPr>
          <w:p w14:paraId="58D460EA">
            <w:pPr>
              <w:pStyle w:val="17"/>
              <w:spacing w:before="0" w:after="0" w:line="240" w:lineRule="auto"/>
              <w:jc w:val="center"/>
              <w:rPr>
                <w:highlight w:val="none"/>
              </w:rPr>
            </w:pPr>
            <w:r>
              <w:rPr>
                <w:rFonts w:ascii="宋体" w:hAnsi="宋体" w:eastAsia="宋体" w:cs="宋体"/>
                <w:b w:val="0"/>
                <w:color w:val="000000"/>
                <w:sz w:val="16"/>
                <w:highlight w:val="none"/>
              </w:rPr>
              <w:t>02</w:t>
            </w:r>
          </w:p>
        </w:tc>
        <w:tc>
          <w:tcPr>
            <w:tcW w:w="1050" w:type="dxa"/>
            <w:shd w:val="clear" w:color="auto" w:fill="FFFFFF"/>
            <w:tcMar>
              <w:top w:w="0" w:type="dxa"/>
              <w:left w:w="108" w:type="dxa"/>
              <w:bottom w:w="0" w:type="dxa"/>
              <w:right w:w="108" w:type="dxa"/>
            </w:tcMar>
            <w:vAlign w:val="center"/>
          </w:tcPr>
          <w:p w14:paraId="465B63F0">
            <w:pPr>
              <w:pStyle w:val="17"/>
              <w:spacing w:before="0" w:after="0" w:line="240" w:lineRule="auto"/>
              <w:jc w:val="center"/>
              <w:rPr>
                <w:highlight w:val="none"/>
              </w:rPr>
            </w:pPr>
            <w:r>
              <w:rPr>
                <w:rFonts w:ascii="宋体" w:hAnsi="宋体" w:eastAsia="宋体" w:cs="宋体"/>
                <w:b w:val="0"/>
                <w:color w:val="000000"/>
                <w:sz w:val="16"/>
                <w:highlight w:val="none"/>
              </w:rPr>
              <w:t>识别意图与分支</w:t>
            </w:r>
          </w:p>
        </w:tc>
        <w:tc>
          <w:tcPr>
            <w:tcW w:w="950" w:type="dxa"/>
            <w:shd w:val="clear" w:color="auto" w:fill="FFFFFF"/>
            <w:tcMar>
              <w:top w:w="0" w:type="dxa"/>
              <w:left w:w="108" w:type="dxa"/>
              <w:bottom w:w="0" w:type="dxa"/>
              <w:right w:w="108" w:type="dxa"/>
            </w:tcMar>
            <w:vAlign w:val="center"/>
          </w:tcPr>
          <w:p w14:paraId="2CEB636B">
            <w:pPr>
              <w:pStyle w:val="17"/>
              <w:spacing w:before="0" w:after="0" w:line="240" w:lineRule="auto"/>
              <w:jc w:val="center"/>
              <w:rPr>
                <w:highlight w:val="none"/>
              </w:rPr>
            </w:pPr>
            <w:r>
              <w:rPr>
                <w:rFonts w:ascii="宋体" w:hAnsi="宋体" w:eastAsia="宋体" w:cs="宋体"/>
                <w:b w:val="0"/>
                <w:color w:val="000000"/>
                <w:sz w:val="16"/>
                <w:highlight w:val="none"/>
              </w:rPr>
              <w:t>主智能体</w:t>
            </w:r>
          </w:p>
        </w:tc>
        <w:tc>
          <w:tcPr>
            <w:tcW w:w="1350" w:type="dxa"/>
            <w:shd w:val="clear" w:color="auto" w:fill="FFFFFF"/>
            <w:tcMar>
              <w:top w:w="0" w:type="dxa"/>
              <w:left w:w="108" w:type="dxa"/>
              <w:bottom w:w="0" w:type="dxa"/>
              <w:right w:w="108" w:type="dxa"/>
            </w:tcMar>
            <w:vAlign w:val="center"/>
          </w:tcPr>
          <w:p w14:paraId="5C8125C4">
            <w:pPr>
              <w:pStyle w:val="17"/>
              <w:spacing w:before="0" w:after="0" w:line="240" w:lineRule="auto"/>
              <w:jc w:val="left"/>
              <w:rPr>
                <w:highlight w:val="none"/>
              </w:rPr>
            </w:pPr>
            <w:r>
              <w:rPr>
                <w:rFonts w:ascii="宋体" w:hAnsi="宋体" w:eastAsia="宋体" w:cs="宋体"/>
                <w:b w:val="0"/>
                <w:color w:val="000000"/>
                <w:sz w:val="16"/>
                <w:highlight w:val="none"/>
              </w:rPr>
              <w:t>请求 → 任务与分支标签</w:t>
            </w:r>
          </w:p>
        </w:tc>
        <w:tc>
          <w:tcPr>
            <w:tcW w:w="2000" w:type="dxa"/>
            <w:shd w:val="clear" w:color="auto" w:fill="FFFFFF"/>
            <w:tcMar>
              <w:top w:w="0" w:type="dxa"/>
              <w:left w:w="108" w:type="dxa"/>
              <w:bottom w:w="0" w:type="dxa"/>
              <w:right w:w="108" w:type="dxa"/>
            </w:tcMar>
            <w:vAlign w:val="center"/>
          </w:tcPr>
          <w:p w14:paraId="5D481DC2">
            <w:pPr>
              <w:pStyle w:val="17"/>
              <w:spacing w:before="0" w:after="0" w:line="240" w:lineRule="auto"/>
              <w:jc w:val="left"/>
              <w:rPr>
                <w:highlight w:val="none"/>
              </w:rPr>
            </w:pPr>
            <w:r>
              <w:rPr>
                <w:rFonts w:ascii="宋体" w:hAnsi="宋体" w:eastAsia="宋体" w:cs="宋体"/>
                <w:b w:val="0"/>
                <w:color w:val="000000"/>
                <w:sz w:val="16"/>
                <w:highlight w:val="none"/>
              </w:rPr>
              <w:t>识别意图类型（状态查询/参数优化/假设模拟/绩效汇报），有歧义先追问确认。</w:t>
            </w:r>
          </w:p>
        </w:tc>
        <w:tc>
          <w:tcPr>
            <w:tcW w:w="1072" w:type="dxa"/>
            <w:shd w:val="clear" w:color="auto" w:fill="FFFFFF"/>
            <w:tcMar>
              <w:top w:w="0" w:type="dxa"/>
              <w:left w:w="108" w:type="dxa"/>
              <w:bottom w:w="0" w:type="dxa"/>
              <w:right w:w="108" w:type="dxa"/>
            </w:tcMar>
            <w:vAlign w:val="center"/>
          </w:tcPr>
          <w:p w14:paraId="1246B292">
            <w:pPr>
              <w:pStyle w:val="17"/>
              <w:spacing w:before="0" w:after="0" w:line="240" w:lineRule="auto"/>
              <w:jc w:val="left"/>
              <w:rPr>
                <w:highlight w:val="none"/>
              </w:rPr>
            </w:pPr>
            <w:r>
              <w:rPr>
                <w:rFonts w:ascii="宋体" w:hAnsi="宋体" w:eastAsia="宋体" w:cs="宋体"/>
                <w:b w:val="0"/>
                <w:color w:val="000000"/>
                <w:sz w:val="16"/>
                <w:highlight w:val="none"/>
              </w:rPr>
              <w:t>意图明确进入03。</w:t>
            </w:r>
          </w:p>
        </w:tc>
        <w:tc>
          <w:tcPr>
            <w:tcW w:w="2000" w:type="dxa"/>
            <w:shd w:val="clear" w:color="auto" w:fill="FFFFFF"/>
            <w:tcMar>
              <w:top w:w="0" w:type="dxa"/>
              <w:left w:w="108" w:type="dxa"/>
              <w:bottom w:w="0" w:type="dxa"/>
              <w:right w:w="108" w:type="dxa"/>
            </w:tcMar>
            <w:vAlign w:val="center"/>
          </w:tcPr>
          <w:p w14:paraId="44A5218E">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1F317167">
        <w:trPr>
          <w:cantSplit/>
          <w:jc w:val="center"/>
        </w:trPr>
        <w:tc>
          <w:tcPr>
            <w:tcW w:w="650" w:type="dxa"/>
            <w:shd w:val="clear" w:color="auto" w:fill="FFFFFF"/>
            <w:tcMar>
              <w:top w:w="0" w:type="dxa"/>
              <w:left w:w="108" w:type="dxa"/>
              <w:bottom w:w="0" w:type="dxa"/>
              <w:right w:w="108" w:type="dxa"/>
            </w:tcMar>
            <w:vAlign w:val="center"/>
          </w:tcPr>
          <w:p w14:paraId="36D74EEE">
            <w:pPr>
              <w:pStyle w:val="17"/>
              <w:spacing w:before="0" w:after="0" w:line="240" w:lineRule="auto"/>
              <w:jc w:val="center"/>
              <w:rPr>
                <w:highlight w:val="none"/>
              </w:rPr>
            </w:pPr>
            <w:r>
              <w:rPr>
                <w:rFonts w:ascii="宋体" w:hAnsi="宋体" w:eastAsia="宋体" w:cs="宋体"/>
                <w:b w:val="0"/>
                <w:color w:val="000000"/>
                <w:sz w:val="16"/>
                <w:highlight w:val="none"/>
              </w:rPr>
              <w:t>03</w:t>
            </w:r>
          </w:p>
        </w:tc>
        <w:tc>
          <w:tcPr>
            <w:tcW w:w="1050" w:type="dxa"/>
            <w:shd w:val="clear" w:color="auto" w:fill="FFFFFF"/>
            <w:tcMar>
              <w:top w:w="0" w:type="dxa"/>
              <w:left w:w="108" w:type="dxa"/>
              <w:bottom w:w="0" w:type="dxa"/>
              <w:right w:w="108" w:type="dxa"/>
            </w:tcMar>
            <w:vAlign w:val="center"/>
          </w:tcPr>
          <w:p w14:paraId="2267DE9C">
            <w:pPr>
              <w:pStyle w:val="17"/>
              <w:spacing w:before="0" w:after="0" w:line="240" w:lineRule="auto"/>
              <w:jc w:val="center"/>
              <w:rPr>
                <w:highlight w:val="none"/>
              </w:rPr>
            </w:pPr>
            <w:r>
              <w:rPr>
                <w:rFonts w:ascii="宋体" w:hAnsi="宋体" w:eastAsia="宋体" w:cs="宋体"/>
                <w:b w:val="0"/>
                <w:color w:val="000000"/>
                <w:sz w:val="16"/>
                <w:highlight w:val="none"/>
              </w:rPr>
              <w:t>动态取数与工况特征构建</w:t>
            </w:r>
          </w:p>
        </w:tc>
        <w:tc>
          <w:tcPr>
            <w:tcW w:w="950" w:type="dxa"/>
            <w:shd w:val="clear" w:color="auto" w:fill="FFFFFF"/>
            <w:tcMar>
              <w:top w:w="0" w:type="dxa"/>
              <w:left w:w="108" w:type="dxa"/>
              <w:bottom w:w="0" w:type="dxa"/>
              <w:right w:w="108" w:type="dxa"/>
            </w:tcMar>
            <w:vAlign w:val="center"/>
          </w:tcPr>
          <w:p w14:paraId="75EC5EFE">
            <w:pPr>
              <w:pStyle w:val="17"/>
              <w:spacing w:before="0" w:after="0" w:line="240" w:lineRule="auto"/>
              <w:jc w:val="center"/>
              <w:rPr>
                <w:highlight w:val="none"/>
              </w:rPr>
            </w:pPr>
            <w:r>
              <w:rPr>
                <w:rFonts w:ascii="宋体" w:hAnsi="宋体" w:eastAsia="宋体" w:cs="宋体"/>
                <w:b w:val="0"/>
                <w:color w:val="000000"/>
                <w:sz w:val="16"/>
                <w:highlight w:val="none"/>
              </w:rPr>
              <w:t>数据与模型服务</w:t>
            </w:r>
          </w:p>
        </w:tc>
        <w:tc>
          <w:tcPr>
            <w:tcW w:w="1350" w:type="dxa"/>
            <w:shd w:val="clear" w:color="auto" w:fill="FFFFFF"/>
            <w:tcMar>
              <w:top w:w="0" w:type="dxa"/>
              <w:left w:w="108" w:type="dxa"/>
              <w:bottom w:w="0" w:type="dxa"/>
              <w:right w:w="108" w:type="dxa"/>
            </w:tcMar>
            <w:vAlign w:val="center"/>
          </w:tcPr>
          <w:p w14:paraId="62CBADE0">
            <w:pPr>
              <w:pStyle w:val="17"/>
              <w:spacing w:before="0" w:after="0" w:line="240" w:lineRule="auto"/>
              <w:jc w:val="left"/>
              <w:rPr>
                <w:highlight w:val="none"/>
              </w:rPr>
            </w:pPr>
            <w:r>
              <w:rPr>
                <w:rFonts w:ascii="宋体" w:hAnsi="宋体" w:eastAsia="宋体" w:cs="宋体"/>
                <w:b w:val="0"/>
                <w:color w:val="000000"/>
                <w:sz w:val="16"/>
                <w:highlight w:val="none"/>
              </w:rPr>
              <w:t>任务标签 → 工况特征向量</w:t>
            </w:r>
          </w:p>
        </w:tc>
        <w:tc>
          <w:tcPr>
            <w:tcW w:w="2000" w:type="dxa"/>
            <w:shd w:val="clear" w:color="auto" w:fill="FFFFFF"/>
            <w:tcMar>
              <w:top w:w="0" w:type="dxa"/>
              <w:left w:w="108" w:type="dxa"/>
              <w:bottom w:w="0" w:type="dxa"/>
              <w:right w:w="108" w:type="dxa"/>
            </w:tcMar>
            <w:vAlign w:val="center"/>
          </w:tcPr>
          <w:p w14:paraId="614CF65B">
            <w:pPr>
              <w:pStyle w:val="17"/>
              <w:spacing w:before="0" w:after="0" w:line="240" w:lineRule="auto"/>
              <w:jc w:val="left"/>
              <w:rPr>
                <w:highlight w:val="none"/>
              </w:rPr>
            </w:pPr>
            <w:r>
              <w:rPr>
                <w:rFonts w:ascii="宋体" w:hAnsi="宋体" w:eastAsia="宋体" w:cs="宋体"/>
                <w:b w:val="0"/>
                <w:color w:val="000000"/>
                <w:sz w:val="16"/>
                <w:highlight w:val="none"/>
              </w:rPr>
              <w:t>按工艺时间窗查询DCS/PI实时数据与LIMS化验数据，完成时间对齐与异常剔除。</w:t>
            </w:r>
          </w:p>
        </w:tc>
        <w:tc>
          <w:tcPr>
            <w:tcW w:w="1072" w:type="dxa"/>
            <w:shd w:val="clear" w:color="auto" w:fill="FFFFFF"/>
            <w:tcMar>
              <w:top w:w="0" w:type="dxa"/>
              <w:left w:w="108" w:type="dxa"/>
              <w:bottom w:w="0" w:type="dxa"/>
              <w:right w:w="108" w:type="dxa"/>
            </w:tcMar>
            <w:vAlign w:val="center"/>
          </w:tcPr>
          <w:p w14:paraId="78581660">
            <w:pPr>
              <w:pStyle w:val="17"/>
              <w:spacing w:before="0" w:after="0" w:line="240" w:lineRule="auto"/>
              <w:jc w:val="left"/>
              <w:rPr>
                <w:highlight w:val="none"/>
              </w:rPr>
            </w:pPr>
            <w:r>
              <w:rPr>
                <w:rFonts w:ascii="宋体" w:hAnsi="宋体" w:eastAsia="宋体" w:cs="宋体"/>
                <w:b w:val="0"/>
                <w:color w:val="000000"/>
                <w:sz w:val="16"/>
                <w:highlight w:val="none"/>
              </w:rPr>
              <w:t>数据齐备进入04；存在缺口进入07如实说明。</w:t>
            </w:r>
          </w:p>
        </w:tc>
        <w:tc>
          <w:tcPr>
            <w:tcW w:w="2000" w:type="dxa"/>
            <w:shd w:val="clear" w:color="auto" w:fill="FFFFFF"/>
            <w:tcMar>
              <w:top w:w="0" w:type="dxa"/>
              <w:left w:w="108" w:type="dxa"/>
              <w:bottom w:w="0" w:type="dxa"/>
              <w:right w:w="108" w:type="dxa"/>
            </w:tcMar>
            <w:vAlign w:val="center"/>
          </w:tcPr>
          <w:p w14:paraId="5510D532">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3A1C1233">
        <w:trPr>
          <w:cantSplit/>
          <w:jc w:val="center"/>
        </w:trPr>
        <w:tc>
          <w:tcPr>
            <w:tcW w:w="650" w:type="dxa"/>
            <w:shd w:val="clear" w:color="auto" w:fill="FFFFFF"/>
            <w:tcMar>
              <w:top w:w="0" w:type="dxa"/>
              <w:left w:w="108" w:type="dxa"/>
              <w:bottom w:w="0" w:type="dxa"/>
              <w:right w:w="108" w:type="dxa"/>
            </w:tcMar>
            <w:vAlign w:val="center"/>
          </w:tcPr>
          <w:p w14:paraId="35853BD8">
            <w:pPr>
              <w:pStyle w:val="17"/>
              <w:spacing w:before="0" w:after="0" w:line="240" w:lineRule="auto"/>
              <w:jc w:val="center"/>
              <w:rPr>
                <w:highlight w:val="none"/>
              </w:rPr>
            </w:pPr>
            <w:r>
              <w:rPr>
                <w:rFonts w:ascii="宋体" w:hAnsi="宋体" w:eastAsia="宋体" w:cs="宋体"/>
                <w:b w:val="0"/>
                <w:color w:val="000000"/>
                <w:sz w:val="16"/>
                <w:highlight w:val="none"/>
              </w:rPr>
              <w:t>04</w:t>
            </w:r>
          </w:p>
        </w:tc>
        <w:tc>
          <w:tcPr>
            <w:tcW w:w="1050" w:type="dxa"/>
            <w:shd w:val="clear" w:color="auto" w:fill="FFFFFF"/>
            <w:tcMar>
              <w:top w:w="0" w:type="dxa"/>
              <w:left w:w="108" w:type="dxa"/>
              <w:bottom w:w="0" w:type="dxa"/>
              <w:right w:w="108" w:type="dxa"/>
            </w:tcMar>
            <w:vAlign w:val="center"/>
          </w:tcPr>
          <w:p w14:paraId="20EEBCC2">
            <w:pPr>
              <w:pStyle w:val="17"/>
              <w:spacing w:before="0" w:after="0" w:line="240" w:lineRule="auto"/>
              <w:jc w:val="center"/>
              <w:rPr>
                <w:highlight w:val="none"/>
              </w:rPr>
            </w:pPr>
            <w:r>
              <w:rPr>
                <w:rFonts w:ascii="宋体" w:hAnsi="宋体" w:eastAsia="宋体" w:cs="宋体"/>
                <w:b w:val="0"/>
                <w:color w:val="000000"/>
                <w:sz w:val="16"/>
                <w:highlight w:val="none"/>
              </w:rPr>
              <w:t>DE值预测</w:t>
            </w:r>
          </w:p>
        </w:tc>
        <w:tc>
          <w:tcPr>
            <w:tcW w:w="950" w:type="dxa"/>
            <w:shd w:val="clear" w:color="auto" w:fill="FFFFFF"/>
            <w:tcMar>
              <w:top w:w="0" w:type="dxa"/>
              <w:left w:w="108" w:type="dxa"/>
              <w:bottom w:w="0" w:type="dxa"/>
              <w:right w:w="108" w:type="dxa"/>
            </w:tcMar>
            <w:vAlign w:val="center"/>
          </w:tcPr>
          <w:p w14:paraId="4AAA9B74">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59DF559C">
            <w:pPr>
              <w:pStyle w:val="17"/>
              <w:spacing w:before="0" w:after="0" w:line="240" w:lineRule="auto"/>
              <w:jc w:val="left"/>
              <w:rPr>
                <w:highlight w:val="none"/>
              </w:rPr>
            </w:pPr>
            <w:r>
              <w:rPr>
                <w:rFonts w:ascii="宋体" w:hAnsi="宋体" w:eastAsia="宋体" w:cs="宋体"/>
                <w:b w:val="0"/>
                <w:color w:val="000000"/>
                <w:sz w:val="16"/>
                <w:highlight w:val="none"/>
              </w:rPr>
              <w:t>工况特征向量 → DE值预测结果</w:t>
            </w:r>
          </w:p>
        </w:tc>
        <w:tc>
          <w:tcPr>
            <w:tcW w:w="2000" w:type="dxa"/>
            <w:shd w:val="clear" w:color="auto" w:fill="FFFFFF"/>
            <w:tcMar>
              <w:top w:w="0" w:type="dxa"/>
              <w:left w:w="108" w:type="dxa"/>
              <w:bottom w:w="0" w:type="dxa"/>
              <w:right w:w="108" w:type="dxa"/>
            </w:tcMar>
            <w:vAlign w:val="center"/>
          </w:tcPr>
          <w:p w14:paraId="580C5183">
            <w:pPr>
              <w:pStyle w:val="17"/>
              <w:spacing w:before="0" w:after="0" w:line="240" w:lineRule="auto"/>
              <w:jc w:val="left"/>
              <w:rPr>
                <w:highlight w:val="none"/>
              </w:rPr>
            </w:pPr>
            <w:r>
              <w:rPr>
                <w:rFonts w:ascii="宋体" w:hAnsi="宋体" w:eastAsia="宋体" w:cs="宋体"/>
                <w:b w:val="0"/>
                <w:color w:val="000000"/>
                <w:sz w:val="16"/>
                <w:highlight w:val="none"/>
              </w:rPr>
              <w:t>调用DE值预测Skill，输出液化DE值及变化趋势。</w:t>
            </w:r>
          </w:p>
        </w:tc>
        <w:tc>
          <w:tcPr>
            <w:tcW w:w="1072" w:type="dxa"/>
            <w:shd w:val="clear" w:color="auto" w:fill="FFFFFF"/>
            <w:tcMar>
              <w:top w:w="0" w:type="dxa"/>
              <w:left w:w="108" w:type="dxa"/>
              <w:bottom w:w="0" w:type="dxa"/>
              <w:right w:w="108" w:type="dxa"/>
            </w:tcMar>
            <w:vAlign w:val="center"/>
          </w:tcPr>
          <w:p w14:paraId="1665FBEF">
            <w:pPr>
              <w:pStyle w:val="17"/>
              <w:spacing w:before="0" w:after="0" w:line="240" w:lineRule="auto"/>
              <w:jc w:val="left"/>
              <w:rPr>
                <w:highlight w:val="none"/>
              </w:rPr>
            </w:pPr>
            <w:r>
              <w:rPr>
                <w:rFonts w:ascii="宋体" w:hAnsi="宋体" w:eastAsia="宋体" w:cs="宋体"/>
                <w:b w:val="0"/>
                <w:color w:val="000000"/>
                <w:sz w:val="16"/>
                <w:highlight w:val="none"/>
              </w:rPr>
              <w:t>状态查询类进入06；优化/模拟类进入05。</w:t>
            </w:r>
          </w:p>
        </w:tc>
        <w:tc>
          <w:tcPr>
            <w:tcW w:w="2000" w:type="dxa"/>
            <w:shd w:val="clear" w:color="auto" w:fill="FFFFFF"/>
            <w:tcMar>
              <w:top w:w="0" w:type="dxa"/>
              <w:left w:w="108" w:type="dxa"/>
              <w:bottom w:w="0" w:type="dxa"/>
              <w:right w:w="108" w:type="dxa"/>
            </w:tcMar>
            <w:vAlign w:val="center"/>
          </w:tcPr>
          <w:p w14:paraId="53526598">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76951CBA">
        <w:trPr>
          <w:cantSplit/>
          <w:jc w:val="center"/>
        </w:trPr>
        <w:tc>
          <w:tcPr>
            <w:tcW w:w="650" w:type="dxa"/>
            <w:shd w:val="clear" w:color="auto" w:fill="FFFFFF"/>
            <w:tcMar>
              <w:top w:w="0" w:type="dxa"/>
              <w:left w:w="108" w:type="dxa"/>
              <w:bottom w:w="0" w:type="dxa"/>
              <w:right w:w="108" w:type="dxa"/>
            </w:tcMar>
            <w:vAlign w:val="center"/>
          </w:tcPr>
          <w:p w14:paraId="594B7883">
            <w:pPr>
              <w:pStyle w:val="17"/>
              <w:spacing w:before="0" w:after="0" w:line="240" w:lineRule="auto"/>
              <w:jc w:val="center"/>
              <w:rPr>
                <w:highlight w:val="none"/>
              </w:rPr>
            </w:pPr>
            <w:r>
              <w:rPr>
                <w:rFonts w:ascii="宋体" w:hAnsi="宋体" w:eastAsia="宋体" w:cs="宋体"/>
                <w:b w:val="0"/>
                <w:color w:val="000000"/>
                <w:sz w:val="16"/>
                <w:highlight w:val="none"/>
              </w:rPr>
              <w:t>05</w:t>
            </w:r>
          </w:p>
        </w:tc>
        <w:tc>
          <w:tcPr>
            <w:tcW w:w="1050" w:type="dxa"/>
            <w:shd w:val="clear" w:color="auto" w:fill="FFFFFF"/>
            <w:tcMar>
              <w:top w:w="0" w:type="dxa"/>
              <w:left w:w="108" w:type="dxa"/>
              <w:bottom w:w="0" w:type="dxa"/>
              <w:right w:w="108" w:type="dxa"/>
            </w:tcMar>
            <w:vAlign w:val="center"/>
          </w:tcPr>
          <w:p w14:paraId="099FBFF2">
            <w:pPr>
              <w:pStyle w:val="17"/>
              <w:spacing w:before="0" w:after="0" w:line="240" w:lineRule="auto"/>
              <w:jc w:val="center"/>
              <w:rPr>
                <w:highlight w:val="none"/>
              </w:rPr>
            </w:pPr>
            <w:r>
              <w:rPr>
                <w:rFonts w:ascii="宋体" w:hAnsi="宋体" w:eastAsia="宋体" w:cs="宋体"/>
                <w:b w:val="0"/>
                <w:color w:val="000000"/>
                <w:sz w:val="16"/>
                <w:highlight w:val="none"/>
              </w:rPr>
              <w:t>参数优化与假设模拟</w:t>
            </w:r>
          </w:p>
        </w:tc>
        <w:tc>
          <w:tcPr>
            <w:tcW w:w="950" w:type="dxa"/>
            <w:shd w:val="clear" w:color="auto" w:fill="FFFFFF"/>
            <w:tcMar>
              <w:top w:w="0" w:type="dxa"/>
              <w:left w:w="108" w:type="dxa"/>
              <w:bottom w:w="0" w:type="dxa"/>
              <w:right w:w="108" w:type="dxa"/>
            </w:tcMar>
            <w:vAlign w:val="center"/>
          </w:tcPr>
          <w:p w14:paraId="2774E5AE">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34DAD9DC">
            <w:pPr>
              <w:pStyle w:val="17"/>
              <w:spacing w:before="0" w:after="0" w:line="240" w:lineRule="auto"/>
              <w:jc w:val="left"/>
              <w:rPr>
                <w:highlight w:val="none"/>
              </w:rPr>
            </w:pPr>
            <w:r>
              <w:rPr>
                <w:rFonts w:ascii="宋体" w:hAnsi="宋体" w:eastAsia="宋体" w:cs="宋体"/>
                <w:b w:val="0"/>
                <w:color w:val="000000"/>
                <w:sz w:val="16"/>
                <w:highlight w:val="none"/>
              </w:rPr>
              <w:t>DE值预测结果、约束条件 → 参数建议或模拟结果</w:t>
            </w:r>
          </w:p>
        </w:tc>
        <w:tc>
          <w:tcPr>
            <w:tcW w:w="2000" w:type="dxa"/>
            <w:shd w:val="clear" w:color="auto" w:fill="FFFFFF"/>
            <w:tcMar>
              <w:top w:w="0" w:type="dxa"/>
              <w:left w:w="108" w:type="dxa"/>
              <w:bottom w:w="0" w:type="dxa"/>
              <w:right w:w="108" w:type="dxa"/>
            </w:tcMar>
            <w:vAlign w:val="center"/>
          </w:tcPr>
          <w:p w14:paraId="152CC974">
            <w:pPr>
              <w:pStyle w:val="17"/>
              <w:spacing w:before="0" w:after="0" w:line="240" w:lineRule="auto"/>
              <w:jc w:val="left"/>
              <w:rPr>
                <w:highlight w:val="none"/>
              </w:rPr>
            </w:pPr>
            <w:r>
              <w:rPr>
                <w:rFonts w:ascii="宋体" w:hAnsi="宋体" w:eastAsia="宋体" w:cs="宋体"/>
                <w:b w:val="0"/>
                <w:color w:val="000000"/>
                <w:sz w:val="16"/>
                <w:highlight w:val="none"/>
              </w:rPr>
              <w:t>参数优化计算一次/二次加酶量、喷射温度、流量的优化方向与推荐值；假设模拟推演参数变化对质量与酶耗、蒸汽消耗的影响。</w:t>
            </w:r>
          </w:p>
        </w:tc>
        <w:tc>
          <w:tcPr>
            <w:tcW w:w="1072" w:type="dxa"/>
            <w:shd w:val="clear" w:color="auto" w:fill="FFFFFF"/>
            <w:tcMar>
              <w:top w:w="0" w:type="dxa"/>
              <w:left w:w="108" w:type="dxa"/>
              <w:bottom w:w="0" w:type="dxa"/>
              <w:right w:w="108" w:type="dxa"/>
            </w:tcMar>
            <w:vAlign w:val="center"/>
          </w:tcPr>
          <w:p w14:paraId="50CE797E">
            <w:pPr>
              <w:pStyle w:val="17"/>
              <w:spacing w:before="0" w:after="0" w:line="240" w:lineRule="auto"/>
              <w:jc w:val="left"/>
              <w:rPr>
                <w:highlight w:val="none"/>
              </w:rPr>
            </w:pPr>
            <w:r>
              <w:rPr>
                <w:rFonts w:ascii="宋体" w:hAnsi="宋体" w:eastAsia="宋体" w:cs="宋体"/>
                <w:b w:val="0"/>
                <w:color w:val="000000"/>
                <w:sz w:val="16"/>
                <w:highlight w:val="none"/>
              </w:rPr>
              <w:t>进入06。</w:t>
            </w:r>
          </w:p>
        </w:tc>
        <w:tc>
          <w:tcPr>
            <w:tcW w:w="2000" w:type="dxa"/>
            <w:shd w:val="clear" w:color="auto" w:fill="FFFFFF"/>
            <w:tcMar>
              <w:top w:w="0" w:type="dxa"/>
              <w:left w:w="108" w:type="dxa"/>
              <w:bottom w:w="0" w:type="dxa"/>
              <w:right w:w="108" w:type="dxa"/>
            </w:tcMar>
            <w:vAlign w:val="center"/>
          </w:tcPr>
          <w:p w14:paraId="6F3D49D8">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268D70BE">
        <w:trPr>
          <w:cantSplit/>
          <w:jc w:val="center"/>
        </w:trPr>
        <w:tc>
          <w:tcPr>
            <w:tcW w:w="650" w:type="dxa"/>
            <w:shd w:val="clear" w:color="auto" w:fill="FFFFFF"/>
            <w:tcMar>
              <w:top w:w="0" w:type="dxa"/>
              <w:left w:w="108" w:type="dxa"/>
              <w:bottom w:w="0" w:type="dxa"/>
              <w:right w:w="108" w:type="dxa"/>
            </w:tcMar>
            <w:vAlign w:val="center"/>
          </w:tcPr>
          <w:p w14:paraId="3F9C7E5A">
            <w:pPr>
              <w:pStyle w:val="17"/>
              <w:spacing w:before="0" w:after="0" w:line="240" w:lineRule="auto"/>
              <w:jc w:val="center"/>
              <w:rPr>
                <w:highlight w:val="none"/>
              </w:rPr>
            </w:pPr>
            <w:r>
              <w:rPr>
                <w:rFonts w:ascii="宋体" w:hAnsi="宋体" w:eastAsia="宋体" w:cs="宋体"/>
                <w:b w:val="0"/>
                <w:color w:val="000000"/>
                <w:sz w:val="16"/>
                <w:highlight w:val="none"/>
              </w:rPr>
              <w:t>06</w:t>
            </w:r>
          </w:p>
        </w:tc>
        <w:tc>
          <w:tcPr>
            <w:tcW w:w="1050" w:type="dxa"/>
            <w:shd w:val="clear" w:color="auto" w:fill="FFFFFF"/>
            <w:tcMar>
              <w:top w:w="0" w:type="dxa"/>
              <w:left w:w="108" w:type="dxa"/>
              <w:bottom w:w="0" w:type="dxa"/>
              <w:right w:w="108" w:type="dxa"/>
            </w:tcMar>
            <w:vAlign w:val="center"/>
          </w:tcPr>
          <w:p w14:paraId="21CF577C">
            <w:pPr>
              <w:pStyle w:val="17"/>
              <w:spacing w:before="0" w:after="0" w:line="240" w:lineRule="auto"/>
              <w:jc w:val="center"/>
              <w:rPr>
                <w:highlight w:val="none"/>
              </w:rPr>
            </w:pPr>
            <w:r>
              <w:rPr>
                <w:rFonts w:ascii="宋体" w:hAnsi="宋体" w:eastAsia="宋体" w:cs="宋体"/>
                <w:b w:val="0"/>
                <w:color w:val="000000"/>
                <w:sz w:val="16"/>
                <w:highlight w:val="none"/>
              </w:rPr>
              <w:t>结果合成与安全校验</w:t>
            </w:r>
          </w:p>
        </w:tc>
        <w:tc>
          <w:tcPr>
            <w:tcW w:w="950" w:type="dxa"/>
            <w:shd w:val="clear" w:color="auto" w:fill="FFFFFF"/>
            <w:tcMar>
              <w:top w:w="0" w:type="dxa"/>
              <w:left w:w="108" w:type="dxa"/>
              <w:bottom w:w="0" w:type="dxa"/>
              <w:right w:w="108" w:type="dxa"/>
            </w:tcMar>
            <w:vAlign w:val="center"/>
          </w:tcPr>
          <w:p w14:paraId="28C91834">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0BB10CF4">
            <w:pPr>
              <w:pStyle w:val="17"/>
              <w:spacing w:before="0" w:after="0" w:line="240" w:lineRule="auto"/>
              <w:jc w:val="left"/>
              <w:rPr>
                <w:highlight w:val="none"/>
              </w:rPr>
            </w:pPr>
            <w:r>
              <w:rPr>
                <w:rFonts w:ascii="宋体" w:hAnsi="宋体" w:eastAsia="宋体" w:cs="宋体"/>
                <w:b w:val="0"/>
                <w:color w:val="000000"/>
                <w:sz w:val="16"/>
                <w:highlight w:val="none"/>
              </w:rPr>
              <w:t>分支结果 → 应答内容</w:t>
            </w:r>
          </w:p>
        </w:tc>
        <w:tc>
          <w:tcPr>
            <w:tcW w:w="2000" w:type="dxa"/>
            <w:shd w:val="clear" w:color="auto" w:fill="FFFFFF"/>
            <w:tcMar>
              <w:top w:w="0" w:type="dxa"/>
              <w:left w:w="108" w:type="dxa"/>
              <w:bottom w:w="0" w:type="dxa"/>
              <w:right w:w="108" w:type="dxa"/>
            </w:tcMar>
            <w:vAlign w:val="center"/>
          </w:tcPr>
          <w:p w14:paraId="0E5E8456">
            <w:pPr>
              <w:pStyle w:val="17"/>
              <w:spacing w:before="0" w:after="0" w:line="240" w:lineRule="auto"/>
              <w:jc w:val="left"/>
              <w:rPr>
                <w:highlight w:val="none"/>
              </w:rPr>
            </w:pPr>
            <w:r>
              <w:rPr>
                <w:rFonts w:ascii="宋体" w:hAnsi="宋体" w:eastAsia="宋体" w:cs="宋体"/>
                <w:b w:val="0"/>
                <w:color w:val="000000"/>
                <w:sz w:val="16"/>
                <w:highlight w:val="none"/>
              </w:rPr>
              <w:t>合成状态卡、参数建议卡或模拟结果；参数建议对照安全限值校验，超限拦截或标红警示。</w:t>
            </w:r>
          </w:p>
        </w:tc>
        <w:tc>
          <w:tcPr>
            <w:tcW w:w="1072" w:type="dxa"/>
            <w:shd w:val="clear" w:color="auto" w:fill="FFFFFF"/>
            <w:tcMar>
              <w:top w:w="0" w:type="dxa"/>
              <w:left w:w="108" w:type="dxa"/>
              <w:bottom w:w="0" w:type="dxa"/>
              <w:right w:w="108" w:type="dxa"/>
            </w:tcMar>
            <w:vAlign w:val="center"/>
          </w:tcPr>
          <w:p w14:paraId="78126CA2">
            <w:pPr>
              <w:pStyle w:val="17"/>
              <w:spacing w:before="0" w:after="0" w:line="240" w:lineRule="auto"/>
              <w:jc w:val="left"/>
              <w:rPr>
                <w:highlight w:val="none"/>
              </w:rPr>
            </w:pPr>
            <w:r>
              <w:rPr>
                <w:rFonts w:ascii="宋体" w:hAnsi="宋体" w:eastAsia="宋体" w:cs="宋体"/>
                <w:b w:val="0"/>
                <w:color w:val="000000"/>
                <w:sz w:val="16"/>
                <w:highlight w:val="none"/>
              </w:rPr>
              <w:t>校验通过进入07；超限拦截进入07并说明。</w:t>
            </w:r>
          </w:p>
        </w:tc>
        <w:tc>
          <w:tcPr>
            <w:tcW w:w="2000" w:type="dxa"/>
            <w:shd w:val="clear" w:color="auto" w:fill="FFFFFF"/>
            <w:tcMar>
              <w:top w:w="0" w:type="dxa"/>
              <w:left w:w="108" w:type="dxa"/>
              <w:bottom w:w="0" w:type="dxa"/>
              <w:right w:w="108" w:type="dxa"/>
            </w:tcMar>
            <w:vAlign w:val="center"/>
          </w:tcPr>
          <w:p w14:paraId="33B453C1">
            <w:pPr>
              <w:pStyle w:val="17"/>
              <w:spacing w:before="0" w:after="0" w:line="240" w:lineRule="auto"/>
              <w:jc w:val="left"/>
              <w:rPr>
                <w:highlight w:val="none"/>
              </w:rPr>
            </w:pPr>
            <w:r>
              <w:rPr>
                <w:rFonts w:ascii="宋体" w:hAnsi="宋体" w:eastAsia="宋体" w:cs="宋体"/>
                <w:b w:val="0"/>
                <w:color w:val="000000"/>
                <w:sz w:val="16"/>
                <w:highlight w:val="none"/>
              </w:rPr>
              <w:t>P-ZLTC-AI-YHGXYH-114-06-001</w:t>
            </w:r>
          </w:p>
        </w:tc>
      </w:tr>
      <w:tr w14:paraId="376B1984">
        <w:trPr>
          <w:cantSplit/>
          <w:jc w:val="center"/>
        </w:trPr>
        <w:tc>
          <w:tcPr>
            <w:tcW w:w="650" w:type="dxa"/>
            <w:shd w:val="clear" w:color="auto" w:fill="FFFFFF"/>
            <w:tcMar>
              <w:top w:w="0" w:type="dxa"/>
              <w:left w:w="108" w:type="dxa"/>
              <w:bottom w:w="0" w:type="dxa"/>
              <w:right w:w="108" w:type="dxa"/>
            </w:tcMar>
            <w:vAlign w:val="center"/>
          </w:tcPr>
          <w:p w14:paraId="3A695D8E">
            <w:pPr>
              <w:pStyle w:val="17"/>
              <w:spacing w:before="0" w:after="0" w:line="240" w:lineRule="auto"/>
              <w:jc w:val="center"/>
              <w:rPr>
                <w:highlight w:val="none"/>
              </w:rPr>
            </w:pPr>
            <w:r>
              <w:rPr>
                <w:rFonts w:ascii="宋体" w:hAnsi="宋体" w:eastAsia="宋体" w:cs="宋体"/>
                <w:b w:val="0"/>
                <w:color w:val="000000"/>
                <w:sz w:val="16"/>
                <w:highlight w:val="none"/>
              </w:rPr>
              <w:t>07</w:t>
            </w:r>
          </w:p>
        </w:tc>
        <w:tc>
          <w:tcPr>
            <w:tcW w:w="1050" w:type="dxa"/>
            <w:shd w:val="clear" w:color="auto" w:fill="FFFFFF"/>
            <w:tcMar>
              <w:top w:w="0" w:type="dxa"/>
              <w:left w:w="108" w:type="dxa"/>
              <w:bottom w:w="0" w:type="dxa"/>
              <w:right w:w="108" w:type="dxa"/>
            </w:tcMar>
            <w:vAlign w:val="center"/>
          </w:tcPr>
          <w:p w14:paraId="42C548A4">
            <w:pPr>
              <w:pStyle w:val="17"/>
              <w:spacing w:before="0" w:after="0" w:line="240" w:lineRule="auto"/>
              <w:jc w:val="center"/>
              <w:rPr>
                <w:highlight w:val="none"/>
              </w:rPr>
            </w:pPr>
            <w:r>
              <w:rPr>
                <w:rFonts w:ascii="宋体" w:hAnsi="宋体" w:eastAsia="宋体" w:cs="宋体"/>
                <w:b w:val="0"/>
                <w:color w:val="000000"/>
                <w:sz w:val="16"/>
                <w:highlight w:val="none"/>
              </w:rPr>
              <w:t>呈现结果</w:t>
            </w:r>
          </w:p>
        </w:tc>
        <w:tc>
          <w:tcPr>
            <w:tcW w:w="950" w:type="dxa"/>
            <w:shd w:val="clear" w:color="auto" w:fill="FFFFFF"/>
            <w:tcMar>
              <w:top w:w="0" w:type="dxa"/>
              <w:left w:w="108" w:type="dxa"/>
              <w:bottom w:w="0" w:type="dxa"/>
              <w:right w:w="108" w:type="dxa"/>
            </w:tcMar>
            <w:vAlign w:val="center"/>
          </w:tcPr>
          <w:p w14:paraId="20932D37">
            <w:pPr>
              <w:pStyle w:val="17"/>
              <w:spacing w:before="0" w:after="0" w:line="240" w:lineRule="auto"/>
              <w:jc w:val="center"/>
              <w:rPr>
                <w:highlight w:val="none"/>
              </w:rPr>
            </w:pPr>
            <w:r>
              <w:rPr>
                <w:rFonts w:ascii="宋体" w:hAnsi="宋体" w:eastAsia="宋体" w:cs="宋体"/>
                <w:b w:val="0"/>
                <w:color w:val="000000"/>
                <w:sz w:val="16"/>
                <w:highlight w:val="none"/>
              </w:rPr>
              <w:t>平台门户</w:t>
            </w:r>
          </w:p>
        </w:tc>
        <w:tc>
          <w:tcPr>
            <w:tcW w:w="1350" w:type="dxa"/>
            <w:shd w:val="clear" w:color="auto" w:fill="FFFFFF"/>
            <w:tcMar>
              <w:top w:w="0" w:type="dxa"/>
              <w:left w:w="108" w:type="dxa"/>
              <w:bottom w:w="0" w:type="dxa"/>
              <w:right w:w="108" w:type="dxa"/>
            </w:tcMar>
            <w:vAlign w:val="center"/>
          </w:tcPr>
          <w:p w14:paraId="523BC53E">
            <w:pPr>
              <w:pStyle w:val="17"/>
              <w:spacing w:before="0" w:after="0" w:line="240" w:lineRule="auto"/>
              <w:jc w:val="left"/>
              <w:rPr>
                <w:highlight w:val="none"/>
              </w:rPr>
            </w:pPr>
            <w:r>
              <w:rPr>
                <w:rFonts w:ascii="宋体" w:hAnsi="宋体" w:eastAsia="宋体" w:cs="宋体"/>
                <w:b w:val="0"/>
                <w:color w:val="000000"/>
                <w:sz w:val="16"/>
                <w:highlight w:val="none"/>
              </w:rPr>
              <w:t>应答内容 → 会话呈现</w:t>
            </w:r>
          </w:p>
        </w:tc>
        <w:tc>
          <w:tcPr>
            <w:tcW w:w="2000" w:type="dxa"/>
            <w:shd w:val="clear" w:color="auto" w:fill="FFFFFF"/>
            <w:tcMar>
              <w:top w:w="0" w:type="dxa"/>
              <w:left w:w="108" w:type="dxa"/>
              <w:bottom w:w="0" w:type="dxa"/>
              <w:right w:w="108" w:type="dxa"/>
            </w:tcMar>
            <w:vAlign w:val="center"/>
          </w:tcPr>
          <w:p w14:paraId="5B0F402E">
            <w:pPr>
              <w:pStyle w:val="17"/>
              <w:spacing w:before="0" w:after="0" w:line="240" w:lineRule="auto"/>
              <w:jc w:val="left"/>
              <w:rPr>
                <w:highlight w:val="none"/>
              </w:rPr>
            </w:pPr>
            <w:r>
              <w:rPr>
                <w:rFonts w:ascii="宋体" w:hAnsi="宋体" w:eastAsia="宋体" w:cs="宋体"/>
                <w:b w:val="0"/>
                <w:color w:val="000000"/>
                <w:sz w:val="16"/>
                <w:highlight w:val="none"/>
              </w:rPr>
              <w:t>参数建议卡并列当前值、建议值与适用工况，供工艺工程师确认。</w:t>
            </w:r>
          </w:p>
        </w:tc>
        <w:tc>
          <w:tcPr>
            <w:tcW w:w="1072" w:type="dxa"/>
            <w:shd w:val="clear" w:color="auto" w:fill="FFFFFF"/>
            <w:tcMar>
              <w:top w:w="0" w:type="dxa"/>
              <w:left w:w="108" w:type="dxa"/>
              <w:bottom w:w="0" w:type="dxa"/>
              <w:right w:w="108" w:type="dxa"/>
            </w:tcMar>
            <w:vAlign w:val="center"/>
          </w:tcPr>
          <w:p w14:paraId="1FB43922">
            <w:pPr>
              <w:pStyle w:val="17"/>
              <w:spacing w:before="0" w:after="0" w:line="240" w:lineRule="auto"/>
              <w:jc w:val="left"/>
              <w:rPr>
                <w:highlight w:val="none"/>
              </w:rPr>
            </w:pPr>
            <w:r>
              <w:rPr>
                <w:rFonts w:ascii="宋体" w:hAnsi="宋体" w:eastAsia="宋体" w:cs="宋体"/>
                <w:b w:val="0"/>
                <w:color w:val="000000"/>
                <w:sz w:val="16"/>
                <w:highlight w:val="none"/>
              </w:rPr>
              <w:t>进入08。</w:t>
            </w:r>
          </w:p>
        </w:tc>
        <w:tc>
          <w:tcPr>
            <w:tcW w:w="2000" w:type="dxa"/>
            <w:shd w:val="clear" w:color="auto" w:fill="FFFFFF"/>
            <w:tcMar>
              <w:top w:w="0" w:type="dxa"/>
              <w:left w:w="108" w:type="dxa"/>
              <w:bottom w:w="0" w:type="dxa"/>
              <w:right w:w="108" w:type="dxa"/>
            </w:tcMar>
            <w:vAlign w:val="center"/>
          </w:tcPr>
          <w:p w14:paraId="13E9BBE2">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6CB65DA3">
        <w:trPr>
          <w:cantSplit/>
          <w:jc w:val="center"/>
        </w:trPr>
        <w:tc>
          <w:tcPr>
            <w:tcW w:w="650" w:type="dxa"/>
            <w:shd w:val="clear" w:color="auto" w:fill="FFFFFF"/>
            <w:tcMar>
              <w:top w:w="0" w:type="dxa"/>
              <w:left w:w="108" w:type="dxa"/>
              <w:bottom w:w="0" w:type="dxa"/>
              <w:right w:w="108" w:type="dxa"/>
            </w:tcMar>
            <w:vAlign w:val="center"/>
          </w:tcPr>
          <w:p w14:paraId="4501BACC">
            <w:pPr>
              <w:pStyle w:val="17"/>
              <w:spacing w:before="0" w:after="0" w:line="240" w:lineRule="auto"/>
              <w:jc w:val="center"/>
              <w:rPr>
                <w:highlight w:val="none"/>
              </w:rPr>
            </w:pPr>
            <w:r>
              <w:rPr>
                <w:rFonts w:ascii="宋体" w:hAnsi="宋体" w:eastAsia="宋体" w:cs="宋体"/>
                <w:b w:val="0"/>
                <w:color w:val="000000"/>
                <w:sz w:val="16"/>
                <w:highlight w:val="none"/>
              </w:rPr>
              <w:t>08</w:t>
            </w:r>
          </w:p>
        </w:tc>
        <w:tc>
          <w:tcPr>
            <w:tcW w:w="1050" w:type="dxa"/>
            <w:shd w:val="clear" w:color="auto" w:fill="FFFFFF"/>
            <w:tcMar>
              <w:top w:w="0" w:type="dxa"/>
              <w:left w:w="108" w:type="dxa"/>
              <w:bottom w:w="0" w:type="dxa"/>
              <w:right w:w="108" w:type="dxa"/>
            </w:tcMar>
            <w:vAlign w:val="center"/>
          </w:tcPr>
          <w:p w14:paraId="7DA11EB9">
            <w:pPr>
              <w:pStyle w:val="17"/>
              <w:spacing w:before="0" w:after="0" w:line="240" w:lineRule="auto"/>
              <w:jc w:val="center"/>
              <w:rPr>
                <w:highlight w:val="none"/>
              </w:rPr>
            </w:pPr>
            <w:r>
              <w:rPr>
                <w:rFonts w:ascii="宋体" w:hAnsi="宋体" w:eastAsia="宋体" w:cs="宋体"/>
                <w:b w:val="0"/>
                <w:color w:val="000000"/>
                <w:sz w:val="16"/>
                <w:highlight w:val="none"/>
              </w:rPr>
              <w:t>人工确认与执行</w:t>
            </w:r>
          </w:p>
        </w:tc>
        <w:tc>
          <w:tcPr>
            <w:tcW w:w="950" w:type="dxa"/>
            <w:shd w:val="clear" w:color="auto" w:fill="FFFFFF"/>
            <w:tcMar>
              <w:top w:w="0" w:type="dxa"/>
              <w:left w:w="108" w:type="dxa"/>
              <w:bottom w:w="0" w:type="dxa"/>
              <w:right w:w="108" w:type="dxa"/>
            </w:tcMar>
            <w:vAlign w:val="center"/>
          </w:tcPr>
          <w:p w14:paraId="6B862AD8">
            <w:pPr>
              <w:pStyle w:val="17"/>
              <w:spacing w:before="0" w:after="0" w:line="240" w:lineRule="auto"/>
              <w:jc w:val="center"/>
              <w:rPr>
                <w:highlight w:val="none"/>
              </w:rPr>
            </w:pPr>
            <w:r>
              <w:rPr>
                <w:rFonts w:ascii="宋体" w:hAnsi="宋体" w:eastAsia="宋体" w:cs="宋体"/>
                <w:b w:val="0"/>
                <w:color w:val="000000"/>
                <w:sz w:val="16"/>
                <w:highlight w:val="none"/>
              </w:rPr>
              <w:t>责任人</w:t>
            </w:r>
          </w:p>
        </w:tc>
        <w:tc>
          <w:tcPr>
            <w:tcW w:w="1350" w:type="dxa"/>
            <w:shd w:val="clear" w:color="auto" w:fill="FFFFFF"/>
            <w:tcMar>
              <w:top w:w="0" w:type="dxa"/>
              <w:left w:w="108" w:type="dxa"/>
              <w:bottom w:w="0" w:type="dxa"/>
              <w:right w:w="108" w:type="dxa"/>
            </w:tcMar>
            <w:vAlign w:val="center"/>
          </w:tcPr>
          <w:p w14:paraId="50AD15D1">
            <w:pPr>
              <w:pStyle w:val="17"/>
              <w:spacing w:before="0" w:after="0" w:line="240" w:lineRule="auto"/>
              <w:jc w:val="left"/>
              <w:rPr>
                <w:highlight w:val="none"/>
              </w:rPr>
            </w:pPr>
            <w:r>
              <w:rPr>
                <w:rFonts w:ascii="宋体" w:hAnsi="宋体" w:eastAsia="宋体" w:cs="宋体"/>
                <w:b w:val="0"/>
                <w:color w:val="000000"/>
                <w:sz w:val="16"/>
                <w:highlight w:val="none"/>
              </w:rPr>
              <w:t>参数建议卡 → 确认记录</w:t>
            </w:r>
          </w:p>
        </w:tc>
        <w:tc>
          <w:tcPr>
            <w:tcW w:w="2000" w:type="dxa"/>
            <w:shd w:val="clear" w:color="auto" w:fill="FFFFFF"/>
            <w:tcMar>
              <w:top w:w="0" w:type="dxa"/>
              <w:left w:w="108" w:type="dxa"/>
              <w:bottom w:w="0" w:type="dxa"/>
              <w:right w:w="108" w:type="dxa"/>
            </w:tcMar>
            <w:vAlign w:val="center"/>
          </w:tcPr>
          <w:p w14:paraId="5A7BACF6">
            <w:pPr>
              <w:pStyle w:val="17"/>
              <w:spacing w:before="0" w:after="0" w:line="240" w:lineRule="auto"/>
              <w:jc w:val="left"/>
              <w:rPr>
                <w:highlight w:val="none"/>
              </w:rPr>
            </w:pPr>
            <w:r>
              <w:rPr>
                <w:rFonts w:ascii="宋体" w:hAnsi="宋体" w:eastAsia="宋体" w:cs="宋体"/>
                <w:b w:val="0"/>
                <w:color w:val="000000"/>
                <w:sz w:val="16"/>
                <w:highlight w:val="none"/>
              </w:rPr>
              <w:t>工艺工程师确认参数建议，操作人员按确认结果在DCS人工执行。</w:t>
            </w:r>
          </w:p>
        </w:tc>
        <w:tc>
          <w:tcPr>
            <w:tcW w:w="1072" w:type="dxa"/>
            <w:shd w:val="clear" w:color="auto" w:fill="FFFFFF"/>
            <w:tcMar>
              <w:top w:w="0" w:type="dxa"/>
              <w:left w:w="108" w:type="dxa"/>
              <w:bottom w:w="0" w:type="dxa"/>
              <w:right w:w="108" w:type="dxa"/>
            </w:tcMar>
            <w:vAlign w:val="center"/>
          </w:tcPr>
          <w:p w14:paraId="2DBAE192">
            <w:pPr>
              <w:pStyle w:val="17"/>
              <w:spacing w:before="0" w:after="0" w:line="240" w:lineRule="auto"/>
              <w:jc w:val="left"/>
              <w:rPr>
                <w:highlight w:val="none"/>
              </w:rPr>
            </w:pPr>
            <w:r>
              <w:rPr>
                <w:rFonts w:ascii="宋体" w:hAnsi="宋体" w:eastAsia="宋体" w:cs="宋体"/>
                <w:b w:val="0"/>
                <w:color w:val="000000"/>
                <w:sz w:val="16"/>
                <w:highlight w:val="none"/>
              </w:rPr>
              <w:t>执行后进入09；否则结束。</w:t>
            </w:r>
          </w:p>
        </w:tc>
        <w:tc>
          <w:tcPr>
            <w:tcW w:w="2000" w:type="dxa"/>
            <w:shd w:val="clear" w:color="auto" w:fill="FFFFFF"/>
            <w:tcMar>
              <w:top w:w="0" w:type="dxa"/>
              <w:left w:w="108" w:type="dxa"/>
              <w:bottom w:w="0" w:type="dxa"/>
              <w:right w:w="108" w:type="dxa"/>
            </w:tcMar>
            <w:vAlign w:val="center"/>
          </w:tcPr>
          <w:p w14:paraId="6ABD6420">
            <w:pPr>
              <w:pStyle w:val="17"/>
              <w:spacing w:before="0" w:after="0" w:line="240" w:lineRule="auto"/>
              <w:jc w:val="left"/>
              <w:rPr>
                <w:highlight w:val="none"/>
              </w:rPr>
            </w:pPr>
            <w:r>
              <w:rPr>
                <w:rFonts w:ascii="宋体" w:hAnsi="宋体" w:eastAsia="宋体" w:cs="宋体"/>
                <w:b w:val="0"/>
                <w:color w:val="000000"/>
                <w:sz w:val="16"/>
                <w:highlight w:val="none"/>
              </w:rPr>
              <w:t>R-GG-001</w:t>
            </w:r>
          </w:p>
        </w:tc>
      </w:tr>
      <w:tr w14:paraId="677D37C4">
        <w:trPr>
          <w:cantSplit/>
          <w:jc w:val="center"/>
        </w:trPr>
        <w:tc>
          <w:tcPr>
            <w:tcW w:w="650" w:type="dxa"/>
            <w:shd w:val="clear" w:color="auto" w:fill="FFFFFF"/>
            <w:tcMar>
              <w:top w:w="0" w:type="dxa"/>
              <w:left w:w="108" w:type="dxa"/>
              <w:bottom w:w="0" w:type="dxa"/>
              <w:right w:w="108" w:type="dxa"/>
            </w:tcMar>
            <w:vAlign w:val="center"/>
          </w:tcPr>
          <w:p w14:paraId="01B0AF56">
            <w:pPr>
              <w:pStyle w:val="17"/>
              <w:spacing w:before="0" w:after="0" w:line="240" w:lineRule="auto"/>
              <w:jc w:val="center"/>
              <w:rPr>
                <w:highlight w:val="none"/>
              </w:rPr>
            </w:pPr>
            <w:r>
              <w:rPr>
                <w:rFonts w:ascii="宋体" w:hAnsi="宋体" w:eastAsia="宋体" w:cs="宋体"/>
                <w:b w:val="0"/>
                <w:color w:val="000000"/>
                <w:sz w:val="16"/>
                <w:highlight w:val="none"/>
              </w:rPr>
              <w:t>09</w:t>
            </w:r>
          </w:p>
        </w:tc>
        <w:tc>
          <w:tcPr>
            <w:tcW w:w="1050" w:type="dxa"/>
            <w:shd w:val="clear" w:color="auto" w:fill="FFFFFF"/>
            <w:tcMar>
              <w:top w:w="0" w:type="dxa"/>
              <w:left w:w="108" w:type="dxa"/>
              <w:bottom w:w="0" w:type="dxa"/>
              <w:right w:w="108" w:type="dxa"/>
            </w:tcMar>
            <w:vAlign w:val="center"/>
          </w:tcPr>
          <w:p w14:paraId="1825195E">
            <w:pPr>
              <w:pStyle w:val="17"/>
              <w:spacing w:before="0" w:after="0" w:line="240" w:lineRule="auto"/>
              <w:jc w:val="center"/>
              <w:rPr>
                <w:highlight w:val="none"/>
              </w:rPr>
            </w:pPr>
            <w:r>
              <w:rPr>
                <w:rFonts w:ascii="宋体" w:hAnsi="宋体" w:eastAsia="宋体" w:cs="宋体"/>
                <w:b w:val="0"/>
                <w:color w:val="000000"/>
                <w:sz w:val="16"/>
                <w:highlight w:val="none"/>
              </w:rPr>
              <w:t>效果回收与闭环</w:t>
            </w:r>
          </w:p>
        </w:tc>
        <w:tc>
          <w:tcPr>
            <w:tcW w:w="950" w:type="dxa"/>
            <w:shd w:val="clear" w:color="auto" w:fill="FFFFFF"/>
            <w:tcMar>
              <w:top w:w="0" w:type="dxa"/>
              <w:left w:w="108" w:type="dxa"/>
              <w:bottom w:w="0" w:type="dxa"/>
              <w:right w:w="108" w:type="dxa"/>
            </w:tcMar>
            <w:vAlign w:val="center"/>
          </w:tcPr>
          <w:p w14:paraId="07C5579A">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068E56D0">
            <w:pPr>
              <w:pStyle w:val="17"/>
              <w:spacing w:before="0" w:after="0" w:line="240" w:lineRule="auto"/>
              <w:jc w:val="left"/>
              <w:rPr>
                <w:highlight w:val="none"/>
              </w:rPr>
            </w:pPr>
            <w:r>
              <w:rPr>
                <w:rFonts w:ascii="宋体" w:hAnsi="宋体" w:eastAsia="宋体" w:cs="宋体"/>
                <w:b w:val="0"/>
                <w:color w:val="000000"/>
                <w:sz w:val="16"/>
                <w:highlight w:val="none"/>
              </w:rPr>
              <w:t>执行后工况数据 → 验证记录、绩效汇报</w:t>
            </w:r>
          </w:p>
        </w:tc>
        <w:tc>
          <w:tcPr>
            <w:tcW w:w="2000" w:type="dxa"/>
            <w:shd w:val="clear" w:color="auto" w:fill="FFFFFF"/>
            <w:tcMar>
              <w:top w:w="0" w:type="dxa"/>
              <w:left w:w="108" w:type="dxa"/>
              <w:bottom w:w="0" w:type="dxa"/>
              <w:right w:w="108" w:type="dxa"/>
            </w:tcMar>
            <w:vAlign w:val="center"/>
          </w:tcPr>
          <w:p w14:paraId="4797E2E6">
            <w:pPr>
              <w:pStyle w:val="17"/>
              <w:spacing w:before="0" w:after="0" w:line="240" w:lineRule="auto"/>
              <w:jc w:val="left"/>
              <w:rPr>
                <w:highlight w:val="none"/>
              </w:rPr>
            </w:pPr>
            <w:r>
              <w:rPr>
                <w:rFonts w:ascii="宋体" w:hAnsi="宋体" w:eastAsia="宋体" w:cs="宋体"/>
                <w:b w:val="0"/>
                <w:color w:val="000000"/>
                <w:sz w:val="16"/>
                <w:highlight w:val="none"/>
              </w:rPr>
              <w:t>对比执行前后工况与实际效果，形成验证记录，支撑模型复核与绩效汇报。</w:t>
            </w:r>
          </w:p>
        </w:tc>
        <w:tc>
          <w:tcPr>
            <w:tcW w:w="1072" w:type="dxa"/>
            <w:shd w:val="clear" w:color="auto" w:fill="FFFFFF"/>
            <w:tcMar>
              <w:top w:w="0" w:type="dxa"/>
              <w:left w:w="108" w:type="dxa"/>
              <w:bottom w:w="0" w:type="dxa"/>
              <w:right w:w="108" w:type="dxa"/>
            </w:tcMar>
            <w:vAlign w:val="center"/>
          </w:tcPr>
          <w:p w14:paraId="16E212EC">
            <w:pPr>
              <w:pStyle w:val="17"/>
              <w:spacing w:before="0" w:after="0" w:line="240" w:lineRule="auto"/>
              <w:jc w:val="left"/>
              <w:rPr>
                <w:highlight w:val="none"/>
              </w:rPr>
            </w:pPr>
            <w:r>
              <w:rPr>
                <w:rFonts w:ascii="宋体" w:hAnsi="宋体" w:eastAsia="宋体" w:cs="宋体"/>
                <w:b w:val="0"/>
                <w:color w:val="000000"/>
                <w:sz w:val="16"/>
                <w:highlight w:val="none"/>
              </w:rPr>
              <w:t>结束。</w:t>
            </w:r>
          </w:p>
        </w:tc>
        <w:tc>
          <w:tcPr>
            <w:tcW w:w="2000" w:type="dxa"/>
            <w:shd w:val="clear" w:color="auto" w:fill="FFFFFF"/>
            <w:tcMar>
              <w:top w:w="0" w:type="dxa"/>
              <w:left w:w="108" w:type="dxa"/>
              <w:bottom w:w="0" w:type="dxa"/>
              <w:right w:w="108" w:type="dxa"/>
            </w:tcMar>
            <w:vAlign w:val="center"/>
          </w:tcPr>
          <w:p w14:paraId="5F81F06A">
            <w:pPr>
              <w:pStyle w:val="17"/>
              <w:spacing w:before="0" w:after="0" w:line="240" w:lineRule="auto"/>
              <w:jc w:val="left"/>
              <w:rPr>
                <w:highlight w:val="none"/>
              </w:rPr>
            </w:pPr>
            <w:r>
              <w:rPr>
                <w:rFonts w:ascii="宋体" w:hAnsi="宋体" w:eastAsia="宋体" w:cs="宋体"/>
                <w:b w:val="0"/>
                <w:color w:val="000000"/>
                <w:sz w:val="16"/>
                <w:highlight w:val="none"/>
              </w:rPr>
              <w:t>—</w:t>
            </w:r>
          </w:p>
        </w:tc>
      </w:tr>
    </w:tbl>
    <w:p w14:paraId="72000021">
      <w:pPr>
        <w:pStyle w:val="4"/>
        <w:snapToGrid w:val="0"/>
      </w:pPr>
      <w:bookmarkStart w:id="27" w:name="s3_3_5"/>
      <w:r>
        <w:rPr>
          <w:rFonts w:ascii="黑体" w:hAnsi="黑体" w:eastAsia="黑体" w:cs="黑体"/>
          <w:b/>
          <w:color w:val="000000"/>
        </w:rPr>
        <w:t>3.3.5　全局工艺优化</w:t>
      </w:r>
      <w:bookmarkEnd w:id="27"/>
    </w:p>
    <w:p w14:paraId="720003DF">
      <w:pPr>
        <w:keepNext/>
        <w:keepLines/>
        <w:shd w:val="clear" w:fill="DEE6EF"/>
        <w:snapToGrid w:val="0"/>
        <w:spacing w:before="0" w:after="0" w:line="240" w:lineRule="auto"/>
        <w:ind w:left="142" w:right="142" w:firstLine="0" w:firstLineChars="0"/>
        <w:jc w:val="left"/>
      </w:pPr>
      <w:r>
        <w:rPr>
          <w:rFonts w:ascii="宋体" w:hAnsi="宋体" w:eastAsia="宋体" w:cs="宋体"/>
          <w:b/>
          <w:color w:val="000000"/>
          <w:sz w:val="18"/>
          <w:szCs w:val="18"/>
        </w:rPr>
        <w:t>流程编号及名称：P-ZLTC-AI-GYYH-115  全局工艺优化流程</w:t>
      </w:r>
    </w:p>
    <w:p w14:paraId="0BE3A2FC">
      <w:pPr>
        <w:pStyle w:val="17"/>
        <w:keepNext/>
        <w:keepLines/>
        <w:snapToGrid w:val="0"/>
        <w:spacing w:before="0" w:after="0" w:line="240" w:lineRule="auto"/>
        <w:ind w:left="0" w:right="0" w:firstLine="0" w:firstLineChars="0"/>
        <w:jc w:val="center"/>
      </w:pPr>
      <w:r>
        <w:drawing>
          <wp:inline distT="0" distB="0" distL="114300" distR="114300">
            <wp:extent cx="5579745" cy="4632960"/>
            <wp:effectExtent l="0" t="0" r="0" b="0"/>
            <wp:docPr id="17" name="P-ZLTC-AI-GYYH-115 全局工艺优化流程" descr="P-ZLTC-AI-GYYH-115 全局工艺优化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ZLTC-AI-GYYH-115 全局工艺优化流程" descr="P-ZLTC-AI-GYYH-115 全局工艺优化流程"/>
                    <pic:cNvPicPr>
                      <a:picLocks noChangeAspect="1"/>
                    </pic:cNvPicPr>
                  </pic:nvPicPr>
                  <pic:blipFill>
                    <a:blip r:embed="rId25"/>
                    <a:srcRect t="4023"/>
                    <a:stretch>
                      <a:fillRect/>
                    </a:stretch>
                  </pic:blipFill>
                  <pic:spPr>
                    <a:xfrm>
                      <a:off x="0" y="0"/>
                      <a:ext cx="5579745" cy="4633069"/>
                    </a:xfrm>
                    <a:prstGeom prst="rect">
                      <a:avLst/>
                    </a:prstGeom>
                    <a:noFill/>
                    <a:ln>
                      <a:noFill/>
                    </a:ln>
                  </pic:spPr>
                </pic:pic>
              </a:graphicData>
            </a:graphic>
          </wp:inline>
        </w:drawing>
      </w:r>
    </w:p>
    <w:p w14:paraId="5840ABB9">
      <w:pPr>
        <w:pStyle w:val="17"/>
        <w:keepNext w:val="0"/>
        <w:spacing w:after="40"/>
        <w:jc w:val="center"/>
        <w:rPr>
          <w:highlight w:val="none"/>
        </w:rPr>
      </w:pPr>
      <w:r>
        <w:rPr>
          <w:rFonts w:ascii="宋体" w:hAnsi="宋体" w:eastAsia="宋体"/>
          <w:sz w:val="21"/>
          <w:highlight w:val="none"/>
        </w:rPr>
        <w:t>图3-15　全局工艺优化流程图</w:t>
      </w:r>
    </w:p>
    <w:p w14:paraId="2E6A92FE">
      <w:pPr>
        <w:pStyle w:val="17"/>
        <w:keepNext/>
        <w:spacing w:after="40"/>
        <w:jc w:val="center"/>
        <w:rPr>
          <w:highlight w:val="none"/>
        </w:rPr>
      </w:pPr>
      <w:r>
        <w:rPr>
          <w:rFonts w:ascii="宋体" w:hAnsi="宋体" w:eastAsia="宋体"/>
          <w:sz w:val="21"/>
          <w:highlight w:val="none"/>
        </w:rPr>
        <w:t>表3-16　全局工艺优化流程描述</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5265D406">
        <w:trPr>
          <w:cantSplit/>
          <w:tblHeader/>
          <w:jc w:val="center"/>
        </w:trPr>
        <w:tc>
          <w:tcPr>
            <w:tcW w:w="650" w:type="dxa"/>
            <w:shd w:val="clear" w:color="auto" w:fill="FFFFFF"/>
            <w:tcMar>
              <w:top w:w="0" w:type="dxa"/>
              <w:left w:w="108" w:type="dxa"/>
              <w:bottom w:w="0" w:type="dxa"/>
              <w:right w:w="108" w:type="dxa"/>
            </w:tcMar>
            <w:vAlign w:val="center"/>
          </w:tcPr>
          <w:p w14:paraId="1F3A3BCC">
            <w:pPr>
              <w:pStyle w:val="17"/>
              <w:keepNext/>
              <w:spacing w:before="0" w:after="0" w:line="240" w:lineRule="auto"/>
              <w:jc w:val="center"/>
              <w:rPr>
                <w:highlight w:val="none"/>
              </w:rPr>
            </w:pPr>
            <w:r>
              <w:rPr>
                <w:rFonts w:ascii="宋体" w:hAnsi="宋体" w:eastAsia="宋体" w:cs="宋体"/>
                <w:b/>
                <w:bCs/>
                <w:color w:val="000000"/>
                <w:sz w:val="16"/>
                <w:highlight w:val="none"/>
              </w:rPr>
              <w:t>步骤编号</w:t>
            </w:r>
          </w:p>
        </w:tc>
        <w:tc>
          <w:tcPr>
            <w:tcW w:w="1050" w:type="dxa"/>
            <w:shd w:val="clear" w:color="auto" w:fill="FFFFFF"/>
            <w:tcMar>
              <w:top w:w="0" w:type="dxa"/>
              <w:left w:w="108" w:type="dxa"/>
              <w:bottom w:w="0" w:type="dxa"/>
              <w:right w:w="108" w:type="dxa"/>
            </w:tcMar>
            <w:vAlign w:val="center"/>
          </w:tcPr>
          <w:p w14:paraId="33AC6D13">
            <w:pPr>
              <w:pStyle w:val="17"/>
              <w:keepNext/>
              <w:spacing w:before="0" w:after="0" w:line="240" w:lineRule="auto"/>
              <w:jc w:val="center"/>
              <w:rPr>
                <w:highlight w:val="none"/>
              </w:rPr>
            </w:pPr>
            <w:r>
              <w:rPr>
                <w:rFonts w:ascii="宋体" w:hAnsi="宋体" w:eastAsia="宋体" w:cs="宋体"/>
                <w:b/>
                <w:bCs/>
                <w:color w:val="000000"/>
                <w:sz w:val="16"/>
                <w:highlight w:val="none"/>
              </w:rPr>
              <w:t>节点名称</w:t>
            </w:r>
          </w:p>
        </w:tc>
        <w:tc>
          <w:tcPr>
            <w:tcW w:w="950" w:type="dxa"/>
            <w:shd w:val="clear" w:color="auto" w:fill="FFFFFF"/>
            <w:tcMar>
              <w:top w:w="0" w:type="dxa"/>
              <w:left w:w="108" w:type="dxa"/>
              <w:bottom w:w="0" w:type="dxa"/>
              <w:right w:w="108" w:type="dxa"/>
            </w:tcMar>
            <w:vAlign w:val="center"/>
          </w:tcPr>
          <w:p w14:paraId="061B37DE">
            <w:pPr>
              <w:pStyle w:val="17"/>
              <w:keepNext/>
              <w:spacing w:before="0" w:after="0" w:line="240" w:lineRule="auto"/>
              <w:jc w:val="center"/>
              <w:rPr>
                <w:highlight w:val="none"/>
              </w:rPr>
            </w:pPr>
            <w:r>
              <w:rPr>
                <w:rFonts w:ascii="宋体" w:hAnsi="宋体" w:eastAsia="宋体" w:cs="宋体"/>
                <w:b/>
                <w:bCs/>
                <w:color w:val="000000"/>
                <w:sz w:val="16"/>
                <w:highlight w:val="none"/>
              </w:rPr>
              <w:t>责任节点</w:t>
            </w:r>
          </w:p>
        </w:tc>
        <w:tc>
          <w:tcPr>
            <w:tcW w:w="1350" w:type="dxa"/>
            <w:shd w:val="clear" w:color="auto" w:fill="FFFFFF"/>
            <w:tcMar>
              <w:top w:w="0" w:type="dxa"/>
              <w:left w:w="108" w:type="dxa"/>
              <w:bottom w:w="0" w:type="dxa"/>
              <w:right w:w="108" w:type="dxa"/>
            </w:tcMar>
            <w:vAlign w:val="center"/>
          </w:tcPr>
          <w:p w14:paraId="27B51B68">
            <w:pPr>
              <w:pStyle w:val="17"/>
              <w:keepNext/>
              <w:spacing w:before="0" w:after="0" w:line="240" w:lineRule="auto"/>
              <w:jc w:val="center"/>
              <w:rPr>
                <w:highlight w:val="none"/>
              </w:rPr>
            </w:pPr>
            <w:r>
              <w:rPr>
                <w:rFonts w:ascii="宋体" w:hAnsi="宋体" w:eastAsia="宋体" w:cs="宋体"/>
                <w:b/>
                <w:bCs/>
                <w:color w:val="000000"/>
                <w:sz w:val="16"/>
                <w:highlight w:val="none"/>
              </w:rPr>
              <w:t>输入/输出</w:t>
            </w:r>
          </w:p>
        </w:tc>
        <w:tc>
          <w:tcPr>
            <w:tcW w:w="2000" w:type="dxa"/>
            <w:shd w:val="clear" w:color="auto" w:fill="FFFFFF"/>
            <w:tcMar>
              <w:top w:w="0" w:type="dxa"/>
              <w:left w:w="108" w:type="dxa"/>
              <w:bottom w:w="0" w:type="dxa"/>
              <w:right w:w="108" w:type="dxa"/>
            </w:tcMar>
            <w:vAlign w:val="center"/>
          </w:tcPr>
          <w:p w14:paraId="4E09A366">
            <w:pPr>
              <w:pStyle w:val="17"/>
              <w:keepNext/>
              <w:spacing w:before="0" w:after="0" w:line="240" w:lineRule="auto"/>
              <w:jc w:val="center"/>
              <w:rPr>
                <w:highlight w:val="none"/>
              </w:rPr>
            </w:pPr>
            <w:r>
              <w:rPr>
                <w:rFonts w:ascii="宋体" w:hAnsi="宋体" w:eastAsia="宋体" w:cs="宋体"/>
                <w:b/>
                <w:bCs/>
                <w:color w:val="000000"/>
                <w:sz w:val="16"/>
                <w:highlight w:val="none"/>
              </w:rPr>
              <w:t>处理说明</w:t>
            </w:r>
          </w:p>
        </w:tc>
        <w:tc>
          <w:tcPr>
            <w:tcW w:w="1072" w:type="dxa"/>
            <w:shd w:val="clear" w:color="auto" w:fill="FFFFFF"/>
            <w:tcMar>
              <w:top w:w="0" w:type="dxa"/>
              <w:left w:w="108" w:type="dxa"/>
              <w:bottom w:w="0" w:type="dxa"/>
              <w:right w:w="108" w:type="dxa"/>
            </w:tcMar>
            <w:vAlign w:val="center"/>
          </w:tcPr>
          <w:p w14:paraId="6E055088">
            <w:pPr>
              <w:pStyle w:val="17"/>
              <w:keepNext/>
              <w:spacing w:before="0" w:after="0" w:line="240" w:lineRule="auto"/>
              <w:jc w:val="center"/>
              <w:rPr>
                <w:highlight w:val="none"/>
              </w:rPr>
            </w:pPr>
            <w:r>
              <w:rPr>
                <w:rFonts w:ascii="宋体" w:hAnsi="宋体" w:eastAsia="宋体" w:cs="宋体"/>
                <w:b/>
                <w:bCs/>
                <w:color w:val="000000"/>
                <w:sz w:val="16"/>
                <w:highlight w:val="none"/>
              </w:rPr>
              <w:t>异常/分支</w:t>
            </w:r>
          </w:p>
        </w:tc>
        <w:tc>
          <w:tcPr>
            <w:tcW w:w="2000" w:type="dxa"/>
            <w:shd w:val="clear" w:color="auto" w:fill="FFFFFF"/>
            <w:tcMar>
              <w:top w:w="0" w:type="dxa"/>
              <w:left w:w="108" w:type="dxa"/>
              <w:bottom w:w="0" w:type="dxa"/>
              <w:right w:w="108" w:type="dxa"/>
            </w:tcMar>
            <w:vAlign w:val="center"/>
          </w:tcPr>
          <w:p w14:paraId="5266CC88">
            <w:pPr>
              <w:pStyle w:val="17"/>
              <w:keepNext/>
              <w:spacing w:before="0" w:after="0" w:line="240" w:lineRule="auto"/>
              <w:jc w:val="center"/>
              <w:rPr>
                <w:highlight w:val="none"/>
              </w:rPr>
            </w:pPr>
            <w:r>
              <w:rPr>
                <w:rFonts w:ascii="宋体" w:hAnsi="宋体" w:eastAsia="宋体" w:cs="宋体"/>
                <w:b/>
                <w:bCs/>
                <w:color w:val="000000"/>
                <w:sz w:val="16"/>
                <w:highlight w:val="none"/>
              </w:rPr>
              <w:t>关联规则</w:t>
            </w:r>
          </w:p>
        </w:tc>
      </w:tr>
      <w:tr w14:paraId="682445F6">
        <w:trPr>
          <w:cantSplit/>
          <w:jc w:val="center"/>
        </w:trPr>
        <w:tc>
          <w:tcPr>
            <w:tcW w:w="650" w:type="dxa"/>
            <w:shd w:val="clear" w:color="auto" w:fill="FFFFFF"/>
            <w:tcMar>
              <w:top w:w="0" w:type="dxa"/>
              <w:left w:w="108" w:type="dxa"/>
              <w:bottom w:w="0" w:type="dxa"/>
              <w:right w:w="108" w:type="dxa"/>
            </w:tcMar>
            <w:vAlign w:val="center"/>
          </w:tcPr>
          <w:p w14:paraId="4D52EDFF">
            <w:pPr>
              <w:pStyle w:val="17"/>
              <w:spacing w:before="0" w:after="0" w:line="240" w:lineRule="auto"/>
              <w:jc w:val="center"/>
              <w:rPr>
                <w:highlight w:val="none"/>
              </w:rPr>
            </w:pPr>
            <w:r>
              <w:rPr>
                <w:rFonts w:ascii="宋体" w:hAnsi="宋体" w:eastAsia="宋体" w:cs="宋体"/>
                <w:b w:val="0"/>
                <w:color w:val="000000"/>
                <w:sz w:val="16"/>
                <w:highlight w:val="none"/>
              </w:rPr>
              <w:t>01</w:t>
            </w:r>
          </w:p>
        </w:tc>
        <w:tc>
          <w:tcPr>
            <w:tcW w:w="1050" w:type="dxa"/>
            <w:shd w:val="clear" w:color="auto" w:fill="FFFFFF"/>
            <w:tcMar>
              <w:top w:w="0" w:type="dxa"/>
              <w:left w:w="108" w:type="dxa"/>
              <w:bottom w:w="0" w:type="dxa"/>
              <w:right w:w="108" w:type="dxa"/>
            </w:tcMar>
            <w:vAlign w:val="center"/>
          </w:tcPr>
          <w:p w14:paraId="7DAE5ED7">
            <w:pPr>
              <w:pStyle w:val="17"/>
              <w:spacing w:before="0" w:after="0" w:line="240" w:lineRule="auto"/>
              <w:jc w:val="center"/>
              <w:rPr>
                <w:highlight w:val="none"/>
              </w:rPr>
            </w:pPr>
            <w:r>
              <w:rPr>
                <w:rFonts w:ascii="宋体" w:hAnsi="宋体" w:eastAsia="宋体" w:cs="宋体"/>
                <w:b w:val="0"/>
                <w:color w:val="000000"/>
                <w:sz w:val="16"/>
                <w:highlight w:val="none"/>
              </w:rPr>
              <w:t>定期评估或用户查询触发</w:t>
            </w:r>
          </w:p>
        </w:tc>
        <w:tc>
          <w:tcPr>
            <w:tcW w:w="950" w:type="dxa"/>
            <w:shd w:val="clear" w:color="auto" w:fill="FFFFFF"/>
            <w:tcMar>
              <w:top w:w="0" w:type="dxa"/>
              <w:left w:w="108" w:type="dxa"/>
              <w:bottom w:w="0" w:type="dxa"/>
              <w:right w:w="108" w:type="dxa"/>
            </w:tcMar>
            <w:vAlign w:val="center"/>
          </w:tcPr>
          <w:p w14:paraId="55B1EA90">
            <w:pPr>
              <w:pStyle w:val="17"/>
              <w:spacing w:before="0" w:after="0" w:line="240" w:lineRule="auto"/>
              <w:jc w:val="center"/>
              <w:rPr>
                <w:highlight w:val="none"/>
              </w:rPr>
            </w:pPr>
            <w:r>
              <w:rPr>
                <w:rFonts w:ascii="宋体" w:hAnsi="宋体" w:eastAsia="宋体" w:cs="宋体"/>
                <w:b w:val="0"/>
                <w:color w:val="000000"/>
                <w:sz w:val="16"/>
                <w:highlight w:val="none"/>
              </w:rPr>
              <w:t>业务事件源或用户</w:t>
            </w:r>
          </w:p>
        </w:tc>
        <w:tc>
          <w:tcPr>
            <w:tcW w:w="1350" w:type="dxa"/>
            <w:shd w:val="clear" w:color="auto" w:fill="FFFFFF"/>
            <w:tcMar>
              <w:top w:w="0" w:type="dxa"/>
              <w:left w:w="108" w:type="dxa"/>
              <w:bottom w:w="0" w:type="dxa"/>
              <w:right w:w="108" w:type="dxa"/>
            </w:tcMar>
            <w:vAlign w:val="center"/>
          </w:tcPr>
          <w:p w14:paraId="0D2839C4">
            <w:pPr>
              <w:pStyle w:val="17"/>
              <w:spacing w:before="0" w:after="0" w:line="240" w:lineRule="auto"/>
              <w:jc w:val="left"/>
              <w:rPr>
                <w:highlight w:val="none"/>
              </w:rPr>
            </w:pPr>
            <w:r>
              <w:rPr>
                <w:rFonts w:ascii="宋体" w:hAnsi="宋体" w:eastAsia="宋体" w:cs="宋体"/>
                <w:b w:val="0"/>
                <w:color w:val="000000"/>
                <w:sz w:val="16"/>
                <w:highlight w:val="none"/>
              </w:rPr>
              <w:t>触发信号或问题 → 评估/查询请求</w:t>
            </w:r>
          </w:p>
        </w:tc>
        <w:tc>
          <w:tcPr>
            <w:tcW w:w="2000" w:type="dxa"/>
            <w:shd w:val="clear" w:color="auto" w:fill="FFFFFF"/>
            <w:tcMar>
              <w:top w:w="0" w:type="dxa"/>
              <w:left w:w="108" w:type="dxa"/>
              <w:bottom w:w="0" w:type="dxa"/>
              <w:right w:w="108" w:type="dxa"/>
            </w:tcMar>
            <w:vAlign w:val="center"/>
          </w:tcPr>
          <w:p w14:paraId="523BB1E4">
            <w:pPr>
              <w:pStyle w:val="17"/>
              <w:spacing w:before="0" w:after="0" w:line="240" w:lineRule="auto"/>
              <w:jc w:val="left"/>
              <w:rPr>
                <w:highlight w:val="none"/>
              </w:rPr>
            </w:pPr>
            <w:r>
              <w:rPr>
                <w:rFonts w:ascii="宋体" w:hAnsi="宋体" w:eastAsia="宋体" w:cs="宋体"/>
                <w:b w:val="0"/>
                <w:color w:val="000000"/>
                <w:sz w:val="16"/>
                <w:highlight w:val="none"/>
              </w:rPr>
              <w:t>按评估周期定时触发，或响应用户发起的工序优化空间评估、参数影响分析、材料维护查询。</w:t>
            </w:r>
          </w:p>
        </w:tc>
        <w:tc>
          <w:tcPr>
            <w:tcW w:w="1072" w:type="dxa"/>
            <w:shd w:val="clear" w:color="auto" w:fill="FFFFFF"/>
            <w:tcMar>
              <w:top w:w="0" w:type="dxa"/>
              <w:left w:w="108" w:type="dxa"/>
              <w:bottom w:w="0" w:type="dxa"/>
              <w:right w:w="108" w:type="dxa"/>
            </w:tcMar>
            <w:vAlign w:val="center"/>
          </w:tcPr>
          <w:p w14:paraId="7E1FCDFE">
            <w:pPr>
              <w:pStyle w:val="17"/>
              <w:spacing w:before="0" w:after="0" w:line="240" w:lineRule="auto"/>
              <w:jc w:val="left"/>
              <w:rPr>
                <w:highlight w:val="none"/>
              </w:rPr>
            </w:pPr>
            <w:r>
              <w:rPr>
                <w:rFonts w:ascii="宋体" w:hAnsi="宋体" w:eastAsia="宋体" w:cs="宋体"/>
                <w:b w:val="0"/>
                <w:color w:val="000000"/>
                <w:sz w:val="16"/>
                <w:highlight w:val="none"/>
              </w:rPr>
              <w:t>进入02。</w:t>
            </w:r>
          </w:p>
        </w:tc>
        <w:tc>
          <w:tcPr>
            <w:tcW w:w="2000" w:type="dxa"/>
            <w:shd w:val="clear" w:color="auto" w:fill="FFFFFF"/>
            <w:tcMar>
              <w:top w:w="0" w:type="dxa"/>
              <w:left w:w="108" w:type="dxa"/>
              <w:bottom w:w="0" w:type="dxa"/>
              <w:right w:w="108" w:type="dxa"/>
            </w:tcMar>
            <w:vAlign w:val="center"/>
          </w:tcPr>
          <w:p w14:paraId="548695FC">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3D7996F6">
        <w:trPr>
          <w:cantSplit/>
          <w:jc w:val="center"/>
        </w:trPr>
        <w:tc>
          <w:tcPr>
            <w:tcW w:w="650" w:type="dxa"/>
            <w:shd w:val="clear" w:color="auto" w:fill="FFFFFF"/>
            <w:tcMar>
              <w:top w:w="0" w:type="dxa"/>
              <w:left w:w="108" w:type="dxa"/>
              <w:bottom w:w="0" w:type="dxa"/>
              <w:right w:w="108" w:type="dxa"/>
            </w:tcMar>
            <w:vAlign w:val="center"/>
          </w:tcPr>
          <w:p w14:paraId="368D5609">
            <w:pPr>
              <w:pStyle w:val="17"/>
              <w:spacing w:before="0" w:after="0" w:line="240" w:lineRule="auto"/>
              <w:jc w:val="center"/>
              <w:rPr>
                <w:highlight w:val="none"/>
              </w:rPr>
            </w:pPr>
            <w:r>
              <w:rPr>
                <w:rFonts w:ascii="宋体" w:hAnsi="宋体" w:eastAsia="宋体" w:cs="宋体"/>
                <w:b w:val="0"/>
                <w:color w:val="000000"/>
                <w:sz w:val="16"/>
                <w:highlight w:val="none"/>
              </w:rPr>
              <w:t>02</w:t>
            </w:r>
          </w:p>
        </w:tc>
        <w:tc>
          <w:tcPr>
            <w:tcW w:w="1050" w:type="dxa"/>
            <w:shd w:val="clear" w:color="auto" w:fill="FFFFFF"/>
            <w:tcMar>
              <w:top w:w="0" w:type="dxa"/>
              <w:left w:w="108" w:type="dxa"/>
              <w:bottom w:w="0" w:type="dxa"/>
              <w:right w:w="108" w:type="dxa"/>
            </w:tcMar>
            <w:vAlign w:val="center"/>
          </w:tcPr>
          <w:p w14:paraId="67B39562">
            <w:pPr>
              <w:pStyle w:val="17"/>
              <w:spacing w:before="0" w:after="0" w:line="240" w:lineRule="auto"/>
              <w:jc w:val="center"/>
              <w:rPr>
                <w:highlight w:val="none"/>
              </w:rPr>
            </w:pPr>
            <w:r>
              <w:rPr>
                <w:rFonts w:ascii="宋体" w:hAnsi="宋体" w:eastAsia="宋体" w:cs="宋体"/>
                <w:b w:val="0"/>
                <w:color w:val="000000"/>
                <w:sz w:val="16"/>
                <w:highlight w:val="none"/>
              </w:rPr>
              <w:t>识别业务线与意图</w:t>
            </w:r>
          </w:p>
        </w:tc>
        <w:tc>
          <w:tcPr>
            <w:tcW w:w="950" w:type="dxa"/>
            <w:shd w:val="clear" w:color="auto" w:fill="FFFFFF"/>
            <w:tcMar>
              <w:top w:w="0" w:type="dxa"/>
              <w:left w:w="108" w:type="dxa"/>
              <w:bottom w:w="0" w:type="dxa"/>
              <w:right w:w="108" w:type="dxa"/>
            </w:tcMar>
            <w:vAlign w:val="center"/>
          </w:tcPr>
          <w:p w14:paraId="79059828">
            <w:pPr>
              <w:pStyle w:val="17"/>
              <w:spacing w:before="0" w:after="0" w:line="240" w:lineRule="auto"/>
              <w:jc w:val="center"/>
              <w:rPr>
                <w:highlight w:val="none"/>
              </w:rPr>
            </w:pPr>
            <w:r>
              <w:rPr>
                <w:rFonts w:ascii="宋体" w:hAnsi="宋体" w:eastAsia="宋体" w:cs="宋体"/>
                <w:b w:val="0"/>
                <w:color w:val="000000"/>
                <w:sz w:val="16"/>
                <w:highlight w:val="none"/>
              </w:rPr>
              <w:t>主智能体</w:t>
            </w:r>
          </w:p>
        </w:tc>
        <w:tc>
          <w:tcPr>
            <w:tcW w:w="1350" w:type="dxa"/>
            <w:shd w:val="clear" w:color="auto" w:fill="FFFFFF"/>
            <w:tcMar>
              <w:top w:w="0" w:type="dxa"/>
              <w:left w:w="108" w:type="dxa"/>
              <w:bottom w:w="0" w:type="dxa"/>
              <w:right w:w="108" w:type="dxa"/>
            </w:tcMar>
            <w:vAlign w:val="center"/>
          </w:tcPr>
          <w:p w14:paraId="130860B0">
            <w:pPr>
              <w:pStyle w:val="17"/>
              <w:spacing w:before="0" w:after="0" w:line="240" w:lineRule="auto"/>
              <w:jc w:val="left"/>
              <w:rPr>
                <w:highlight w:val="none"/>
              </w:rPr>
            </w:pPr>
            <w:r>
              <w:rPr>
                <w:rFonts w:ascii="宋体" w:hAnsi="宋体" w:eastAsia="宋体" w:cs="宋体"/>
                <w:b w:val="0"/>
                <w:color w:val="000000"/>
                <w:sz w:val="16"/>
                <w:highlight w:val="none"/>
              </w:rPr>
              <w:t>请求 → 业务线与任务标签</w:t>
            </w:r>
          </w:p>
        </w:tc>
        <w:tc>
          <w:tcPr>
            <w:tcW w:w="2000" w:type="dxa"/>
            <w:shd w:val="clear" w:color="auto" w:fill="FFFFFF"/>
            <w:tcMar>
              <w:top w:w="0" w:type="dxa"/>
              <w:left w:w="108" w:type="dxa"/>
              <w:bottom w:w="0" w:type="dxa"/>
              <w:right w:w="108" w:type="dxa"/>
            </w:tcMar>
            <w:vAlign w:val="center"/>
          </w:tcPr>
          <w:p w14:paraId="04265DDE">
            <w:pPr>
              <w:pStyle w:val="17"/>
              <w:spacing w:before="0" w:after="0" w:line="240" w:lineRule="auto"/>
              <w:jc w:val="left"/>
              <w:rPr>
                <w:highlight w:val="none"/>
              </w:rPr>
            </w:pPr>
            <w:r>
              <w:rPr>
                <w:rFonts w:ascii="宋体" w:hAnsi="宋体" w:eastAsia="宋体" w:cs="宋体"/>
                <w:b w:val="0"/>
                <w:color w:val="000000"/>
                <w:sz w:val="16"/>
                <w:highlight w:val="none"/>
              </w:rPr>
              <w:t>区分业务线A（酶化工序工艺改进）与业务线B（材料类环节寿命管理），明确工序、对象与时间窗，两条线自此分线运行。</w:t>
            </w:r>
          </w:p>
        </w:tc>
        <w:tc>
          <w:tcPr>
            <w:tcW w:w="1072" w:type="dxa"/>
            <w:shd w:val="clear" w:color="auto" w:fill="FFFFFF"/>
            <w:tcMar>
              <w:top w:w="0" w:type="dxa"/>
              <w:left w:w="108" w:type="dxa"/>
              <w:bottom w:w="0" w:type="dxa"/>
              <w:right w:w="108" w:type="dxa"/>
            </w:tcMar>
            <w:vAlign w:val="center"/>
          </w:tcPr>
          <w:p w14:paraId="2C7824C0">
            <w:pPr>
              <w:pStyle w:val="17"/>
              <w:spacing w:before="0" w:after="0" w:line="240" w:lineRule="auto"/>
              <w:jc w:val="left"/>
              <w:rPr>
                <w:highlight w:val="none"/>
              </w:rPr>
            </w:pPr>
            <w:r>
              <w:rPr>
                <w:rFonts w:ascii="宋体" w:hAnsi="宋体" w:eastAsia="宋体" w:cs="宋体"/>
                <w:b w:val="0"/>
                <w:color w:val="000000"/>
                <w:sz w:val="16"/>
                <w:highlight w:val="none"/>
              </w:rPr>
              <w:t>两线均需先进入03完成数据对齐。</w:t>
            </w:r>
          </w:p>
        </w:tc>
        <w:tc>
          <w:tcPr>
            <w:tcW w:w="2000" w:type="dxa"/>
            <w:shd w:val="clear" w:color="auto" w:fill="FFFFFF"/>
            <w:tcMar>
              <w:top w:w="0" w:type="dxa"/>
              <w:left w:w="108" w:type="dxa"/>
              <w:bottom w:w="0" w:type="dxa"/>
              <w:right w:w="108" w:type="dxa"/>
            </w:tcMar>
            <w:vAlign w:val="center"/>
          </w:tcPr>
          <w:p w14:paraId="6C47D850">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66DEB9E4">
        <w:trPr>
          <w:cantSplit/>
          <w:jc w:val="center"/>
        </w:trPr>
        <w:tc>
          <w:tcPr>
            <w:tcW w:w="650" w:type="dxa"/>
            <w:shd w:val="clear" w:color="auto" w:fill="FFFFFF"/>
            <w:tcMar>
              <w:top w:w="0" w:type="dxa"/>
              <w:left w:w="108" w:type="dxa"/>
              <w:bottom w:w="0" w:type="dxa"/>
              <w:right w:w="108" w:type="dxa"/>
            </w:tcMar>
            <w:vAlign w:val="center"/>
          </w:tcPr>
          <w:p w14:paraId="2B3D453A">
            <w:pPr>
              <w:pStyle w:val="17"/>
              <w:spacing w:before="0" w:after="0" w:line="240" w:lineRule="auto"/>
              <w:jc w:val="center"/>
              <w:rPr>
                <w:highlight w:val="none"/>
              </w:rPr>
            </w:pPr>
            <w:r>
              <w:rPr>
                <w:rFonts w:ascii="宋体" w:hAnsi="宋体" w:eastAsia="宋体" w:cs="宋体"/>
                <w:b w:val="0"/>
                <w:color w:val="000000"/>
                <w:sz w:val="16"/>
                <w:highlight w:val="none"/>
              </w:rPr>
              <w:t>03</w:t>
            </w:r>
          </w:p>
        </w:tc>
        <w:tc>
          <w:tcPr>
            <w:tcW w:w="1050" w:type="dxa"/>
            <w:shd w:val="clear" w:color="auto" w:fill="FFFFFF"/>
            <w:tcMar>
              <w:top w:w="0" w:type="dxa"/>
              <w:left w:w="108" w:type="dxa"/>
              <w:bottom w:w="0" w:type="dxa"/>
              <w:right w:w="108" w:type="dxa"/>
            </w:tcMar>
            <w:vAlign w:val="center"/>
          </w:tcPr>
          <w:p w14:paraId="69ED2DD3">
            <w:pPr>
              <w:pStyle w:val="17"/>
              <w:spacing w:before="0" w:after="0" w:line="240" w:lineRule="auto"/>
              <w:jc w:val="center"/>
              <w:rPr>
                <w:highlight w:val="none"/>
              </w:rPr>
            </w:pPr>
            <w:r>
              <w:rPr>
                <w:rFonts w:ascii="宋体" w:hAnsi="宋体" w:eastAsia="宋体" w:cs="宋体"/>
                <w:b w:val="0"/>
                <w:color w:val="000000"/>
                <w:sz w:val="16"/>
                <w:highlight w:val="none"/>
              </w:rPr>
              <w:t>多源数据对齐</w:t>
            </w:r>
          </w:p>
        </w:tc>
        <w:tc>
          <w:tcPr>
            <w:tcW w:w="950" w:type="dxa"/>
            <w:shd w:val="clear" w:color="auto" w:fill="FFFFFF"/>
            <w:tcMar>
              <w:top w:w="0" w:type="dxa"/>
              <w:left w:w="108" w:type="dxa"/>
              <w:bottom w:w="0" w:type="dxa"/>
              <w:right w:w="108" w:type="dxa"/>
            </w:tcMar>
            <w:vAlign w:val="center"/>
          </w:tcPr>
          <w:p w14:paraId="4C7266E2">
            <w:pPr>
              <w:pStyle w:val="17"/>
              <w:spacing w:before="0" w:after="0" w:line="240" w:lineRule="auto"/>
              <w:jc w:val="center"/>
              <w:rPr>
                <w:highlight w:val="none"/>
              </w:rPr>
            </w:pPr>
            <w:r>
              <w:rPr>
                <w:rFonts w:ascii="宋体" w:hAnsi="宋体" w:eastAsia="宋体" w:cs="宋体"/>
                <w:b w:val="0"/>
                <w:color w:val="000000"/>
                <w:sz w:val="16"/>
                <w:highlight w:val="none"/>
              </w:rPr>
              <w:t>数据与模型服务</w:t>
            </w:r>
          </w:p>
        </w:tc>
        <w:tc>
          <w:tcPr>
            <w:tcW w:w="1350" w:type="dxa"/>
            <w:shd w:val="clear" w:color="auto" w:fill="FFFFFF"/>
            <w:tcMar>
              <w:top w:w="0" w:type="dxa"/>
              <w:left w:w="108" w:type="dxa"/>
              <w:bottom w:w="0" w:type="dxa"/>
              <w:right w:w="108" w:type="dxa"/>
            </w:tcMar>
            <w:vAlign w:val="center"/>
          </w:tcPr>
          <w:p w14:paraId="62698824">
            <w:pPr>
              <w:pStyle w:val="17"/>
              <w:spacing w:before="0" w:after="0" w:line="240" w:lineRule="auto"/>
              <w:jc w:val="left"/>
              <w:rPr>
                <w:highlight w:val="none"/>
              </w:rPr>
            </w:pPr>
            <w:r>
              <w:rPr>
                <w:rFonts w:ascii="宋体" w:hAnsi="宋体" w:eastAsia="宋体" w:cs="宋体"/>
                <w:b w:val="0"/>
                <w:color w:val="000000"/>
                <w:sz w:val="16"/>
                <w:highlight w:val="none"/>
              </w:rPr>
              <w:t>任务标签 → 可比分析样本</w:t>
            </w:r>
          </w:p>
        </w:tc>
        <w:tc>
          <w:tcPr>
            <w:tcW w:w="2000" w:type="dxa"/>
            <w:shd w:val="clear" w:color="auto" w:fill="FFFFFF"/>
            <w:tcMar>
              <w:top w:w="0" w:type="dxa"/>
              <w:left w:w="108" w:type="dxa"/>
              <w:bottom w:w="0" w:type="dxa"/>
              <w:right w:w="108" w:type="dxa"/>
            </w:tcMar>
            <w:vAlign w:val="center"/>
          </w:tcPr>
          <w:p w14:paraId="1FB5D728">
            <w:pPr>
              <w:pStyle w:val="17"/>
              <w:spacing w:before="0" w:after="0" w:line="240" w:lineRule="auto"/>
              <w:jc w:val="left"/>
              <w:rPr>
                <w:highlight w:val="none"/>
              </w:rPr>
            </w:pPr>
            <w:r>
              <w:rPr>
                <w:rFonts w:ascii="宋体" w:hAnsi="宋体" w:eastAsia="宋体" w:cs="宋体"/>
                <w:b w:val="0"/>
                <w:color w:val="000000"/>
                <w:sz w:val="16"/>
                <w:highlight w:val="none"/>
              </w:rPr>
              <w:t>统一PLM配方、MES批次、DCS/PI过程数据、QMS/LIMS质量数据及环境设备状态的批次、时间窗与口径，两线共用。</w:t>
            </w:r>
          </w:p>
        </w:tc>
        <w:tc>
          <w:tcPr>
            <w:tcW w:w="1072" w:type="dxa"/>
            <w:shd w:val="clear" w:color="auto" w:fill="FFFFFF"/>
            <w:tcMar>
              <w:top w:w="0" w:type="dxa"/>
              <w:left w:w="108" w:type="dxa"/>
              <w:bottom w:w="0" w:type="dxa"/>
              <w:right w:w="108" w:type="dxa"/>
            </w:tcMar>
            <w:vAlign w:val="center"/>
          </w:tcPr>
          <w:p w14:paraId="41DE240B">
            <w:pPr>
              <w:pStyle w:val="17"/>
              <w:spacing w:before="0" w:after="0" w:line="240" w:lineRule="auto"/>
              <w:jc w:val="left"/>
              <w:rPr>
                <w:highlight w:val="none"/>
              </w:rPr>
            </w:pPr>
            <w:r>
              <w:rPr>
                <w:rFonts w:ascii="宋体" w:hAnsi="宋体" w:eastAsia="宋体" w:cs="宋体"/>
                <w:b w:val="0"/>
                <w:color w:val="000000"/>
                <w:sz w:val="16"/>
                <w:highlight w:val="none"/>
              </w:rPr>
              <w:t>数据齐备：A线进入04，B线进入06；缺口进入09如实说明。</w:t>
            </w:r>
          </w:p>
        </w:tc>
        <w:tc>
          <w:tcPr>
            <w:tcW w:w="2000" w:type="dxa"/>
            <w:shd w:val="clear" w:color="auto" w:fill="FFFFFF"/>
            <w:tcMar>
              <w:top w:w="0" w:type="dxa"/>
              <w:left w:w="108" w:type="dxa"/>
              <w:bottom w:w="0" w:type="dxa"/>
              <w:right w:w="108" w:type="dxa"/>
            </w:tcMar>
            <w:vAlign w:val="center"/>
          </w:tcPr>
          <w:p w14:paraId="202AFEA4">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4B214E24">
        <w:trPr>
          <w:cantSplit/>
          <w:jc w:val="center"/>
        </w:trPr>
        <w:tc>
          <w:tcPr>
            <w:tcW w:w="650" w:type="dxa"/>
            <w:shd w:val="clear" w:color="auto" w:fill="FFFFFF"/>
            <w:tcMar>
              <w:top w:w="0" w:type="dxa"/>
              <w:left w:w="108" w:type="dxa"/>
              <w:bottom w:w="0" w:type="dxa"/>
              <w:right w:w="108" w:type="dxa"/>
            </w:tcMar>
            <w:vAlign w:val="center"/>
          </w:tcPr>
          <w:p w14:paraId="580E154C">
            <w:pPr>
              <w:pStyle w:val="17"/>
              <w:spacing w:before="0" w:after="0" w:line="240" w:lineRule="auto"/>
              <w:jc w:val="center"/>
              <w:rPr>
                <w:highlight w:val="none"/>
              </w:rPr>
            </w:pPr>
            <w:r>
              <w:rPr>
                <w:rFonts w:ascii="宋体" w:hAnsi="宋体" w:eastAsia="宋体" w:cs="宋体"/>
                <w:b w:val="0"/>
                <w:color w:val="000000"/>
                <w:sz w:val="16"/>
                <w:highlight w:val="none"/>
              </w:rPr>
              <w:t>04</w:t>
            </w:r>
          </w:p>
        </w:tc>
        <w:tc>
          <w:tcPr>
            <w:tcW w:w="1050" w:type="dxa"/>
            <w:shd w:val="clear" w:color="auto" w:fill="FFFFFF"/>
            <w:tcMar>
              <w:top w:w="0" w:type="dxa"/>
              <w:left w:w="108" w:type="dxa"/>
              <w:bottom w:w="0" w:type="dxa"/>
              <w:right w:w="108" w:type="dxa"/>
            </w:tcMar>
            <w:vAlign w:val="center"/>
          </w:tcPr>
          <w:p w14:paraId="38650C50">
            <w:pPr>
              <w:pStyle w:val="17"/>
              <w:spacing w:before="0" w:after="0" w:line="240" w:lineRule="auto"/>
              <w:jc w:val="center"/>
              <w:rPr>
                <w:highlight w:val="none"/>
              </w:rPr>
            </w:pPr>
            <w:r>
              <w:rPr>
                <w:rFonts w:ascii="宋体" w:hAnsi="宋体" w:eastAsia="宋体" w:cs="宋体"/>
                <w:b w:val="0"/>
                <w:color w:val="000000"/>
                <w:sz w:val="16"/>
                <w:highlight w:val="none"/>
              </w:rPr>
              <w:t>优化机会识别（业务线A）</w:t>
            </w:r>
          </w:p>
        </w:tc>
        <w:tc>
          <w:tcPr>
            <w:tcW w:w="950" w:type="dxa"/>
            <w:shd w:val="clear" w:color="auto" w:fill="FFFFFF"/>
            <w:tcMar>
              <w:top w:w="0" w:type="dxa"/>
              <w:left w:w="108" w:type="dxa"/>
              <w:bottom w:w="0" w:type="dxa"/>
              <w:right w:w="108" w:type="dxa"/>
            </w:tcMar>
            <w:vAlign w:val="center"/>
          </w:tcPr>
          <w:p w14:paraId="227BE2C6">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262F85DE">
            <w:pPr>
              <w:pStyle w:val="17"/>
              <w:spacing w:before="0" w:after="0" w:line="240" w:lineRule="auto"/>
              <w:jc w:val="left"/>
              <w:rPr>
                <w:highlight w:val="none"/>
              </w:rPr>
            </w:pPr>
            <w:r>
              <w:rPr>
                <w:rFonts w:ascii="宋体" w:hAnsi="宋体" w:eastAsia="宋体" w:cs="宋体"/>
                <w:b w:val="0"/>
                <w:color w:val="000000"/>
                <w:sz w:val="16"/>
                <w:highlight w:val="none"/>
              </w:rPr>
              <w:t>可比分析样本 → 优化机会清单</w:t>
            </w:r>
          </w:p>
        </w:tc>
        <w:tc>
          <w:tcPr>
            <w:tcW w:w="2000" w:type="dxa"/>
            <w:shd w:val="clear" w:color="auto" w:fill="FFFFFF"/>
            <w:tcMar>
              <w:top w:w="0" w:type="dxa"/>
              <w:left w:w="108" w:type="dxa"/>
              <w:bottom w:w="0" w:type="dxa"/>
              <w:right w:w="108" w:type="dxa"/>
            </w:tcMar>
            <w:vAlign w:val="center"/>
          </w:tcPr>
          <w:p w14:paraId="5D7FEFAE">
            <w:pPr>
              <w:pStyle w:val="17"/>
              <w:spacing w:before="0" w:after="0" w:line="240" w:lineRule="auto"/>
              <w:jc w:val="left"/>
              <w:rPr>
                <w:highlight w:val="none"/>
              </w:rPr>
            </w:pPr>
            <w:r>
              <w:rPr>
                <w:rFonts w:ascii="宋体" w:hAnsi="宋体" w:eastAsia="宋体" w:cs="宋体"/>
                <w:b w:val="0"/>
                <w:color w:val="000000"/>
                <w:sz w:val="16"/>
                <w:highlight w:val="none"/>
              </w:rPr>
              <w:t>识别液化、糖化等工序的参数保守余量，排序优化机会。</w:t>
            </w:r>
          </w:p>
        </w:tc>
        <w:tc>
          <w:tcPr>
            <w:tcW w:w="1072" w:type="dxa"/>
            <w:shd w:val="clear" w:color="auto" w:fill="FFFFFF"/>
            <w:tcMar>
              <w:top w:w="0" w:type="dxa"/>
              <w:left w:w="108" w:type="dxa"/>
              <w:bottom w:w="0" w:type="dxa"/>
              <w:right w:w="108" w:type="dxa"/>
            </w:tcMar>
            <w:vAlign w:val="center"/>
          </w:tcPr>
          <w:p w14:paraId="55AE61DE">
            <w:pPr>
              <w:pStyle w:val="17"/>
              <w:spacing w:before="0" w:after="0" w:line="240" w:lineRule="auto"/>
              <w:jc w:val="left"/>
              <w:rPr>
                <w:highlight w:val="none"/>
              </w:rPr>
            </w:pPr>
            <w:r>
              <w:rPr>
                <w:rFonts w:ascii="宋体" w:hAnsi="宋体" w:eastAsia="宋体" w:cs="宋体"/>
                <w:b w:val="0"/>
                <w:color w:val="000000"/>
                <w:sz w:val="16"/>
                <w:highlight w:val="none"/>
              </w:rPr>
              <w:t>进入05。</w:t>
            </w:r>
          </w:p>
        </w:tc>
        <w:tc>
          <w:tcPr>
            <w:tcW w:w="2000" w:type="dxa"/>
            <w:shd w:val="clear" w:color="auto" w:fill="FFFFFF"/>
            <w:tcMar>
              <w:top w:w="0" w:type="dxa"/>
              <w:left w:w="108" w:type="dxa"/>
              <w:bottom w:w="0" w:type="dxa"/>
              <w:right w:w="108" w:type="dxa"/>
            </w:tcMar>
            <w:vAlign w:val="center"/>
          </w:tcPr>
          <w:p w14:paraId="7079B032">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1891F807">
        <w:trPr>
          <w:cantSplit/>
          <w:jc w:val="center"/>
        </w:trPr>
        <w:tc>
          <w:tcPr>
            <w:tcW w:w="650" w:type="dxa"/>
            <w:shd w:val="clear" w:color="auto" w:fill="FFFFFF"/>
            <w:tcMar>
              <w:top w:w="0" w:type="dxa"/>
              <w:left w:w="108" w:type="dxa"/>
              <w:bottom w:w="0" w:type="dxa"/>
              <w:right w:w="108" w:type="dxa"/>
            </w:tcMar>
            <w:vAlign w:val="center"/>
          </w:tcPr>
          <w:p w14:paraId="4AC4982E">
            <w:pPr>
              <w:pStyle w:val="17"/>
              <w:spacing w:before="0" w:after="0" w:line="240" w:lineRule="auto"/>
              <w:jc w:val="center"/>
              <w:rPr>
                <w:highlight w:val="none"/>
              </w:rPr>
            </w:pPr>
            <w:r>
              <w:rPr>
                <w:rFonts w:ascii="宋体" w:hAnsi="宋体" w:eastAsia="宋体" w:cs="宋体"/>
                <w:b w:val="0"/>
                <w:color w:val="000000"/>
                <w:sz w:val="16"/>
                <w:highlight w:val="none"/>
              </w:rPr>
              <w:t>05</w:t>
            </w:r>
          </w:p>
        </w:tc>
        <w:tc>
          <w:tcPr>
            <w:tcW w:w="1050" w:type="dxa"/>
            <w:shd w:val="clear" w:color="auto" w:fill="FFFFFF"/>
            <w:tcMar>
              <w:top w:w="0" w:type="dxa"/>
              <w:left w:w="108" w:type="dxa"/>
              <w:bottom w:w="0" w:type="dxa"/>
              <w:right w:w="108" w:type="dxa"/>
            </w:tcMar>
            <w:vAlign w:val="center"/>
          </w:tcPr>
          <w:p w14:paraId="70A8A636">
            <w:pPr>
              <w:pStyle w:val="17"/>
              <w:spacing w:before="0" w:after="0" w:line="240" w:lineRule="auto"/>
              <w:jc w:val="center"/>
              <w:rPr>
                <w:highlight w:val="none"/>
              </w:rPr>
            </w:pPr>
            <w:r>
              <w:rPr>
                <w:rFonts w:ascii="宋体" w:hAnsi="宋体" w:eastAsia="宋体" w:cs="宋体"/>
                <w:b w:val="0"/>
                <w:color w:val="000000"/>
                <w:sz w:val="16"/>
                <w:highlight w:val="none"/>
              </w:rPr>
              <w:t>响应预测与参数优化（业务线A）</w:t>
            </w:r>
          </w:p>
        </w:tc>
        <w:tc>
          <w:tcPr>
            <w:tcW w:w="950" w:type="dxa"/>
            <w:shd w:val="clear" w:color="auto" w:fill="FFFFFF"/>
            <w:tcMar>
              <w:top w:w="0" w:type="dxa"/>
              <w:left w:w="108" w:type="dxa"/>
              <w:bottom w:w="0" w:type="dxa"/>
              <w:right w:w="108" w:type="dxa"/>
            </w:tcMar>
            <w:vAlign w:val="center"/>
          </w:tcPr>
          <w:p w14:paraId="0C0ABF72">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34CD3312">
            <w:pPr>
              <w:pStyle w:val="17"/>
              <w:spacing w:before="0" w:after="0" w:line="240" w:lineRule="auto"/>
              <w:jc w:val="left"/>
              <w:rPr>
                <w:highlight w:val="none"/>
              </w:rPr>
            </w:pPr>
            <w:r>
              <w:rPr>
                <w:rFonts w:ascii="宋体" w:hAnsi="宋体" w:eastAsia="宋体" w:cs="宋体"/>
                <w:b w:val="0"/>
                <w:color w:val="000000"/>
                <w:sz w:val="16"/>
                <w:highlight w:val="none"/>
              </w:rPr>
              <w:t>优化机会 → 参数优化建议</w:t>
            </w:r>
          </w:p>
        </w:tc>
        <w:tc>
          <w:tcPr>
            <w:tcW w:w="2000" w:type="dxa"/>
            <w:shd w:val="clear" w:color="auto" w:fill="FFFFFF"/>
            <w:tcMar>
              <w:top w:w="0" w:type="dxa"/>
              <w:left w:w="108" w:type="dxa"/>
              <w:bottom w:w="0" w:type="dxa"/>
              <w:right w:w="108" w:type="dxa"/>
            </w:tcMar>
            <w:vAlign w:val="center"/>
          </w:tcPr>
          <w:p w14:paraId="7ACB55A0">
            <w:pPr>
              <w:pStyle w:val="17"/>
              <w:spacing w:before="0" w:after="0" w:line="240" w:lineRule="auto"/>
              <w:jc w:val="left"/>
              <w:rPr>
                <w:highlight w:val="none"/>
              </w:rPr>
            </w:pPr>
            <w:r>
              <w:rPr>
                <w:rFonts w:ascii="宋体" w:hAnsi="宋体" w:eastAsia="宋体" w:cs="宋体"/>
                <w:b w:val="0"/>
                <w:color w:val="000000"/>
                <w:sz w:val="16"/>
                <w:highlight w:val="none"/>
              </w:rPr>
              <w:t>预测参数变化对质量与消耗的影响，给出量化参数建议。</w:t>
            </w:r>
          </w:p>
        </w:tc>
        <w:tc>
          <w:tcPr>
            <w:tcW w:w="1072" w:type="dxa"/>
            <w:shd w:val="clear" w:color="auto" w:fill="FFFFFF"/>
            <w:tcMar>
              <w:top w:w="0" w:type="dxa"/>
              <w:left w:w="108" w:type="dxa"/>
              <w:bottom w:w="0" w:type="dxa"/>
              <w:right w:w="108" w:type="dxa"/>
            </w:tcMar>
            <w:vAlign w:val="center"/>
          </w:tcPr>
          <w:p w14:paraId="3FECF620">
            <w:pPr>
              <w:pStyle w:val="17"/>
              <w:spacing w:before="0" w:after="0" w:line="240" w:lineRule="auto"/>
              <w:jc w:val="left"/>
              <w:rPr>
                <w:highlight w:val="none"/>
              </w:rPr>
            </w:pPr>
            <w:r>
              <w:rPr>
                <w:rFonts w:ascii="宋体" w:hAnsi="宋体" w:eastAsia="宋体" w:cs="宋体"/>
                <w:b w:val="0"/>
                <w:color w:val="000000"/>
                <w:sz w:val="16"/>
                <w:highlight w:val="none"/>
              </w:rPr>
              <w:t>进入08。</w:t>
            </w:r>
          </w:p>
        </w:tc>
        <w:tc>
          <w:tcPr>
            <w:tcW w:w="2000" w:type="dxa"/>
            <w:shd w:val="clear" w:color="auto" w:fill="FFFFFF"/>
            <w:tcMar>
              <w:top w:w="0" w:type="dxa"/>
              <w:left w:w="108" w:type="dxa"/>
              <w:bottom w:w="0" w:type="dxa"/>
              <w:right w:w="108" w:type="dxa"/>
            </w:tcMar>
            <w:vAlign w:val="center"/>
          </w:tcPr>
          <w:p w14:paraId="1E6DAC82">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08908022">
        <w:trPr>
          <w:cantSplit/>
          <w:jc w:val="center"/>
        </w:trPr>
        <w:tc>
          <w:tcPr>
            <w:tcW w:w="650" w:type="dxa"/>
            <w:shd w:val="clear" w:color="auto" w:fill="FFFFFF"/>
            <w:tcMar>
              <w:top w:w="0" w:type="dxa"/>
              <w:left w:w="108" w:type="dxa"/>
              <w:bottom w:w="0" w:type="dxa"/>
              <w:right w:w="108" w:type="dxa"/>
            </w:tcMar>
            <w:vAlign w:val="center"/>
          </w:tcPr>
          <w:p w14:paraId="1C26E4AD">
            <w:pPr>
              <w:pStyle w:val="17"/>
              <w:spacing w:before="0" w:after="0" w:line="240" w:lineRule="auto"/>
              <w:jc w:val="center"/>
              <w:rPr>
                <w:highlight w:val="none"/>
              </w:rPr>
            </w:pPr>
            <w:r>
              <w:rPr>
                <w:rFonts w:ascii="宋体" w:hAnsi="宋体" w:eastAsia="宋体" w:cs="宋体"/>
                <w:b w:val="0"/>
                <w:color w:val="000000"/>
                <w:sz w:val="16"/>
                <w:highlight w:val="none"/>
              </w:rPr>
              <w:t>06</w:t>
            </w:r>
          </w:p>
        </w:tc>
        <w:tc>
          <w:tcPr>
            <w:tcW w:w="1050" w:type="dxa"/>
            <w:shd w:val="clear" w:color="auto" w:fill="FFFFFF"/>
            <w:tcMar>
              <w:top w:w="0" w:type="dxa"/>
              <w:left w:w="108" w:type="dxa"/>
              <w:bottom w:w="0" w:type="dxa"/>
              <w:right w:w="108" w:type="dxa"/>
            </w:tcMar>
            <w:vAlign w:val="center"/>
          </w:tcPr>
          <w:p w14:paraId="0A680E26">
            <w:pPr>
              <w:pStyle w:val="17"/>
              <w:spacing w:before="0" w:after="0" w:line="240" w:lineRule="auto"/>
              <w:jc w:val="center"/>
              <w:rPr>
                <w:highlight w:val="none"/>
              </w:rPr>
            </w:pPr>
            <w:r>
              <w:rPr>
                <w:rFonts w:ascii="宋体" w:hAnsi="宋体" w:eastAsia="宋体" w:cs="宋体"/>
                <w:b w:val="0"/>
                <w:color w:val="000000"/>
                <w:sz w:val="16"/>
                <w:highlight w:val="none"/>
              </w:rPr>
              <w:t>材料退化预测（业务线B）</w:t>
            </w:r>
          </w:p>
        </w:tc>
        <w:tc>
          <w:tcPr>
            <w:tcW w:w="950" w:type="dxa"/>
            <w:shd w:val="clear" w:color="auto" w:fill="FFFFFF"/>
            <w:tcMar>
              <w:top w:w="0" w:type="dxa"/>
              <w:left w:w="108" w:type="dxa"/>
              <w:bottom w:w="0" w:type="dxa"/>
              <w:right w:w="108" w:type="dxa"/>
            </w:tcMar>
            <w:vAlign w:val="center"/>
          </w:tcPr>
          <w:p w14:paraId="4AC7D9B6">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273D5826">
            <w:pPr>
              <w:pStyle w:val="17"/>
              <w:spacing w:before="0" w:after="0" w:line="240" w:lineRule="auto"/>
              <w:jc w:val="left"/>
              <w:rPr>
                <w:highlight w:val="none"/>
              </w:rPr>
            </w:pPr>
            <w:r>
              <w:rPr>
                <w:rFonts w:ascii="宋体" w:hAnsi="宋体" w:eastAsia="宋体" w:cs="宋体"/>
                <w:b w:val="0"/>
                <w:color w:val="000000"/>
                <w:sz w:val="16"/>
                <w:highlight w:val="none"/>
              </w:rPr>
              <w:t>可比分析样本 → 寿命预测</w:t>
            </w:r>
          </w:p>
        </w:tc>
        <w:tc>
          <w:tcPr>
            <w:tcW w:w="2000" w:type="dxa"/>
            <w:shd w:val="clear" w:color="auto" w:fill="FFFFFF"/>
            <w:tcMar>
              <w:top w:w="0" w:type="dxa"/>
              <w:left w:w="108" w:type="dxa"/>
              <w:bottom w:w="0" w:type="dxa"/>
              <w:right w:w="108" w:type="dxa"/>
            </w:tcMar>
            <w:vAlign w:val="center"/>
          </w:tcPr>
          <w:p w14:paraId="4705CECA">
            <w:pPr>
              <w:pStyle w:val="17"/>
              <w:spacing w:before="0" w:after="0" w:line="240" w:lineRule="auto"/>
              <w:jc w:val="left"/>
              <w:rPr>
                <w:highlight w:val="none"/>
              </w:rPr>
            </w:pPr>
            <w:r>
              <w:rPr>
                <w:rFonts w:ascii="宋体" w:hAnsi="宋体" w:eastAsia="宋体" w:cs="宋体"/>
                <w:b w:val="0"/>
                <w:color w:val="000000"/>
                <w:sz w:val="16"/>
                <w:highlight w:val="none"/>
              </w:rPr>
              <w:t>建立膜过滤、离交、色谱等材料性能退化轨迹，预测剩余有效寿命。</w:t>
            </w:r>
          </w:p>
        </w:tc>
        <w:tc>
          <w:tcPr>
            <w:tcW w:w="1072" w:type="dxa"/>
            <w:shd w:val="clear" w:color="auto" w:fill="FFFFFF"/>
            <w:tcMar>
              <w:top w:w="0" w:type="dxa"/>
              <w:left w:w="108" w:type="dxa"/>
              <w:bottom w:w="0" w:type="dxa"/>
              <w:right w:w="108" w:type="dxa"/>
            </w:tcMar>
            <w:vAlign w:val="center"/>
          </w:tcPr>
          <w:p w14:paraId="2134EC51">
            <w:pPr>
              <w:pStyle w:val="17"/>
              <w:spacing w:before="0" w:after="0" w:line="240" w:lineRule="auto"/>
              <w:jc w:val="left"/>
              <w:rPr>
                <w:highlight w:val="none"/>
              </w:rPr>
            </w:pPr>
            <w:r>
              <w:rPr>
                <w:rFonts w:ascii="宋体" w:hAnsi="宋体" w:eastAsia="宋体" w:cs="宋体"/>
                <w:b w:val="0"/>
                <w:color w:val="000000"/>
                <w:sz w:val="16"/>
                <w:highlight w:val="none"/>
              </w:rPr>
              <w:t>进入07。</w:t>
            </w:r>
          </w:p>
        </w:tc>
        <w:tc>
          <w:tcPr>
            <w:tcW w:w="2000" w:type="dxa"/>
            <w:shd w:val="clear" w:color="auto" w:fill="FFFFFF"/>
            <w:tcMar>
              <w:top w:w="0" w:type="dxa"/>
              <w:left w:w="108" w:type="dxa"/>
              <w:bottom w:w="0" w:type="dxa"/>
              <w:right w:w="108" w:type="dxa"/>
            </w:tcMar>
            <w:vAlign w:val="center"/>
          </w:tcPr>
          <w:p w14:paraId="12450073">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3A9AD52A">
        <w:trPr>
          <w:cantSplit/>
          <w:jc w:val="center"/>
        </w:trPr>
        <w:tc>
          <w:tcPr>
            <w:tcW w:w="650" w:type="dxa"/>
            <w:shd w:val="clear" w:color="auto" w:fill="FFFFFF"/>
            <w:tcMar>
              <w:top w:w="0" w:type="dxa"/>
              <w:left w:w="108" w:type="dxa"/>
              <w:bottom w:w="0" w:type="dxa"/>
              <w:right w:w="108" w:type="dxa"/>
            </w:tcMar>
            <w:vAlign w:val="center"/>
          </w:tcPr>
          <w:p w14:paraId="727EB1AC">
            <w:pPr>
              <w:pStyle w:val="17"/>
              <w:spacing w:before="0" w:after="0" w:line="240" w:lineRule="auto"/>
              <w:jc w:val="center"/>
              <w:rPr>
                <w:highlight w:val="none"/>
              </w:rPr>
            </w:pPr>
            <w:r>
              <w:rPr>
                <w:rFonts w:ascii="宋体" w:hAnsi="宋体" w:eastAsia="宋体" w:cs="宋体"/>
                <w:b w:val="0"/>
                <w:color w:val="000000"/>
                <w:sz w:val="16"/>
                <w:highlight w:val="none"/>
              </w:rPr>
              <w:t>07</w:t>
            </w:r>
          </w:p>
        </w:tc>
        <w:tc>
          <w:tcPr>
            <w:tcW w:w="1050" w:type="dxa"/>
            <w:shd w:val="clear" w:color="auto" w:fill="FFFFFF"/>
            <w:tcMar>
              <w:top w:w="0" w:type="dxa"/>
              <w:left w:w="108" w:type="dxa"/>
              <w:bottom w:w="0" w:type="dxa"/>
              <w:right w:w="108" w:type="dxa"/>
            </w:tcMar>
            <w:vAlign w:val="center"/>
          </w:tcPr>
          <w:p w14:paraId="2E44FBB2">
            <w:pPr>
              <w:pStyle w:val="17"/>
              <w:spacing w:before="0" w:after="0" w:line="240" w:lineRule="auto"/>
              <w:jc w:val="center"/>
              <w:rPr>
                <w:highlight w:val="none"/>
              </w:rPr>
            </w:pPr>
            <w:r>
              <w:rPr>
                <w:rFonts w:ascii="宋体" w:hAnsi="宋体" w:eastAsia="宋体" w:cs="宋体"/>
                <w:b w:val="0"/>
                <w:color w:val="000000"/>
                <w:sz w:val="16"/>
                <w:highlight w:val="none"/>
              </w:rPr>
              <w:t>维护时机判定与调度协同（业务线B）</w:t>
            </w:r>
          </w:p>
        </w:tc>
        <w:tc>
          <w:tcPr>
            <w:tcW w:w="950" w:type="dxa"/>
            <w:shd w:val="clear" w:color="auto" w:fill="FFFFFF"/>
            <w:tcMar>
              <w:top w:w="0" w:type="dxa"/>
              <w:left w:w="108" w:type="dxa"/>
              <w:bottom w:w="0" w:type="dxa"/>
              <w:right w:w="108" w:type="dxa"/>
            </w:tcMar>
            <w:vAlign w:val="center"/>
          </w:tcPr>
          <w:p w14:paraId="76E623F0">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37E594EC">
            <w:pPr>
              <w:pStyle w:val="17"/>
              <w:spacing w:before="0" w:after="0" w:line="240" w:lineRule="auto"/>
              <w:jc w:val="left"/>
              <w:rPr>
                <w:highlight w:val="none"/>
              </w:rPr>
            </w:pPr>
            <w:r>
              <w:rPr>
                <w:rFonts w:ascii="宋体" w:hAnsi="宋体" w:eastAsia="宋体" w:cs="宋体"/>
                <w:b w:val="0"/>
                <w:color w:val="000000"/>
                <w:sz w:val="16"/>
                <w:highlight w:val="none"/>
              </w:rPr>
              <w:t>寿命预测、生产计划 → 维护建议</w:t>
            </w:r>
          </w:p>
        </w:tc>
        <w:tc>
          <w:tcPr>
            <w:tcW w:w="2000" w:type="dxa"/>
            <w:shd w:val="clear" w:color="auto" w:fill="FFFFFF"/>
            <w:tcMar>
              <w:top w:w="0" w:type="dxa"/>
              <w:left w:w="108" w:type="dxa"/>
              <w:bottom w:w="0" w:type="dxa"/>
              <w:right w:w="108" w:type="dxa"/>
            </w:tcMar>
            <w:vAlign w:val="center"/>
          </w:tcPr>
          <w:p w14:paraId="35C60D5C">
            <w:pPr>
              <w:pStyle w:val="17"/>
              <w:spacing w:before="0" w:after="0" w:line="240" w:lineRule="auto"/>
              <w:jc w:val="left"/>
              <w:rPr>
                <w:highlight w:val="none"/>
              </w:rPr>
            </w:pPr>
            <w:r>
              <w:rPr>
                <w:rFonts w:ascii="宋体" w:hAnsi="宋体" w:eastAsia="宋体" w:cs="宋体"/>
                <w:b w:val="0"/>
                <w:color w:val="000000"/>
                <w:sz w:val="16"/>
                <w:highlight w:val="none"/>
              </w:rPr>
              <w:t>结合停机计划与生产负荷，给出清洗、更换的推荐时间窗口与维护清单。</w:t>
            </w:r>
          </w:p>
        </w:tc>
        <w:tc>
          <w:tcPr>
            <w:tcW w:w="1072" w:type="dxa"/>
            <w:shd w:val="clear" w:color="auto" w:fill="FFFFFF"/>
            <w:tcMar>
              <w:top w:w="0" w:type="dxa"/>
              <w:left w:w="108" w:type="dxa"/>
              <w:bottom w:w="0" w:type="dxa"/>
              <w:right w:w="108" w:type="dxa"/>
            </w:tcMar>
            <w:vAlign w:val="center"/>
          </w:tcPr>
          <w:p w14:paraId="31BEBFDE">
            <w:pPr>
              <w:pStyle w:val="17"/>
              <w:spacing w:before="0" w:after="0" w:line="240" w:lineRule="auto"/>
              <w:jc w:val="left"/>
              <w:rPr>
                <w:highlight w:val="none"/>
              </w:rPr>
            </w:pPr>
            <w:r>
              <w:rPr>
                <w:rFonts w:ascii="宋体" w:hAnsi="宋体" w:eastAsia="宋体" w:cs="宋体"/>
                <w:b w:val="0"/>
                <w:color w:val="000000"/>
                <w:sz w:val="16"/>
                <w:highlight w:val="none"/>
              </w:rPr>
              <w:t>进入08。</w:t>
            </w:r>
          </w:p>
        </w:tc>
        <w:tc>
          <w:tcPr>
            <w:tcW w:w="2000" w:type="dxa"/>
            <w:shd w:val="clear" w:color="auto" w:fill="FFFFFF"/>
            <w:tcMar>
              <w:top w:w="0" w:type="dxa"/>
              <w:left w:w="108" w:type="dxa"/>
              <w:bottom w:w="0" w:type="dxa"/>
              <w:right w:w="108" w:type="dxa"/>
            </w:tcMar>
            <w:vAlign w:val="center"/>
          </w:tcPr>
          <w:p w14:paraId="404A16A2">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180E2438">
        <w:trPr>
          <w:cantSplit/>
          <w:jc w:val="center"/>
        </w:trPr>
        <w:tc>
          <w:tcPr>
            <w:tcW w:w="650" w:type="dxa"/>
            <w:shd w:val="clear" w:color="auto" w:fill="FFFFFF"/>
            <w:tcMar>
              <w:top w:w="0" w:type="dxa"/>
              <w:left w:w="108" w:type="dxa"/>
              <w:bottom w:w="0" w:type="dxa"/>
              <w:right w:w="108" w:type="dxa"/>
            </w:tcMar>
            <w:vAlign w:val="center"/>
          </w:tcPr>
          <w:p w14:paraId="142626C4">
            <w:pPr>
              <w:pStyle w:val="17"/>
              <w:spacing w:before="0" w:after="0" w:line="240" w:lineRule="auto"/>
              <w:jc w:val="center"/>
              <w:rPr>
                <w:highlight w:val="none"/>
              </w:rPr>
            </w:pPr>
            <w:r>
              <w:rPr>
                <w:rFonts w:ascii="宋体" w:hAnsi="宋体" w:eastAsia="宋体" w:cs="宋体"/>
                <w:b w:val="0"/>
                <w:color w:val="000000"/>
                <w:sz w:val="16"/>
                <w:highlight w:val="none"/>
              </w:rPr>
              <w:t>08</w:t>
            </w:r>
          </w:p>
        </w:tc>
        <w:tc>
          <w:tcPr>
            <w:tcW w:w="1050" w:type="dxa"/>
            <w:shd w:val="clear" w:color="auto" w:fill="FFFFFF"/>
            <w:tcMar>
              <w:top w:w="0" w:type="dxa"/>
              <w:left w:w="108" w:type="dxa"/>
              <w:bottom w:w="0" w:type="dxa"/>
              <w:right w:w="108" w:type="dxa"/>
            </w:tcMar>
            <w:vAlign w:val="center"/>
          </w:tcPr>
          <w:p w14:paraId="0798196A">
            <w:pPr>
              <w:pStyle w:val="17"/>
              <w:spacing w:before="0" w:after="0" w:line="240" w:lineRule="auto"/>
              <w:jc w:val="center"/>
              <w:rPr>
                <w:highlight w:val="none"/>
              </w:rPr>
            </w:pPr>
            <w:r>
              <w:rPr>
                <w:rFonts w:ascii="宋体" w:hAnsi="宋体" w:eastAsia="宋体" w:cs="宋体"/>
                <w:b w:val="0"/>
                <w:color w:val="000000"/>
                <w:sz w:val="16"/>
                <w:highlight w:val="none"/>
              </w:rPr>
              <w:t>建议合成与安全校验</w:t>
            </w:r>
          </w:p>
        </w:tc>
        <w:tc>
          <w:tcPr>
            <w:tcW w:w="950" w:type="dxa"/>
            <w:shd w:val="clear" w:color="auto" w:fill="FFFFFF"/>
            <w:tcMar>
              <w:top w:w="0" w:type="dxa"/>
              <w:left w:w="108" w:type="dxa"/>
              <w:bottom w:w="0" w:type="dxa"/>
              <w:right w:w="108" w:type="dxa"/>
            </w:tcMar>
            <w:vAlign w:val="center"/>
          </w:tcPr>
          <w:p w14:paraId="20DB0E46">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0C7EC467">
            <w:pPr>
              <w:pStyle w:val="17"/>
              <w:spacing w:before="0" w:after="0" w:line="240" w:lineRule="auto"/>
              <w:jc w:val="left"/>
              <w:rPr>
                <w:highlight w:val="none"/>
              </w:rPr>
            </w:pPr>
            <w:r>
              <w:rPr>
                <w:rFonts w:ascii="宋体" w:hAnsi="宋体" w:eastAsia="宋体" w:cs="宋体"/>
                <w:b w:val="0"/>
                <w:color w:val="000000"/>
                <w:sz w:val="16"/>
                <w:highlight w:val="none"/>
              </w:rPr>
              <w:t>优化/维护建议 → 校验后建议</w:t>
            </w:r>
          </w:p>
        </w:tc>
        <w:tc>
          <w:tcPr>
            <w:tcW w:w="2000" w:type="dxa"/>
            <w:shd w:val="clear" w:color="auto" w:fill="FFFFFF"/>
            <w:tcMar>
              <w:top w:w="0" w:type="dxa"/>
              <w:left w:w="108" w:type="dxa"/>
              <w:bottom w:w="0" w:type="dxa"/>
              <w:right w:w="108" w:type="dxa"/>
            </w:tcMar>
            <w:vAlign w:val="center"/>
          </w:tcPr>
          <w:p w14:paraId="21D74386">
            <w:pPr>
              <w:pStyle w:val="17"/>
              <w:spacing w:before="0" w:after="0" w:line="240" w:lineRule="auto"/>
              <w:jc w:val="left"/>
              <w:rPr>
                <w:highlight w:val="none"/>
              </w:rPr>
            </w:pPr>
            <w:r>
              <w:rPr>
                <w:rFonts w:ascii="宋体" w:hAnsi="宋体" w:eastAsia="宋体" w:cs="宋体"/>
                <w:b w:val="0"/>
                <w:color w:val="000000"/>
                <w:sz w:val="16"/>
                <w:highlight w:val="none"/>
              </w:rPr>
              <w:t>参数类建议对照安全限值校验，超限拦截或标红警示；维护类建议核对生产计划约束。</w:t>
            </w:r>
          </w:p>
        </w:tc>
        <w:tc>
          <w:tcPr>
            <w:tcW w:w="1072" w:type="dxa"/>
            <w:shd w:val="clear" w:color="auto" w:fill="FFFFFF"/>
            <w:tcMar>
              <w:top w:w="0" w:type="dxa"/>
              <w:left w:w="108" w:type="dxa"/>
              <w:bottom w:w="0" w:type="dxa"/>
              <w:right w:w="108" w:type="dxa"/>
            </w:tcMar>
            <w:vAlign w:val="center"/>
          </w:tcPr>
          <w:p w14:paraId="6D9949FA">
            <w:pPr>
              <w:pStyle w:val="17"/>
              <w:spacing w:before="0" w:after="0" w:line="240" w:lineRule="auto"/>
              <w:jc w:val="left"/>
              <w:rPr>
                <w:highlight w:val="none"/>
              </w:rPr>
            </w:pPr>
            <w:r>
              <w:rPr>
                <w:rFonts w:ascii="宋体" w:hAnsi="宋体" w:eastAsia="宋体" w:cs="宋体"/>
                <w:b w:val="0"/>
                <w:color w:val="000000"/>
                <w:sz w:val="16"/>
                <w:highlight w:val="none"/>
              </w:rPr>
              <w:t>进入09。</w:t>
            </w:r>
          </w:p>
        </w:tc>
        <w:tc>
          <w:tcPr>
            <w:tcW w:w="2000" w:type="dxa"/>
            <w:shd w:val="clear" w:color="auto" w:fill="FFFFFF"/>
            <w:tcMar>
              <w:top w:w="0" w:type="dxa"/>
              <w:left w:w="108" w:type="dxa"/>
              <w:bottom w:w="0" w:type="dxa"/>
              <w:right w:w="108" w:type="dxa"/>
            </w:tcMar>
            <w:vAlign w:val="center"/>
          </w:tcPr>
          <w:p w14:paraId="2597581B">
            <w:pPr>
              <w:pStyle w:val="17"/>
              <w:spacing w:before="0" w:after="0" w:line="240" w:lineRule="auto"/>
              <w:jc w:val="left"/>
              <w:rPr>
                <w:highlight w:val="none"/>
              </w:rPr>
            </w:pPr>
            <w:r>
              <w:rPr>
                <w:rFonts w:ascii="宋体" w:hAnsi="宋体" w:eastAsia="宋体" w:cs="宋体"/>
                <w:b w:val="0"/>
                <w:color w:val="000000"/>
                <w:sz w:val="16"/>
                <w:highlight w:val="none"/>
              </w:rPr>
              <w:t>P-ZLTC-AI-YHGXYH-114-06-001</w:t>
            </w:r>
          </w:p>
        </w:tc>
      </w:tr>
      <w:tr w14:paraId="627E0B8F">
        <w:trPr>
          <w:cantSplit/>
          <w:jc w:val="center"/>
        </w:trPr>
        <w:tc>
          <w:tcPr>
            <w:tcW w:w="650" w:type="dxa"/>
            <w:shd w:val="clear" w:color="auto" w:fill="FFFFFF"/>
            <w:tcMar>
              <w:top w:w="0" w:type="dxa"/>
              <w:left w:w="108" w:type="dxa"/>
              <w:bottom w:w="0" w:type="dxa"/>
              <w:right w:w="108" w:type="dxa"/>
            </w:tcMar>
            <w:vAlign w:val="center"/>
          </w:tcPr>
          <w:p w14:paraId="227AD374">
            <w:pPr>
              <w:pStyle w:val="17"/>
              <w:spacing w:before="0" w:after="0" w:line="240" w:lineRule="auto"/>
              <w:jc w:val="center"/>
              <w:rPr>
                <w:highlight w:val="none"/>
              </w:rPr>
            </w:pPr>
            <w:r>
              <w:rPr>
                <w:rFonts w:ascii="宋体" w:hAnsi="宋体" w:eastAsia="宋体" w:cs="宋体"/>
                <w:b w:val="0"/>
                <w:color w:val="000000"/>
                <w:sz w:val="16"/>
                <w:highlight w:val="none"/>
              </w:rPr>
              <w:t>09</w:t>
            </w:r>
          </w:p>
        </w:tc>
        <w:tc>
          <w:tcPr>
            <w:tcW w:w="1050" w:type="dxa"/>
            <w:shd w:val="clear" w:color="auto" w:fill="FFFFFF"/>
            <w:tcMar>
              <w:top w:w="0" w:type="dxa"/>
              <w:left w:w="108" w:type="dxa"/>
              <w:bottom w:w="0" w:type="dxa"/>
              <w:right w:w="108" w:type="dxa"/>
            </w:tcMar>
            <w:vAlign w:val="center"/>
          </w:tcPr>
          <w:p w14:paraId="20442A56">
            <w:pPr>
              <w:pStyle w:val="17"/>
              <w:spacing w:before="0" w:after="0" w:line="240" w:lineRule="auto"/>
              <w:jc w:val="center"/>
              <w:rPr>
                <w:highlight w:val="none"/>
              </w:rPr>
            </w:pPr>
            <w:r>
              <w:rPr>
                <w:rFonts w:ascii="宋体" w:hAnsi="宋体" w:eastAsia="宋体" w:cs="宋体"/>
                <w:b w:val="0"/>
                <w:color w:val="000000"/>
                <w:sz w:val="16"/>
                <w:highlight w:val="none"/>
              </w:rPr>
              <w:t>呈现建议</w:t>
            </w:r>
          </w:p>
        </w:tc>
        <w:tc>
          <w:tcPr>
            <w:tcW w:w="950" w:type="dxa"/>
            <w:shd w:val="clear" w:color="auto" w:fill="FFFFFF"/>
            <w:tcMar>
              <w:top w:w="0" w:type="dxa"/>
              <w:left w:w="108" w:type="dxa"/>
              <w:bottom w:w="0" w:type="dxa"/>
              <w:right w:w="108" w:type="dxa"/>
            </w:tcMar>
            <w:vAlign w:val="center"/>
          </w:tcPr>
          <w:p w14:paraId="3D506573">
            <w:pPr>
              <w:pStyle w:val="17"/>
              <w:spacing w:before="0" w:after="0" w:line="240" w:lineRule="auto"/>
              <w:jc w:val="center"/>
              <w:rPr>
                <w:highlight w:val="none"/>
              </w:rPr>
            </w:pPr>
            <w:r>
              <w:rPr>
                <w:rFonts w:ascii="宋体" w:hAnsi="宋体" w:eastAsia="宋体" w:cs="宋体"/>
                <w:b w:val="0"/>
                <w:color w:val="000000"/>
                <w:sz w:val="16"/>
                <w:highlight w:val="none"/>
              </w:rPr>
              <w:t>平台门户</w:t>
            </w:r>
          </w:p>
        </w:tc>
        <w:tc>
          <w:tcPr>
            <w:tcW w:w="1350" w:type="dxa"/>
            <w:shd w:val="clear" w:color="auto" w:fill="FFFFFF"/>
            <w:tcMar>
              <w:top w:w="0" w:type="dxa"/>
              <w:left w:w="108" w:type="dxa"/>
              <w:bottom w:w="0" w:type="dxa"/>
              <w:right w:w="108" w:type="dxa"/>
            </w:tcMar>
            <w:vAlign w:val="center"/>
          </w:tcPr>
          <w:p w14:paraId="4CE03D4E">
            <w:pPr>
              <w:pStyle w:val="17"/>
              <w:spacing w:before="0" w:after="0" w:line="240" w:lineRule="auto"/>
              <w:jc w:val="left"/>
              <w:rPr>
                <w:highlight w:val="none"/>
              </w:rPr>
            </w:pPr>
            <w:r>
              <w:rPr>
                <w:rFonts w:ascii="宋体" w:hAnsi="宋体" w:eastAsia="宋体" w:cs="宋体"/>
                <w:b w:val="0"/>
                <w:color w:val="000000"/>
                <w:sz w:val="16"/>
                <w:highlight w:val="none"/>
              </w:rPr>
              <w:t>校验后建议 → 建议卡</w:t>
            </w:r>
          </w:p>
        </w:tc>
        <w:tc>
          <w:tcPr>
            <w:tcW w:w="2000" w:type="dxa"/>
            <w:shd w:val="clear" w:color="auto" w:fill="FFFFFF"/>
            <w:tcMar>
              <w:top w:w="0" w:type="dxa"/>
              <w:left w:w="108" w:type="dxa"/>
              <w:bottom w:w="0" w:type="dxa"/>
              <w:right w:w="108" w:type="dxa"/>
            </w:tcMar>
            <w:vAlign w:val="center"/>
          </w:tcPr>
          <w:p w14:paraId="3E384BC2">
            <w:pPr>
              <w:pStyle w:val="17"/>
              <w:spacing w:before="0" w:after="0" w:line="240" w:lineRule="auto"/>
              <w:jc w:val="left"/>
              <w:rPr>
                <w:highlight w:val="none"/>
              </w:rPr>
            </w:pPr>
            <w:r>
              <w:rPr>
                <w:rFonts w:ascii="宋体" w:hAnsi="宋体" w:eastAsia="宋体" w:cs="宋体"/>
                <w:b w:val="0"/>
                <w:color w:val="000000"/>
                <w:sz w:val="16"/>
                <w:highlight w:val="none"/>
              </w:rPr>
              <w:t>按角色呈现优化建议卡或维护建议卡，标注数据时间窗与适用范围。</w:t>
            </w:r>
          </w:p>
        </w:tc>
        <w:tc>
          <w:tcPr>
            <w:tcW w:w="1072" w:type="dxa"/>
            <w:shd w:val="clear" w:color="auto" w:fill="FFFFFF"/>
            <w:tcMar>
              <w:top w:w="0" w:type="dxa"/>
              <w:left w:w="108" w:type="dxa"/>
              <w:bottom w:w="0" w:type="dxa"/>
              <w:right w:w="108" w:type="dxa"/>
            </w:tcMar>
            <w:vAlign w:val="center"/>
          </w:tcPr>
          <w:p w14:paraId="3CA58AEE">
            <w:pPr>
              <w:pStyle w:val="17"/>
              <w:spacing w:before="0" w:after="0" w:line="240" w:lineRule="auto"/>
              <w:jc w:val="left"/>
              <w:rPr>
                <w:highlight w:val="none"/>
              </w:rPr>
            </w:pPr>
            <w:r>
              <w:rPr>
                <w:rFonts w:ascii="宋体" w:hAnsi="宋体" w:eastAsia="宋体" w:cs="宋体"/>
                <w:b w:val="0"/>
                <w:color w:val="000000"/>
                <w:sz w:val="16"/>
                <w:highlight w:val="none"/>
              </w:rPr>
              <w:t>进入10。</w:t>
            </w:r>
          </w:p>
        </w:tc>
        <w:tc>
          <w:tcPr>
            <w:tcW w:w="2000" w:type="dxa"/>
            <w:shd w:val="clear" w:color="auto" w:fill="FFFFFF"/>
            <w:tcMar>
              <w:top w:w="0" w:type="dxa"/>
              <w:left w:w="108" w:type="dxa"/>
              <w:bottom w:w="0" w:type="dxa"/>
              <w:right w:w="108" w:type="dxa"/>
            </w:tcMar>
            <w:vAlign w:val="center"/>
          </w:tcPr>
          <w:p w14:paraId="56011944">
            <w:pPr>
              <w:pStyle w:val="17"/>
              <w:spacing w:before="0" w:after="0" w:line="240" w:lineRule="auto"/>
              <w:jc w:val="left"/>
              <w:rPr>
                <w:highlight w:val="none"/>
              </w:rPr>
            </w:pPr>
            <w:r>
              <w:rPr>
                <w:rFonts w:ascii="宋体" w:hAnsi="宋体" w:eastAsia="宋体" w:cs="宋体"/>
                <w:b w:val="0"/>
                <w:color w:val="000000"/>
                <w:sz w:val="16"/>
                <w:highlight w:val="none"/>
              </w:rPr>
              <w:t>—</w:t>
            </w:r>
          </w:p>
        </w:tc>
      </w:tr>
      <w:tr w14:paraId="40EF260E">
        <w:trPr>
          <w:cantSplit/>
          <w:jc w:val="center"/>
        </w:trPr>
        <w:tc>
          <w:tcPr>
            <w:tcW w:w="650" w:type="dxa"/>
            <w:shd w:val="clear" w:color="auto" w:fill="FFFFFF"/>
            <w:tcMar>
              <w:top w:w="0" w:type="dxa"/>
              <w:left w:w="108" w:type="dxa"/>
              <w:bottom w:w="0" w:type="dxa"/>
              <w:right w:w="108" w:type="dxa"/>
            </w:tcMar>
            <w:vAlign w:val="center"/>
          </w:tcPr>
          <w:p w14:paraId="273BBA04">
            <w:pPr>
              <w:pStyle w:val="17"/>
              <w:spacing w:before="0" w:after="0" w:line="240" w:lineRule="auto"/>
              <w:jc w:val="center"/>
              <w:rPr>
                <w:highlight w:val="none"/>
              </w:rPr>
            </w:pPr>
            <w:r>
              <w:rPr>
                <w:rFonts w:ascii="宋体" w:hAnsi="宋体" w:eastAsia="宋体" w:cs="宋体"/>
                <w:b w:val="0"/>
                <w:color w:val="000000"/>
                <w:sz w:val="16"/>
                <w:highlight w:val="none"/>
              </w:rPr>
              <w:t>10</w:t>
            </w:r>
          </w:p>
        </w:tc>
        <w:tc>
          <w:tcPr>
            <w:tcW w:w="1050" w:type="dxa"/>
            <w:shd w:val="clear" w:color="auto" w:fill="FFFFFF"/>
            <w:tcMar>
              <w:top w:w="0" w:type="dxa"/>
              <w:left w:w="108" w:type="dxa"/>
              <w:bottom w:w="0" w:type="dxa"/>
              <w:right w:w="108" w:type="dxa"/>
            </w:tcMar>
            <w:vAlign w:val="center"/>
          </w:tcPr>
          <w:p w14:paraId="3FDEAD53">
            <w:pPr>
              <w:pStyle w:val="17"/>
              <w:spacing w:before="0" w:after="0" w:line="240" w:lineRule="auto"/>
              <w:jc w:val="center"/>
              <w:rPr>
                <w:highlight w:val="none"/>
              </w:rPr>
            </w:pPr>
            <w:r>
              <w:rPr>
                <w:rFonts w:ascii="宋体" w:hAnsi="宋体" w:eastAsia="宋体" w:cs="宋体"/>
                <w:b w:val="0"/>
                <w:color w:val="000000"/>
                <w:sz w:val="16"/>
                <w:highlight w:val="none"/>
              </w:rPr>
              <w:t>工程师确认</w:t>
            </w:r>
          </w:p>
        </w:tc>
        <w:tc>
          <w:tcPr>
            <w:tcW w:w="950" w:type="dxa"/>
            <w:shd w:val="clear" w:color="auto" w:fill="FFFFFF"/>
            <w:tcMar>
              <w:top w:w="0" w:type="dxa"/>
              <w:left w:w="108" w:type="dxa"/>
              <w:bottom w:w="0" w:type="dxa"/>
              <w:right w:w="108" w:type="dxa"/>
            </w:tcMar>
            <w:vAlign w:val="center"/>
          </w:tcPr>
          <w:p w14:paraId="3052B949">
            <w:pPr>
              <w:pStyle w:val="17"/>
              <w:spacing w:before="0" w:after="0" w:line="240" w:lineRule="auto"/>
              <w:jc w:val="center"/>
              <w:rPr>
                <w:highlight w:val="none"/>
              </w:rPr>
            </w:pPr>
            <w:r>
              <w:rPr>
                <w:rFonts w:ascii="宋体" w:hAnsi="宋体" w:eastAsia="宋体" w:cs="宋体"/>
                <w:b w:val="0"/>
                <w:color w:val="000000"/>
                <w:sz w:val="16"/>
                <w:highlight w:val="none"/>
              </w:rPr>
              <w:t>责任人</w:t>
            </w:r>
          </w:p>
        </w:tc>
        <w:tc>
          <w:tcPr>
            <w:tcW w:w="1350" w:type="dxa"/>
            <w:shd w:val="clear" w:color="auto" w:fill="FFFFFF"/>
            <w:tcMar>
              <w:top w:w="0" w:type="dxa"/>
              <w:left w:w="108" w:type="dxa"/>
              <w:bottom w:w="0" w:type="dxa"/>
              <w:right w:w="108" w:type="dxa"/>
            </w:tcMar>
            <w:vAlign w:val="center"/>
          </w:tcPr>
          <w:p w14:paraId="1B1E36D8">
            <w:pPr>
              <w:pStyle w:val="17"/>
              <w:spacing w:before="0" w:after="0" w:line="240" w:lineRule="auto"/>
              <w:jc w:val="left"/>
              <w:rPr>
                <w:highlight w:val="none"/>
              </w:rPr>
            </w:pPr>
            <w:r>
              <w:rPr>
                <w:rFonts w:ascii="宋体" w:hAnsi="宋体" w:eastAsia="宋体" w:cs="宋体"/>
                <w:b w:val="0"/>
                <w:color w:val="000000"/>
                <w:sz w:val="16"/>
                <w:highlight w:val="none"/>
              </w:rPr>
              <w:t>建议卡 → 确认记录</w:t>
            </w:r>
          </w:p>
        </w:tc>
        <w:tc>
          <w:tcPr>
            <w:tcW w:w="2000" w:type="dxa"/>
            <w:shd w:val="clear" w:color="auto" w:fill="FFFFFF"/>
            <w:tcMar>
              <w:top w:w="0" w:type="dxa"/>
              <w:left w:w="108" w:type="dxa"/>
              <w:bottom w:w="0" w:type="dxa"/>
              <w:right w:w="108" w:type="dxa"/>
            </w:tcMar>
            <w:vAlign w:val="center"/>
          </w:tcPr>
          <w:p w14:paraId="7EAE7602">
            <w:pPr>
              <w:pStyle w:val="17"/>
              <w:spacing w:before="0" w:after="0" w:line="240" w:lineRule="auto"/>
              <w:jc w:val="left"/>
              <w:rPr>
                <w:highlight w:val="none"/>
              </w:rPr>
            </w:pPr>
            <w:r>
              <w:rPr>
                <w:rFonts w:ascii="宋体" w:hAnsi="宋体" w:eastAsia="宋体" w:cs="宋体"/>
                <w:b w:val="0"/>
                <w:color w:val="000000"/>
                <w:sz w:val="16"/>
                <w:highlight w:val="none"/>
              </w:rPr>
              <w:t>工艺工程师确认建议；参数类建议确认后由操作人员人工执行，维护类建议与生产调度协同安排。</w:t>
            </w:r>
          </w:p>
        </w:tc>
        <w:tc>
          <w:tcPr>
            <w:tcW w:w="1072" w:type="dxa"/>
            <w:shd w:val="clear" w:color="auto" w:fill="FFFFFF"/>
            <w:tcMar>
              <w:top w:w="0" w:type="dxa"/>
              <w:left w:w="108" w:type="dxa"/>
              <w:bottom w:w="0" w:type="dxa"/>
              <w:right w:w="108" w:type="dxa"/>
            </w:tcMar>
            <w:vAlign w:val="center"/>
          </w:tcPr>
          <w:p w14:paraId="30114408">
            <w:pPr>
              <w:pStyle w:val="17"/>
              <w:spacing w:before="0" w:after="0" w:line="240" w:lineRule="auto"/>
              <w:jc w:val="left"/>
              <w:rPr>
                <w:highlight w:val="none"/>
              </w:rPr>
            </w:pPr>
            <w:r>
              <w:rPr>
                <w:rFonts w:ascii="宋体" w:hAnsi="宋体" w:eastAsia="宋体" w:cs="宋体"/>
                <w:b w:val="0"/>
                <w:color w:val="000000"/>
                <w:sz w:val="16"/>
                <w:highlight w:val="none"/>
              </w:rPr>
              <w:t>执行后进入11；否则结束。</w:t>
            </w:r>
          </w:p>
        </w:tc>
        <w:tc>
          <w:tcPr>
            <w:tcW w:w="2000" w:type="dxa"/>
            <w:shd w:val="clear" w:color="auto" w:fill="FFFFFF"/>
            <w:tcMar>
              <w:top w:w="0" w:type="dxa"/>
              <w:left w:w="108" w:type="dxa"/>
              <w:bottom w:w="0" w:type="dxa"/>
              <w:right w:w="108" w:type="dxa"/>
            </w:tcMar>
            <w:vAlign w:val="center"/>
          </w:tcPr>
          <w:p w14:paraId="1DB39F8A">
            <w:pPr>
              <w:pStyle w:val="17"/>
              <w:spacing w:before="0" w:after="0" w:line="240" w:lineRule="auto"/>
              <w:jc w:val="left"/>
              <w:rPr>
                <w:highlight w:val="none"/>
              </w:rPr>
            </w:pPr>
            <w:r>
              <w:rPr>
                <w:rFonts w:ascii="宋体" w:hAnsi="宋体" w:eastAsia="宋体" w:cs="宋体"/>
                <w:b w:val="0"/>
                <w:color w:val="000000"/>
                <w:sz w:val="16"/>
                <w:highlight w:val="none"/>
              </w:rPr>
              <w:t>R-GG-001</w:t>
            </w:r>
          </w:p>
        </w:tc>
      </w:tr>
      <w:tr w14:paraId="63AE0E3C">
        <w:trPr>
          <w:cantSplit/>
          <w:jc w:val="center"/>
        </w:trPr>
        <w:tc>
          <w:tcPr>
            <w:tcW w:w="650" w:type="dxa"/>
            <w:shd w:val="clear" w:color="auto" w:fill="FFFFFF"/>
            <w:tcMar>
              <w:top w:w="0" w:type="dxa"/>
              <w:left w:w="108" w:type="dxa"/>
              <w:bottom w:w="0" w:type="dxa"/>
              <w:right w:w="108" w:type="dxa"/>
            </w:tcMar>
            <w:vAlign w:val="center"/>
          </w:tcPr>
          <w:p w14:paraId="4FC32442">
            <w:pPr>
              <w:pStyle w:val="17"/>
              <w:spacing w:before="0" w:after="0" w:line="240" w:lineRule="auto"/>
              <w:jc w:val="center"/>
              <w:rPr>
                <w:highlight w:val="none"/>
              </w:rPr>
            </w:pPr>
            <w:r>
              <w:rPr>
                <w:rFonts w:ascii="宋体" w:hAnsi="宋体" w:eastAsia="宋体" w:cs="宋体"/>
                <w:b w:val="0"/>
                <w:color w:val="000000"/>
                <w:sz w:val="16"/>
                <w:highlight w:val="none"/>
              </w:rPr>
              <w:t>11</w:t>
            </w:r>
          </w:p>
        </w:tc>
        <w:tc>
          <w:tcPr>
            <w:tcW w:w="1050" w:type="dxa"/>
            <w:shd w:val="clear" w:color="auto" w:fill="FFFFFF"/>
            <w:tcMar>
              <w:top w:w="0" w:type="dxa"/>
              <w:left w:w="108" w:type="dxa"/>
              <w:bottom w:w="0" w:type="dxa"/>
              <w:right w:w="108" w:type="dxa"/>
            </w:tcMar>
            <w:vAlign w:val="center"/>
          </w:tcPr>
          <w:p w14:paraId="6A804FE8">
            <w:pPr>
              <w:pStyle w:val="17"/>
              <w:spacing w:before="0" w:after="0" w:line="240" w:lineRule="auto"/>
              <w:jc w:val="center"/>
              <w:rPr>
                <w:highlight w:val="none"/>
              </w:rPr>
            </w:pPr>
            <w:r>
              <w:rPr>
                <w:rFonts w:ascii="宋体" w:hAnsi="宋体" w:eastAsia="宋体" w:cs="宋体"/>
                <w:b w:val="0"/>
                <w:color w:val="000000"/>
                <w:sz w:val="16"/>
                <w:highlight w:val="none"/>
              </w:rPr>
              <w:t>效果回收与模型更新</w:t>
            </w:r>
          </w:p>
        </w:tc>
        <w:tc>
          <w:tcPr>
            <w:tcW w:w="950" w:type="dxa"/>
            <w:shd w:val="clear" w:color="auto" w:fill="FFFFFF"/>
            <w:tcMar>
              <w:top w:w="0" w:type="dxa"/>
              <w:left w:w="108" w:type="dxa"/>
              <w:bottom w:w="0" w:type="dxa"/>
              <w:right w:w="108" w:type="dxa"/>
            </w:tcMar>
            <w:vAlign w:val="center"/>
          </w:tcPr>
          <w:p w14:paraId="3E35E722">
            <w:pPr>
              <w:pStyle w:val="17"/>
              <w:spacing w:before="0" w:after="0" w:line="240" w:lineRule="auto"/>
              <w:jc w:val="center"/>
              <w:rPr>
                <w:highlight w:val="none"/>
              </w:rPr>
            </w:pPr>
            <w:r>
              <w:rPr>
                <w:rFonts w:ascii="宋体" w:hAnsi="宋体" w:eastAsia="宋体" w:cs="宋体"/>
                <w:b w:val="0"/>
                <w:color w:val="000000"/>
                <w:sz w:val="16"/>
                <w:highlight w:val="none"/>
              </w:rPr>
              <w:t>场景子智能体</w:t>
            </w:r>
          </w:p>
        </w:tc>
        <w:tc>
          <w:tcPr>
            <w:tcW w:w="1350" w:type="dxa"/>
            <w:shd w:val="clear" w:color="auto" w:fill="FFFFFF"/>
            <w:tcMar>
              <w:top w:w="0" w:type="dxa"/>
              <w:left w:w="108" w:type="dxa"/>
              <w:bottom w:w="0" w:type="dxa"/>
              <w:right w:w="108" w:type="dxa"/>
            </w:tcMar>
            <w:vAlign w:val="center"/>
          </w:tcPr>
          <w:p w14:paraId="1C10F5F6">
            <w:pPr>
              <w:pStyle w:val="17"/>
              <w:spacing w:before="0" w:after="0" w:line="240" w:lineRule="auto"/>
              <w:jc w:val="left"/>
              <w:rPr>
                <w:highlight w:val="none"/>
              </w:rPr>
            </w:pPr>
            <w:r>
              <w:rPr>
                <w:rFonts w:ascii="宋体" w:hAnsi="宋体" w:eastAsia="宋体" w:cs="宋体"/>
                <w:b w:val="0"/>
                <w:color w:val="000000"/>
                <w:sz w:val="16"/>
                <w:highlight w:val="none"/>
              </w:rPr>
              <w:t>执行反馈数据 → 效果评价、验证记录</w:t>
            </w:r>
          </w:p>
        </w:tc>
        <w:tc>
          <w:tcPr>
            <w:tcW w:w="2000" w:type="dxa"/>
            <w:shd w:val="clear" w:color="auto" w:fill="FFFFFF"/>
            <w:tcMar>
              <w:top w:w="0" w:type="dxa"/>
              <w:left w:w="108" w:type="dxa"/>
              <w:bottom w:w="0" w:type="dxa"/>
              <w:right w:w="108" w:type="dxa"/>
            </w:tcMar>
            <w:vAlign w:val="center"/>
          </w:tcPr>
          <w:p w14:paraId="0478D038">
            <w:pPr>
              <w:pStyle w:val="17"/>
              <w:spacing w:before="0" w:after="0" w:line="240" w:lineRule="auto"/>
              <w:jc w:val="left"/>
              <w:rPr>
                <w:highlight w:val="none"/>
              </w:rPr>
            </w:pPr>
            <w:r>
              <w:rPr>
                <w:rFonts w:ascii="宋体" w:hAnsi="宋体" w:eastAsia="宋体" w:cs="宋体"/>
                <w:b w:val="0"/>
                <w:color w:val="000000"/>
                <w:sz w:val="16"/>
                <w:highlight w:val="none"/>
              </w:rPr>
              <w:t>回收执行后的实际结果并与预测对比，验证优化效果，更新模型并进入下一评估周期。</w:t>
            </w:r>
          </w:p>
        </w:tc>
        <w:tc>
          <w:tcPr>
            <w:tcW w:w="1072" w:type="dxa"/>
            <w:shd w:val="clear" w:color="auto" w:fill="FFFFFF"/>
            <w:tcMar>
              <w:top w:w="0" w:type="dxa"/>
              <w:left w:w="108" w:type="dxa"/>
              <w:bottom w:w="0" w:type="dxa"/>
              <w:right w:w="108" w:type="dxa"/>
            </w:tcMar>
            <w:vAlign w:val="center"/>
          </w:tcPr>
          <w:p w14:paraId="66FB6CE6">
            <w:pPr>
              <w:pStyle w:val="17"/>
              <w:spacing w:before="0" w:after="0" w:line="240" w:lineRule="auto"/>
              <w:jc w:val="left"/>
              <w:rPr>
                <w:highlight w:val="none"/>
              </w:rPr>
            </w:pPr>
            <w:r>
              <w:rPr>
                <w:rFonts w:ascii="宋体" w:hAnsi="宋体" w:eastAsia="宋体" w:cs="宋体"/>
                <w:b w:val="0"/>
                <w:color w:val="000000"/>
                <w:sz w:val="16"/>
                <w:highlight w:val="none"/>
              </w:rPr>
              <w:t>结束。</w:t>
            </w:r>
          </w:p>
        </w:tc>
        <w:tc>
          <w:tcPr>
            <w:tcW w:w="2000" w:type="dxa"/>
            <w:shd w:val="clear" w:color="auto" w:fill="FFFFFF"/>
            <w:tcMar>
              <w:top w:w="0" w:type="dxa"/>
              <w:left w:w="108" w:type="dxa"/>
              <w:bottom w:w="0" w:type="dxa"/>
              <w:right w:w="108" w:type="dxa"/>
            </w:tcMar>
            <w:vAlign w:val="center"/>
          </w:tcPr>
          <w:p w14:paraId="5DBD94FA">
            <w:pPr>
              <w:pStyle w:val="17"/>
              <w:spacing w:before="0" w:after="0" w:line="240" w:lineRule="auto"/>
              <w:jc w:val="left"/>
              <w:rPr>
                <w:highlight w:val="none"/>
              </w:rPr>
            </w:pPr>
            <w:r>
              <w:rPr>
                <w:rFonts w:ascii="宋体" w:hAnsi="宋体" w:eastAsia="宋体" w:cs="宋体"/>
                <w:b w:val="0"/>
                <w:color w:val="000000"/>
                <w:sz w:val="16"/>
                <w:highlight w:val="none"/>
              </w:rPr>
              <w:t>—</w:t>
            </w:r>
          </w:p>
        </w:tc>
      </w:tr>
    </w:tbl>
    <w:p w14:paraId="72000023">
      <w:pPr>
        <w:pStyle w:val="3"/>
        <w:snapToGrid w:val="0"/>
      </w:pPr>
      <w:bookmarkStart w:id="28" w:name="s3_4"/>
      <w:r>
        <w:rPr>
          <w:rFonts w:ascii="黑体" w:hAnsi="黑体" w:eastAsia="黑体" w:cs="黑体"/>
          <w:b/>
          <w:color w:val="000000"/>
        </w:rPr>
        <w:t>3.4　知识问答及语音交互类</w:t>
      </w:r>
      <w:bookmarkEnd w:id="28"/>
    </w:p>
    <w:p w14:paraId="72000024">
      <w:pPr>
        <w:pStyle w:val="4"/>
        <w:snapToGrid w:val="0"/>
      </w:pPr>
      <w:bookmarkStart w:id="29" w:name="s3_4_1"/>
      <w:r>
        <w:rPr>
          <w:rFonts w:ascii="黑体" w:hAnsi="黑体" w:eastAsia="黑体" w:cs="黑体"/>
          <w:b/>
          <w:color w:val="000000"/>
        </w:rPr>
        <w:t>3.4.1　访客知识问答</w:t>
      </w:r>
      <w:bookmarkEnd w:id="29"/>
    </w:p>
    <w:p w14:paraId="2CD44893">
      <w:pPr>
        <w:pStyle w:val="12"/>
        <w:keepNext/>
        <w:snapToGrid w:val="0"/>
        <w:spacing w:before="0" w:after="40" w:line="240" w:lineRule="auto"/>
        <w:ind w:left="0" w:right="0" w:firstLine="0" w:firstLineChars="0"/>
        <w:jc w:val="center"/>
      </w:pPr>
      <w:r>
        <w:drawing>
          <wp:inline distT="0" distB="0" distL="0" distR="0">
            <wp:extent cx="5759450" cy="4787265"/>
            <wp:effectExtent l="0" t="0" r="0" b="0"/>
            <wp:docPr id="18" name="P-ZLTC-AI-FKZSWD-116 访客知识问答业务流程" descr="P-ZLTC-AI-FKZSWD-116 访客知识问答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ZLTC-AI-FKZSWD-116 访客知识问答业务流程" descr="P-ZLTC-AI-FKZSWD-116 访客知识问答业务流程"/>
                    <pic:cNvPicPr>
                      <a:picLocks noChangeAspect="1"/>
                    </pic:cNvPicPr>
                  </pic:nvPicPr>
                  <pic:blipFill>
                    <a:blip r:embed="rId26"/>
                    <a:stretch>
                      <a:fillRect/>
                    </a:stretch>
                  </pic:blipFill>
                  <pic:spPr>
                    <a:xfrm>
                      <a:off x="0" y="0"/>
                      <a:ext cx="5759450" cy="4787543"/>
                    </a:xfrm>
                    <a:prstGeom prst="rect">
                      <a:avLst/>
                    </a:prstGeom>
                  </pic:spPr>
                </pic:pic>
              </a:graphicData>
            </a:graphic>
          </wp:inline>
        </w:drawing>
      </w:r>
    </w:p>
    <w:p w14:paraId="0B1C58A6">
      <w:pPr>
        <w:pStyle w:val="15"/>
        <w:keepNext w:val="0"/>
        <w:snapToGrid w:val="0"/>
        <w:jc w:val="center"/>
      </w:pPr>
      <w:r>
        <w:t>图3-16　访客知识问答业务流程图</w:t>
      </w:r>
    </w:p>
    <w:p w14:paraId="673C9ACB">
      <w:pPr>
        <w:pStyle w:val="15"/>
        <w:keepNext/>
        <w:snapToGrid w:val="0"/>
        <w:jc w:val="center"/>
      </w:pPr>
      <w:r>
        <w:t>表3-17　访客知识问答业务流程说明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62AF1382">
        <w:trPr>
          <w:cantSplit/>
          <w:tblHeader/>
          <w:jc w:val="center"/>
        </w:trPr>
        <w:tc>
          <w:tcPr>
            <w:tcW w:w="650" w:type="dxa"/>
            <w:shd w:val="clear" w:color="auto" w:fill="FFFFFF"/>
            <w:vAlign w:val="center"/>
          </w:tcPr>
          <w:p w14:paraId="7F4CDAD1">
            <w:pPr>
              <w:keepNext/>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004DFF6B">
            <w:pPr>
              <w:keepNext/>
              <w:spacing w:before="0" w:after="0" w:line="240" w:lineRule="auto"/>
              <w:ind w:left="0" w:right="0" w:firstLine="0" w:firstLineChars="0"/>
              <w:jc w:val="center"/>
            </w:pPr>
            <w:r>
              <w:rPr>
                <w:rFonts w:ascii="宋体" w:hAnsi="宋体" w:eastAsia="宋体" w:cs="宋体"/>
                <w:b/>
                <w:bCs/>
                <w:color w:val="000000"/>
                <w:sz w:val="16"/>
                <w:szCs w:val="16"/>
              </w:rPr>
              <w:t>节点名称</w:t>
            </w:r>
          </w:p>
        </w:tc>
        <w:tc>
          <w:tcPr>
            <w:tcW w:w="950" w:type="dxa"/>
            <w:shd w:val="clear" w:color="auto" w:fill="FFFFFF"/>
            <w:vAlign w:val="center"/>
          </w:tcPr>
          <w:p w14:paraId="288B13F2">
            <w:pPr>
              <w:keepNext/>
              <w:spacing w:before="0" w:after="0" w:line="240" w:lineRule="auto"/>
              <w:ind w:left="0" w:right="0" w:firstLine="0" w:firstLineChars="0"/>
              <w:jc w:val="center"/>
            </w:pPr>
            <w:r>
              <w:rPr>
                <w:rFonts w:ascii="宋体" w:hAnsi="宋体" w:eastAsia="宋体" w:cs="宋体"/>
                <w:b/>
                <w:bCs/>
                <w:color w:val="000000"/>
                <w:sz w:val="16"/>
                <w:szCs w:val="16"/>
              </w:rPr>
              <w:t>责任节点</w:t>
            </w:r>
          </w:p>
        </w:tc>
        <w:tc>
          <w:tcPr>
            <w:tcW w:w="1350" w:type="dxa"/>
            <w:shd w:val="clear" w:color="auto" w:fill="FFFFFF"/>
            <w:vAlign w:val="center"/>
          </w:tcPr>
          <w:p w14:paraId="077C5414">
            <w:pPr>
              <w:keepNext/>
              <w:spacing w:before="0" w:after="0" w:line="240" w:lineRule="auto"/>
              <w:ind w:left="0" w:right="0" w:firstLine="0" w:firstLineChars="0"/>
              <w:jc w:val="center"/>
            </w:pPr>
            <w:r>
              <w:rPr>
                <w:rFonts w:ascii="宋体" w:hAnsi="宋体" w:eastAsia="宋体" w:cs="宋体"/>
                <w:b/>
                <w:bCs/>
                <w:color w:val="000000"/>
                <w:sz w:val="16"/>
                <w:szCs w:val="16"/>
              </w:rPr>
              <w:t>输入/输出</w:t>
            </w:r>
          </w:p>
        </w:tc>
        <w:tc>
          <w:tcPr>
            <w:tcW w:w="2000" w:type="dxa"/>
            <w:shd w:val="clear" w:color="auto" w:fill="FFFFFF"/>
            <w:vAlign w:val="center"/>
          </w:tcPr>
          <w:p w14:paraId="040821E9">
            <w:pPr>
              <w:keepNext/>
              <w:spacing w:before="0" w:after="0" w:line="240" w:lineRule="auto"/>
              <w:ind w:left="0" w:right="0" w:firstLine="0" w:firstLineChars="0"/>
              <w:jc w:val="center"/>
            </w:pPr>
            <w:r>
              <w:rPr>
                <w:rFonts w:ascii="宋体" w:hAnsi="宋体" w:eastAsia="宋体" w:cs="宋体"/>
                <w:b/>
                <w:bCs/>
                <w:color w:val="000000"/>
                <w:sz w:val="16"/>
                <w:szCs w:val="16"/>
              </w:rPr>
              <w:t>处理说明</w:t>
            </w:r>
          </w:p>
        </w:tc>
        <w:tc>
          <w:tcPr>
            <w:tcW w:w="1072" w:type="dxa"/>
            <w:shd w:val="clear" w:color="auto" w:fill="FFFFFF"/>
            <w:vAlign w:val="center"/>
          </w:tcPr>
          <w:p w14:paraId="4F82EE31">
            <w:pPr>
              <w:keepNext/>
              <w:spacing w:before="0" w:after="0" w:line="240" w:lineRule="auto"/>
              <w:ind w:left="0" w:right="0" w:firstLine="0" w:firstLineChars="0"/>
              <w:jc w:val="center"/>
            </w:pPr>
            <w:r>
              <w:rPr>
                <w:rFonts w:ascii="宋体" w:hAnsi="宋体" w:eastAsia="宋体" w:cs="宋体"/>
                <w:b/>
                <w:bCs/>
                <w:color w:val="000000"/>
                <w:sz w:val="16"/>
                <w:szCs w:val="16"/>
              </w:rPr>
              <w:t>异常/分支</w:t>
            </w:r>
          </w:p>
        </w:tc>
        <w:tc>
          <w:tcPr>
            <w:tcW w:w="2000" w:type="dxa"/>
            <w:shd w:val="clear" w:color="auto" w:fill="FFFFFF"/>
            <w:vAlign w:val="center"/>
          </w:tcPr>
          <w:p w14:paraId="67AF7BD7">
            <w:pPr>
              <w:keepNext/>
              <w:spacing w:before="0" w:after="0" w:line="240" w:lineRule="auto"/>
              <w:ind w:left="0" w:right="0" w:firstLine="0" w:firstLineChars="0"/>
              <w:jc w:val="center"/>
            </w:pPr>
            <w:r>
              <w:rPr>
                <w:rFonts w:ascii="宋体" w:hAnsi="宋体" w:eastAsia="宋体" w:cs="宋体"/>
                <w:b/>
                <w:bCs/>
                <w:color w:val="000000"/>
                <w:sz w:val="16"/>
                <w:szCs w:val="16"/>
              </w:rPr>
              <w:t>关联规则</w:t>
            </w:r>
          </w:p>
        </w:tc>
      </w:tr>
      <w:tr w14:paraId="255AEE71">
        <w:trPr>
          <w:cantSplit/>
          <w:jc w:val="center"/>
        </w:trPr>
        <w:tc>
          <w:tcPr>
            <w:tcW w:w="650" w:type="dxa"/>
            <w:shd w:val="clear" w:color="auto" w:fill="FFFFFF"/>
            <w:vAlign w:val="center"/>
          </w:tcPr>
          <w:p w14:paraId="702CB232">
            <w:pPr>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582837D9">
            <w:pPr>
              <w:spacing w:before="0" w:after="0" w:line="240" w:lineRule="auto"/>
              <w:ind w:left="0" w:right="0" w:firstLine="0" w:firstLineChars="0"/>
              <w:jc w:val="center"/>
            </w:pPr>
            <w:r>
              <w:rPr>
                <w:rFonts w:ascii="宋体" w:hAnsi="宋体" w:eastAsia="宋体" w:cs="宋体"/>
                <w:b w:val="0"/>
                <w:bCs w:val="0"/>
                <w:color w:val="000000"/>
                <w:sz w:val="16"/>
                <w:szCs w:val="16"/>
              </w:rPr>
              <w:t>携带身份发起问题</w:t>
            </w:r>
          </w:p>
        </w:tc>
        <w:tc>
          <w:tcPr>
            <w:tcW w:w="950" w:type="dxa"/>
            <w:shd w:val="clear" w:color="auto" w:fill="FFFFFF"/>
            <w:vAlign w:val="center"/>
          </w:tcPr>
          <w:p w14:paraId="13EA737A">
            <w:pPr>
              <w:spacing w:before="0" w:after="0" w:line="240" w:lineRule="auto"/>
              <w:ind w:left="0" w:right="0" w:firstLine="0" w:firstLineChars="0"/>
              <w:jc w:val="center"/>
            </w:pPr>
            <w:r>
              <w:rPr>
                <w:rFonts w:ascii="宋体" w:hAnsi="宋体" w:eastAsia="宋体" w:cs="宋体"/>
                <w:b w:val="0"/>
                <w:bCs w:val="0"/>
                <w:color w:val="000000"/>
                <w:sz w:val="16"/>
                <w:szCs w:val="16"/>
              </w:rPr>
              <w:t>访客与新员工</w:t>
            </w:r>
          </w:p>
        </w:tc>
        <w:tc>
          <w:tcPr>
            <w:tcW w:w="1350" w:type="dxa"/>
            <w:shd w:val="clear" w:color="auto" w:fill="FFFFFF"/>
            <w:vAlign w:val="center"/>
          </w:tcPr>
          <w:p w14:paraId="0DF17DEB">
            <w:pPr>
              <w:spacing w:before="0" w:after="0" w:line="240" w:lineRule="auto"/>
              <w:ind w:left="0" w:right="0" w:firstLine="0" w:firstLineChars="0"/>
              <w:jc w:val="left"/>
            </w:pPr>
            <w:r>
              <w:rPr>
                <w:rFonts w:ascii="宋体" w:hAnsi="宋体" w:eastAsia="宋体" w:cs="宋体"/>
                <w:b w:val="0"/>
                <w:bCs w:val="0"/>
                <w:color w:val="000000"/>
                <w:sz w:val="16"/>
                <w:szCs w:val="16"/>
              </w:rPr>
              <w:t>输入：访客或员工问题及角色</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输出：公开知识问答任务</w:t>
            </w:r>
          </w:p>
        </w:tc>
        <w:tc>
          <w:tcPr>
            <w:tcW w:w="2000" w:type="dxa"/>
            <w:shd w:val="clear" w:color="auto" w:fill="FFFFFF"/>
            <w:vAlign w:val="center"/>
          </w:tcPr>
          <w:p w14:paraId="30F28DCA">
            <w:pPr>
              <w:spacing w:before="0" w:after="0" w:line="240" w:lineRule="auto"/>
              <w:ind w:left="0" w:right="0" w:firstLine="0" w:firstLineChars="0"/>
              <w:jc w:val="left"/>
            </w:pPr>
            <w:r>
              <w:rPr>
                <w:rFonts w:ascii="宋体" w:hAnsi="宋体" w:eastAsia="宋体" w:cs="宋体"/>
                <w:b w:val="0"/>
                <w:bCs w:val="0"/>
                <w:color w:val="000000"/>
                <w:sz w:val="16"/>
                <w:szCs w:val="16"/>
              </w:rPr>
              <w:t>访客通过业务身份进入公开知识问答，员工按相应角色登录；平台依据身份与可见范围组织企业介绍、参观须知和通用入职知识查询。</w:t>
            </w:r>
          </w:p>
        </w:tc>
        <w:tc>
          <w:tcPr>
            <w:tcW w:w="1072" w:type="dxa"/>
            <w:shd w:val="clear" w:color="auto" w:fill="FFFFFF"/>
            <w:vAlign w:val="center"/>
          </w:tcPr>
          <w:p w14:paraId="5176DA19">
            <w:pPr>
              <w:spacing w:before="0" w:after="0" w:line="240" w:lineRule="auto"/>
              <w:ind w:left="0" w:right="0" w:firstLine="0" w:firstLineChars="0"/>
              <w:jc w:val="left"/>
            </w:pPr>
            <w:r>
              <w:rPr>
                <w:rFonts w:ascii="宋体" w:hAnsi="宋体" w:eastAsia="宋体" w:cs="宋体"/>
                <w:b w:val="0"/>
                <w:bCs w:val="0"/>
                <w:color w:val="000000"/>
                <w:sz w:val="16"/>
                <w:szCs w:val="16"/>
              </w:rPr>
              <w:t>→02</w:t>
            </w:r>
          </w:p>
        </w:tc>
        <w:tc>
          <w:tcPr>
            <w:tcW w:w="2000" w:type="dxa"/>
            <w:shd w:val="clear" w:color="auto" w:fill="FFFFFF"/>
            <w:vAlign w:val="center"/>
          </w:tcPr>
          <w:p w14:paraId="7203D2AE">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P-ZLTC-AI-FKZSWD-116-01-001</w:t>
            </w:r>
          </w:p>
        </w:tc>
      </w:tr>
      <w:tr w14:paraId="5863D928">
        <w:trPr>
          <w:cantSplit/>
          <w:jc w:val="center"/>
        </w:trPr>
        <w:tc>
          <w:tcPr>
            <w:tcW w:w="650" w:type="dxa"/>
            <w:shd w:val="clear" w:color="auto" w:fill="FFFFFF"/>
            <w:vAlign w:val="center"/>
          </w:tcPr>
          <w:p w14:paraId="012EF10B">
            <w:pPr>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146C26F0">
            <w:pPr>
              <w:spacing w:before="0" w:after="0" w:line="240" w:lineRule="auto"/>
              <w:ind w:left="0" w:right="0" w:firstLine="0" w:firstLineChars="0"/>
              <w:jc w:val="center"/>
            </w:pPr>
            <w:r>
              <w:rPr>
                <w:rFonts w:ascii="宋体" w:hAnsi="宋体" w:eastAsia="宋体" w:cs="宋体"/>
                <w:b w:val="0"/>
                <w:bCs w:val="0"/>
                <w:color w:val="000000"/>
                <w:sz w:val="16"/>
                <w:szCs w:val="16"/>
              </w:rPr>
              <w:t>复用统一知识检索</w:t>
            </w:r>
          </w:p>
        </w:tc>
        <w:tc>
          <w:tcPr>
            <w:tcW w:w="950" w:type="dxa"/>
            <w:shd w:val="clear" w:color="auto" w:fill="FFFFFF"/>
            <w:vAlign w:val="center"/>
          </w:tcPr>
          <w:p w14:paraId="36B029A1">
            <w:pPr>
              <w:spacing w:before="0" w:after="0" w:line="240" w:lineRule="auto"/>
              <w:ind w:left="0" w:right="0" w:firstLine="0" w:firstLineChars="0"/>
              <w:jc w:val="center"/>
            </w:pPr>
            <w:r>
              <w:rPr>
                <w:rFonts w:ascii="宋体" w:hAnsi="宋体" w:eastAsia="宋体" w:cs="宋体"/>
                <w:b w:val="0"/>
                <w:bCs w:val="0"/>
                <w:color w:val="000000"/>
                <w:sz w:val="16"/>
                <w:szCs w:val="16"/>
              </w:rPr>
              <w:t>知识库引擎</w:t>
            </w:r>
          </w:p>
        </w:tc>
        <w:tc>
          <w:tcPr>
            <w:tcW w:w="1350" w:type="dxa"/>
            <w:shd w:val="clear" w:color="auto" w:fill="FFFFFF"/>
            <w:vAlign w:val="center"/>
          </w:tcPr>
          <w:p w14:paraId="6577C00D">
            <w:pPr>
              <w:spacing w:before="0" w:after="0" w:line="240" w:lineRule="auto"/>
              <w:ind w:left="0" w:right="0" w:firstLine="0" w:firstLineChars="0"/>
              <w:jc w:val="left"/>
            </w:pPr>
            <w:r>
              <w:rPr>
                <w:rFonts w:ascii="宋体" w:hAnsi="宋体" w:eastAsia="宋体" w:cs="宋体"/>
                <w:b w:val="0"/>
                <w:bCs w:val="0"/>
                <w:color w:val="000000"/>
                <w:sz w:val="16"/>
                <w:szCs w:val="16"/>
              </w:rPr>
              <w:t>输入：问题</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输出：候选片段或未命中</w:t>
            </w:r>
          </w:p>
        </w:tc>
        <w:tc>
          <w:tcPr>
            <w:tcW w:w="2000" w:type="dxa"/>
            <w:shd w:val="clear" w:color="auto" w:fill="FFFFFF"/>
            <w:vAlign w:val="center"/>
          </w:tcPr>
          <w:p w14:paraId="32F63719">
            <w:pPr>
              <w:spacing w:before="0" w:after="0" w:line="240" w:lineRule="auto"/>
              <w:ind w:left="0" w:right="0" w:firstLine="0" w:firstLineChars="0"/>
              <w:jc w:val="left"/>
            </w:pPr>
            <w:r>
              <w:rPr>
                <w:rFonts w:ascii="宋体" w:hAnsi="宋体" w:eastAsia="宋体" w:cs="宋体"/>
                <w:b w:val="0"/>
                <w:bCs w:val="0"/>
                <w:color w:val="000000"/>
                <w:sz w:val="16"/>
                <w:szCs w:val="16"/>
              </w:rPr>
              <w:t>复用统一问答与检索链路，检索企业介绍、参观须知、通用制度、入职指引等已入库材料。</w:t>
            </w:r>
          </w:p>
        </w:tc>
        <w:tc>
          <w:tcPr>
            <w:tcW w:w="1072" w:type="dxa"/>
            <w:shd w:val="clear" w:color="auto" w:fill="FFFFFF"/>
            <w:vAlign w:val="center"/>
          </w:tcPr>
          <w:p w14:paraId="456CFFC3">
            <w:pPr>
              <w:spacing w:before="0" w:after="0" w:line="240" w:lineRule="auto"/>
              <w:ind w:left="0" w:right="0" w:firstLine="0" w:firstLineChars="0"/>
              <w:jc w:val="left"/>
            </w:pPr>
            <w:r>
              <w:rPr>
                <w:rFonts w:ascii="宋体" w:hAnsi="宋体" w:eastAsia="宋体" w:cs="宋体"/>
                <w:b w:val="0"/>
                <w:bCs w:val="0"/>
                <w:color w:val="000000"/>
                <w:sz w:val="16"/>
                <w:szCs w:val="16"/>
              </w:rPr>
              <w:t>知识命中→03；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检索未命中→06</w:t>
            </w:r>
          </w:p>
        </w:tc>
        <w:tc>
          <w:tcPr>
            <w:tcW w:w="2000" w:type="dxa"/>
            <w:shd w:val="clear" w:color="auto" w:fill="FFFFFF"/>
            <w:vAlign w:val="center"/>
          </w:tcPr>
          <w:p w14:paraId="38861958">
            <w:pPr>
              <w:spacing w:before="0" w:after="0" w:line="240" w:lineRule="auto"/>
              <w:ind w:left="0" w:right="0" w:firstLine="0" w:firstLineChars="0"/>
              <w:jc w:val="left"/>
            </w:pPr>
            <w:r>
              <w:rPr>
                <w:rFonts w:ascii="宋体" w:hAnsi="宋体" w:eastAsia="宋体" w:cs="宋体"/>
                <w:b w:val="0"/>
                <w:bCs w:val="0"/>
                <w:color w:val="000000"/>
                <w:sz w:val="16"/>
                <w:szCs w:val="16"/>
              </w:rPr>
              <w:t>P-ZLTC-AI-FKZSWD-116-01-001</w:t>
            </w:r>
          </w:p>
        </w:tc>
      </w:tr>
      <w:tr w14:paraId="15D08766">
        <w:trPr>
          <w:cantSplit/>
          <w:jc w:val="center"/>
        </w:trPr>
        <w:tc>
          <w:tcPr>
            <w:tcW w:w="650" w:type="dxa"/>
            <w:shd w:val="clear" w:color="auto" w:fill="FFFFFF"/>
            <w:vAlign w:val="center"/>
          </w:tcPr>
          <w:p w14:paraId="01D8DC19">
            <w:pPr>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65E95AAE">
            <w:pPr>
              <w:spacing w:before="0" w:after="0" w:line="240" w:lineRule="auto"/>
              <w:ind w:left="0" w:right="0" w:firstLine="0" w:firstLineChars="0"/>
              <w:jc w:val="center"/>
            </w:pPr>
            <w:r>
              <w:rPr>
                <w:rFonts w:ascii="宋体" w:hAnsi="宋体" w:eastAsia="宋体" w:cs="宋体"/>
                <w:b w:val="0"/>
                <w:bCs w:val="0"/>
                <w:color w:val="000000"/>
                <w:sz w:val="16"/>
                <w:szCs w:val="16"/>
              </w:rPr>
              <w:t>过滤公开级可见片段</w:t>
            </w:r>
          </w:p>
        </w:tc>
        <w:tc>
          <w:tcPr>
            <w:tcW w:w="950" w:type="dxa"/>
            <w:shd w:val="clear" w:color="auto" w:fill="FFFFFF"/>
            <w:vAlign w:val="center"/>
          </w:tcPr>
          <w:p w14:paraId="308073DD">
            <w:pPr>
              <w:spacing w:before="0" w:after="0" w:line="240" w:lineRule="auto"/>
              <w:ind w:left="0" w:right="0" w:firstLine="0" w:firstLineChars="0"/>
              <w:jc w:val="center"/>
            </w:pPr>
            <w:r>
              <w:rPr>
                <w:rFonts w:ascii="宋体" w:hAnsi="宋体" w:eastAsia="宋体" w:cs="宋体"/>
                <w:b w:val="0"/>
                <w:bCs w:val="0"/>
                <w:color w:val="000000"/>
                <w:sz w:val="16"/>
                <w:szCs w:val="16"/>
              </w:rPr>
              <w:t>知识库引擎</w:t>
            </w:r>
          </w:p>
        </w:tc>
        <w:tc>
          <w:tcPr>
            <w:tcW w:w="1350" w:type="dxa"/>
            <w:shd w:val="clear" w:color="auto" w:fill="FFFFFF"/>
            <w:vAlign w:val="center"/>
          </w:tcPr>
          <w:p w14:paraId="1B0BE96D">
            <w:pPr>
              <w:spacing w:before="0" w:after="0" w:line="240" w:lineRule="auto"/>
              <w:ind w:left="0" w:right="0" w:firstLine="0" w:firstLineChars="0"/>
              <w:jc w:val="left"/>
            </w:pPr>
            <w:r>
              <w:rPr>
                <w:rFonts w:ascii="宋体" w:hAnsi="宋体" w:eastAsia="宋体" w:cs="宋体"/>
                <w:b w:val="0"/>
                <w:bCs w:val="0"/>
                <w:color w:val="000000"/>
                <w:sz w:val="16"/>
                <w:szCs w:val="16"/>
              </w:rPr>
              <w:t>输入：候选片段、密级及角色</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输出：公开可见片段</w:t>
            </w:r>
          </w:p>
        </w:tc>
        <w:tc>
          <w:tcPr>
            <w:tcW w:w="2000" w:type="dxa"/>
            <w:shd w:val="clear" w:color="auto" w:fill="FFFFFF"/>
            <w:vAlign w:val="center"/>
          </w:tcPr>
          <w:p w14:paraId="776E11CB">
            <w:pPr>
              <w:spacing w:before="0" w:after="0" w:line="240" w:lineRule="auto"/>
              <w:ind w:left="0" w:right="0" w:firstLine="0" w:firstLineChars="0"/>
              <w:jc w:val="left"/>
            </w:pPr>
            <w:r>
              <w:rPr>
                <w:rFonts w:ascii="宋体" w:hAnsi="宋体" w:eastAsia="宋体" w:cs="宋体"/>
                <w:b w:val="0"/>
                <w:bCs w:val="0"/>
                <w:color w:val="000000"/>
                <w:sz w:val="16"/>
                <w:szCs w:val="16"/>
              </w:rPr>
              <w:t>按公开级范围及角色过滤，涉密内容不进入回答生成。</w:t>
            </w:r>
          </w:p>
        </w:tc>
        <w:tc>
          <w:tcPr>
            <w:tcW w:w="1072" w:type="dxa"/>
            <w:shd w:val="clear" w:color="auto" w:fill="FFFFFF"/>
            <w:vAlign w:val="center"/>
          </w:tcPr>
          <w:p w14:paraId="14D11C38">
            <w:pPr>
              <w:spacing w:before="0" w:after="0" w:line="240" w:lineRule="auto"/>
              <w:ind w:left="0" w:right="0" w:firstLine="0" w:firstLineChars="0"/>
              <w:jc w:val="left"/>
            </w:pPr>
            <w:r>
              <w:rPr>
                <w:rFonts w:ascii="宋体" w:hAnsi="宋体" w:eastAsia="宋体" w:cs="宋体"/>
                <w:b w:val="0"/>
                <w:bCs w:val="0"/>
                <w:color w:val="000000"/>
                <w:sz w:val="16"/>
                <w:szCs w:val="16"/>
              </w:rPr>
              <w:t>公开可见→04；</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权限不足→05</w:t>
            </w:r>
          </w:p>
        </w:tc>
        <w:tc>
          <w:tcPr>
            <w:tcW w:w="2000" w:type="dxa"/>
            <w:shd w:val="clear" w:color="auto" w:fill="FFFFFF"/>
            <w:vAlign w:val="center"/>
          </w:tcPr>
          <w:p w14:paraId="3B447934">
            <w:pPr>
              <w:spacing w:before="0" w:after="0" w:line="240" w:lineRule="auto"/>
              <w:ind w:left="0" w:right="0" w:firstLine="0" w:firstLineChars="0"/>
              <w:jc w:val="left"/>
            </w:pPr>
            <w:r>
              <w:rPr>
                <w:rFonts w:ascii="宋体" w:hAnsi="宋体" w:eastAsia="宋体" w:cs="宋体"/>
                <w:b w:val="0"/>
                <w:bCs w:val="0"/>
                <w:color w:val="000000"/>
                <w:sz w:val="16"/>
                <w:szCs w:val="16"/>
              </w:rPr>
              <w:t>P-ZLTC-AI-FKZSWD-116-01-001</w:t>
            </w:r>
          </w:p>
        </w:tc>
      </w:tr>
      <w:tr w14:paraId="0C82D016">
        <w:trPr>
          <w:cantSplit/>
          <w:jc w:val="center"/>
        </w:trPr>
        <w:tc>
          <w:tcPr>
            <w:tcW w:w="650" w:type="dxa"/>
            <w:shd w:val="clear" w:color="auto" w:fill="FFFFFF"/>
            <w:vAlign w:val="center"/>
          </w:tcPr>
          <w:p w14:paraId="7EFBB42B">
            <w:pPr>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55A9FC0C">
            <w:pPr>
              <w:spacing w:before="0" w:after="0" w:line="240" w:lineRule="auto"/>
              <w:ind w:left="0" w:right="0" w:firstLine="0" w:firstLineChars="0"/>
              <w:jc w:val="center"/>
            </w:pPr>
            <w:r>
              <w:rPr>
                <w:rFonts w:ascii="宋体" w:hAnsi="宋体" w:eastAsia="宋体" w:cs="宋体"/>
                <w:b w:val="0"/>
                <w:bCs w:val="0"/>
                <w:color w:val="000000"/>
                <w:sz w:val="16"/>
                <w:szCs w:val="16"/>
              </w:rPr>
              <w:t>生成带来源的公开回答</w:t>
            </w:r>
          </w:p>
        </w:tc>
        <w:tc>
          <w:tcPr>
            <w:tcW w:w="950" w:type="dxa"/>
            <w:shd w:val="clear" w:color="auto" w:fill="FFFFFF"/>
            <w:vAlign w:val="center"/>
          </w:tcPr>
          <w:p w14:paraId="692615F3">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25D751BC">
            <w:pPr>
              <w:spacing w:before="0" w:after="0" w:line="240" w:lineRule="auto"/>
              <w:ind w:left="0" w:right="0" w:firstLine="0" w:firstLineChars="0"/>
              <w:jc w:val="left"/>
            </w:pPr>
            <w:r>
              <w:rPr>
                <w:rFonts w:ascii="宋体" w:hAnsi="宋体" w:eastAsia="宋体" w:cs="宋体"/>
                <w:b w:val="0"/>
                <w:bCs w:val="0"/>
                <w:color w:val="000000"/>
                <w:sz w:val="16"/>
                <w:szCs w:val="16"/>
              </w:rPr>
              <w:t>输入：公开片段</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输出：带文件出处的回答</w:t>
            </w:r>
          </w:p>
        </w:tc>
        <w:tc>
          <w:tcPr>
            <w:tcW w:w="2000" w:type="dxa"/>
            <w:shd w:val="clear" w:color="auto" w:fill="FFFFFF"/>
            <w:vAlign w:val="center"/>
          </w:tcPr>
          <w:p w14:paraId="47EA9F80">
            <w:pPr>
              <w:spacing w:before="0" w:after="0" w:line="240" w:lineRule="auto"/>
              <w:ind w:left="0" w:right="0" w:firstLine="0" w:firstLineChars="0"/>
              <w:jc w:val="left"/>
            </w:pPr>
            <w:r>
              <w:rPr>
                <w:rFonts w:ascii="宋体" w:hAnsi="宋体" w:eastAsia="宋体" w:cs="宋体"/>
                <w:b w:val="0"/>
                <w:bCs w:val="0"/>
                <w:color w:val="000000"/>
                <w:sz w:val="16"/>
                <w:szCs w:val="16"/>
              </w:rPr>
              <w:t>回答制度流程、岗位工作步骤、所需材料等公开知识，附文件名及条款位置。</w:t>
            </w:r>
          </w:p>
        </w:tc>
        <w:tc>
          <w:tcPr>
            <w:tcW w:w="1072" w:type="dxa"/>
            <w:shd w:val="clear" w:color="auto" w:fill="FFFFFF"/>
            <w:vAlign w:val="center"/>
          </w:tcPr>
          <w:p w14:paraId="716550A9">
            <w:pPr>
              <w:spacing w:before="0" w:after="0" w:line="240" w:lineRule="auto"/>
              <w:ind w:left="0" w:right="0" w:firstLine="0" w:firstLineChars="0"/>
              <w:jc w:val="left"/>
            </w:pPr>
            <w:r>
              <w:rPr>
                <w:rFonts w:ascii="宋体" w:hAnsi="宋体" w:eastAsia="宋体" w:cs="宋体"/>
                <w:b w:val="0"/>
                <w:bCs w:val="0"/>
                <w:color w:val="000000"/>
                <w:sz w:val="16"/>
                <w:szCs w:val="16"/>
              </w:rPr>
              <w:t>→08</w:t>
            </w:r>
          </w:p>
        </w:tc>
        <w:tc>
          <w:tcPr>
            <w:tcW w:w="2000" w:type="dxa"/>
            <w:shd w:val="clear" w:color="auto" w:fill="FFFFFF"/>
            <w:vAlign w:val="center"/>
          </w:tcPr>
          <w:p w14:paraId="44504A19">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P-ZLTC-AI-FKZSWD-116-01-001</w:t>
            </w:r>
          </w:p>
        </w:tc>
      </w:tr>
      <w:tr w14:paraId="6AC9747F">
        <w:trPr>
          <w:cantSplit/>
          <w:jc w:val="center"/>
        </w:trPr>
        <w:tc>
          <w:tcPr>
            <w:tcW w:w="650" w:type="dxa"/>
            <w:shd w:val="clear" w:color="auto" w:fill="FFFFFF"/>
            <w:vAlign w:val="center"/>
          </w:tcPr>
          <w:p w14:paraId="56CBCBFD">
            <w:pPr>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14D4ADBD">
            <w:pPr>
              <w:spacing w:before="0" w:after="0" w:line="240" w:lineRule="auto"/>
              <w:ind w:left="0" w:right="0" w:firstLine="0" w:firstLineChars="0"/>
              <w:jc w:val="center"/>
            </w:pPr>
            <w:r>
              <w:rPr>
                <w:rFonts w:ascii="宋体" w:hAnsi="宋体" w:eastAsia="宋体" w:cs="宋体"/>
                <w:b w:val="0"/>
                <w:bCs w:val="0"/>
                <w:color w:val="000000"/>
                <w:sz w:val="16"/>
                <w:szCs w:val="16"/>
              </w:rPr>
              <w:t>说明权限并保护信息</w:t>
            </w:r>
          </w:p>
        </w:tc>
        <w:tc>
          <w:tcPr>
            <w:tcW w:w="950" w:type="dxa"/>
            <w:shd w:val="clear" w:color="auto" w:fill="FFFFFF"/>
            <w:vAlign w:val="center"/>
          </w:tcPr>
          <w:p w14:paraId="3F3EBDBA">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041EC923">
            <w:pPr>
              <w:spacing w:before="0" w:after="0" w:line="240" w:lineRule="auto"/>
              <w:ind w:left="0" w:right="0" w:firstLine="0" w:firstLineChars="0"/>
              <w:jc w:val="left"/>
            </w:pPr>
            <w:r>
              <w:rPr>
                <w:rFonts w:ascii="宋体" w:hAnsi="宋体" w:eastAsia="宋体" w:cs="宋体"/>
                <w:b w:val="0"/>
                <w:bCs w:val="0"/>
                <w:color w:val="000000"/>
                <w:sz w:val="16"/>
                <w:szCs w:val="16"/>
              </w:rPr>
              <w:t>输入：涉密或无权限状态</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输出：拒答</w:t>
            </w:r>
          </w:p>
        </w:tc>
        <w:tc>
          <w:tcPr>
            <w:tcW w:w="2000" w:type="dxa"/>
            <w:shd w:val="clear" w:color="auto" w:fill="FFFFFF"/>
            <w:vAlign w:val="center"/>
          </w:tcPr>
          <w:p w14:paraId="5B804577">
            <w:pPr>
              <w:spacing w:before="0" w:after="0" w:line="240" w:lineRule="auto"/>
              <w:ind w:left="0" w:right="0" w:firstLine="0" w:firstLineChars="0"/>
              <w:jc w:val="left"/>
            </w:pPr>
            <w:r>
              <w:rPr>
                <w:rFonts w:ascii="宋体" w:hAnsi="宋体" w:eastAsia="宋体" w:cs="宋体"/>
                <w:b w:val="0"/>
                <w:bCs w:val="0"/>
                <w:color w:val="000000"/>
                <w:sz w:val="16"/>
                <w:szCs w:val="16"/>
              </w:rPr>
              <w:t>说明当前问题的权限状态，保持受限文档及内部资产信息受控；权限过滤结果单独记录，与知识检索缺口区分。</w:t>
            </w:r>
          </w:p>
        </w:tc>
        <w:tc>
          <w:tcPr>
            <w:tcW w:w="1072" w:type="dxa"/>
            <w:shd w:val="clear" w:color="auto" w:fill="FFFFFF"/>
            <w:vAlign w:val="center"/>
          </w:tcPr>
          <w:p w14:paraId="612BC649">
            <w:pPr>
              <w:spacing w:before="0" w:after="0" w:line="240" w:lineRule="auto"/>
              <w:ind w:left="0" w:right="0" w:firstLine="0" w:firstLineChars="0"/>
              <w:jc w:val="left"/>
            </w:pPr>
            <w:r>
              <w:rPr>
                <w:rFonts w:ascii="宋体" w:hAnsi="宋体" w:eastAsia="宋体" w:cs="宋体"/>
                <w:b w:val="0"/>
                <w:bCs w:val="0"/>
                <w:color w:val="000000"/>
                <w:sz w:val="16"/>
                <w:szCs w:val="16"/>
              </w:rPr>
              <w:t>→08</w:t>
            </w:r>
          </w:p>
        </w:tc>
        <w:tc>
          <w:tcPr>
            <w:tcW w:w="2000" w:type="dxa"/>
            <w:shd w:val="clear" w:color="auto" w:fill="FFFFFF"/>
            <w:vAlign w:val="center"/>
          </w:tcPr>
          <w:p w14:paraId="78BF96F7">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p>
        </w:tc>
      </w:tr>
      <w:tr w14:paraId="0C686107">
        <w:trPr>
          <w:cantSplit/>
          <w:jc w:val="center"/>
        </w:trPr>
        <w:tc>
          <w:tcPr>
            <w:tcW w:w="650" w:type="dxa"/>
            <w:shd w:val="clear" w:color="auto" w:fill="FFFFFF"/>
            <w:vAlign w:val="center"/>
          </w:tcPr>
          <w:p w14:paraId="347169D5">
            <w:pPr>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3E912863">
            <w:pPr>
              <w:spacing w:before="0" w:after="0" w:line="240" w:lineRule="auto"/>
              <w:ind w:left="0" w:right="0" w:firstLine="0" w:firstLineChars="0"/>
              <w:jc w:val="center"/>
            </w:pPr>
            <w:r>
              <w:rPr>
                <w:rFonts w:ascii="宋体" w:hAnsi="宋体" w:eastAsia="宋体" w:cs="宋体"/>
                <w:b w:val="0"/>
                <w:bCs w:val="0"/>
                <w:color w:val="000000"/>
                <w:sz w:val="16"/>
                <w:szCs w:val="16"/>
              </w:rPr>
              <w:t>静默记录知识缺口</w:t>
            </w:r>
          </w:p>
        </w:tc>
        <w:tc>
          <w:tcPr>
            <w:tcW w:w="950" w:type="dxa"/>
            <w:shd w:val="clear" w:color="auto" w:fill="FFFFFF"/>
            <w:vAlign w:val="center"/>
          </w:tcPr>
          <w:p w14:paraId="22666CD9">
            <w:pPr>
              <w:spacing w:before="0" w:after="0" w:line="240" w:lineRule="auto"/>
              <w:ind w:left="0" w:right="0" w:firstLine="0" w:firstLineChars="0"/>
              <w:jc w:val="center"/>
            </w:pPr>
            <w:r>
              <w:rPr>
                <w:rFonts w:ascii="宋体" w:hAnsi="宋体" w:eastAsia="宋体" w:cs="宋体"/>
                <w:b w:val="0"/>
                <w:bCs w:val="0"/>
                <w:color w:val="000000"/>
                <w:sz w:val="16"/>
                <w:szCs w:val="16"/>
              </w:rPr>
              <w:t>知识库引擎</w:t>
            </w:r>
          </w:p>
        </w:tc>
        <w:tc>
          <w:tcPr>
            <w:tcW w:w="1350" w:type="dxa"/>
            <w:shd w:val="clear" w:color="auto" w:fill="FFFFFF"/>
            <w:vAlign w:val="center"/>
          </w:tcPr>
          <w:p w14:paraId="6B91E483">
            <w:pPr>
              <w:spacing w:before="0" w:after="0" w:line="240" w:lineRule="auto"/>
              <w:ind w:left="0" w:right="0" w:firstLine="0" w:firstLineChars="0"/>
              <w:jc w:val="left"/>
            </w:pPr>
            <w:r>
              <w:rPr>
                <w:rFonts w:ascii="宋体" w:hAnsi="宋体" w:eastAsia="宋体" w:cs="宋体"/>
                <w:b w:val="0"/>
                <w:bCs w:val="0"/>
                <w:color w:val="000000"/>
                <w:sz w:val="16"/>
                <w:szCs w:val="16"/>
              </w:rPr>
              <w:t>输入：未命中原话及检索证据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输出：知识缺口线索</w:t>
            </w:r>
          </w:p>
        </w:tc>
        <w:tc>
          <w:tcPr>
            <w:tcW w:w="2000" w:type="dxa"/>
            <w:shd w:val="clear" w:color="auto" w:fill="FFFFFF"/>
            <w:vAlign w:val="center"/>
          </w:tcPr>
          <w:p w14:paraId="7C010985">
            <w:pPr>
              <w:spacing w:before="0" w:after="0" w:line="240" w:lineRule="auto"/>
              <w:ind w:left="0" w:right="0" w:firstLine="0" w:firstLineChars="0"/>
              <w:jc w:val="left"/>
            </w:pPr>
            <w:r>
              <w:rPr>
                <w:rFonts w:ascii="宋体" w:hAnsi="宋体" w:eastAsia="宋体" w:cs="宋体"/>
                <w:b w:val="0"/>
                <w:bCs w:val="0"/>
                <w:color w:val="000000"/>
                <w:sz w:val="16"/>
                <w:szCs w:val="16"/>
              </w:rPr>
              <w:t>记录未命中原话、检索证据和提出人，向访客说明暂无相应答案；缺口线索汇入知识工作台，由维护人员后续处理。</w:t>
            </w:r>
          </w:p>
        </w:tc>
        <w:tc>
          <w:tcPr>
            <w:tcW w:w="1072" w:type="dxa"/>
            <w:shd w:val="clear" w:color="auto" w:fill="FFFFFF"/>
            <w:vAlign w:val="center"/>
          </w:tcPr>
          <w:p w14:paraId="09CEB22A">
            <w:pPr>
              <w:spacing w:before="0" w:after="0" w:line="240" w:lineRule="auto"/>
              <w:ind w:left="0" w:right="0" w:firstLine="0" w:firstLineChars="0"/>
              <w:jc w:val="left"/>
            </w:pPr>
            <w:r>
              <w:rPr>
                <w:rFonts w:ascii="宋体" w:hAnsi="宋体" w:eastAsia="宋体" w:cs="宋体"/>
                <w:b w:val="0"/>
                <w:bCs w:val="0"/>
                <w:color w:val="000000"/>
                <w:sz w:val="16"/>
                <w:szCs w:val="16"/>
              </w:rPr>
              <w:t>提示暂无答案→08；</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汇入知识缺口→07</w:t>
            </w:r>
          </w:p>
        </w:tc>
        <w:tc>
          <w:tcPr>
            <w:tcW w:w="2000" w:type="dxa"/>
            <w:shd w:val="clear" w:color="auto" w:fill="FFFFFF"/>
            <w:vAlign w:val="center"/>
          </w:tcPr>
          <w:p w14:paraId="0988010B">
            <w:pPr>
              <w:spacing w:before="0" w:after="0" w:line="240" w:lineRule="auto"/>
              <w:ind w:left="0" w:right="0" w:firstLine="0" w:firstLineChars="0"/>
              <w:jc w:val="left"/>
            </w:pPr>
            <w:r>
              <w:rPr>
                <w:rFonts w:ascii="宋体" w:hAnsi="宋体" w:eastAsia="宋体" w:cs="宋体"/>
                <w:b w:val="0"/>
                <w:bCs w:val="0"/>
                <w:color w:val="000000"/>
                <w:sz w:val="16"/>
                <w:szCs w:val="16"/>
              </w:rPr>
              <w:t>P-ZLTC-AI-ZNWS-101-06-001</w:t>
            </w:r>
          </w:p>
        </w:tc>
      </w:tr>
      <w:tr w14:paraId="68EA17DD">
        <w:trPr>
          <w:cantSplit/>
          <w:jc w:val="center"/>
        </w:trPr>
        <w:tc>
          <w:tcPr>
            <w:tcW w:w="650" w:type="dxa"/>
            <w:shd w:val="clear" w:color="auto" w:fill="FFFFFF"/>
            <w:vAlign w:val="center"/>
          </w:tcPr>
          <w:p w14:paraId="4D696E84">
            <w:pPr>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46711B43">
            <w:pPr>
              <w:spacing w:before="0" w:after="0" w:line="240" w:lineRule="auto"/>
              <w:ind w:left="0" w:right="0" w:firstLine="0" w:firstLineChars="0"/>
              <w:jc w:val="center"/>
            </w:pPr>
            <w:r>
              <w:rPr>
                <w:rFonts w:ascii="宋体" w:hAnsi="宋体" w:eastAsia="宋体" w:cs="宋体"/>
                <w:b w:val="0"/>
                <w:bCs w:val="0"/>
                <w:color w:val="000000"/>
                <w:sz w:val="16"/>
                <w:szCs w:val="16"/>
              </w:rPr>
              <w:t>审核补充并回归</w:t>
            </w:r>
          </w:p>
        </w:tc>
        <w:tc>
          <w:tcPr>
            <w:tcW w:w="950" w:type="dxa"/>
            <w:shd w:val="clear" w:color="auto" w:fill="FFFFFF"/>
            <w:vAlign w:val="center"/>
          </w:tcPr>
          <w:p w14:paraId="3EDCAAF2">
            <w:pPr>
              <w:spacing w:before="0" w:after="0" w:line="240" w:lineRule="auto"/>
              <w:ind w:left="0" w:right="0" w:firstLine="0" w:firstLineChars="0"/>
              <w:jc w:val="center"/>
            </w:pPr>
            <w:r>
              <w:rPr>
                <w:rFonts w:ascii="宋体" w:hAnsi="宋体" w:eastAsia="宋体" w:cs="宋体"/>
                <w:b w:val="0"/>
                <w:bCs w:val="0"/>
                <w:color w:val="000000"/>
                <w:sz w:val="16"/>
                <w:szCs w:val="16"/>
              </w:rPr>
              <w:t>知识工作台</w:t>
            </w:r>
          </w:p>
        </w:tc>
        <w:tc>
          <w:tcPr>
            <w:tcW w:w="1350" w:type="dxa"/>
            <w:shd w:val="clear" w:color="auto" w:fill="FFFFFF"/>
            <w:vAlign w:val="center"/>
          </w:tcPr>
          <w:p w14:paraId="28C3C87A">
            <w:pPr>
              <w:spacing w:before="0" w:after="0" w:line="240" w:lineRule="auto"/>
              <w:ind w:left="0" w:right="0" w:firstLine="0" w:firstLineChars="0"/>
              <w:jc w:val="left"/>
            </w:pPr>
            <w:r>
              <w:rPr>
                <w:rFonts w:ascii="宋体" w:hAnsi="宋体" w:eastAsia="宋体" w:cs="宋体"/>
                <w:b w:val="0"/>
                <w:bCs w:val="0"/>
                <w:color w:val="000000"/>
                <w:sz w:val="16"/>
                <w:szCs w:val="16"/>
              </w:rPr>
              <w:t>输入：静默缺口线索</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输出：审核后的知识与验证结果</w:t>
            </w:r>
          </w:p>
        </w:tc>
        <w:tc>
          <w:tcPr>
            <w:tcW w:w="2000" w:type="dxa"/>
            <w:shd w:val="clear" w:color="auto" w:fill="FFFFFF"/>
            <w:vAlign w:val="center"/>
          </w:tcPr>
          <w:p w14:paraId="4581A0BF">
            <w:pPr>
              <w:spacing w:before="0" w:after="0" w:line="240" w:lineRule="auto"/>
              <w:ind w:left="0" w:right="0" w:firstLine="0" w:firstLineChars="0"/>
              <w:jc w:val="left"/>
            </w:pPr>
            <w:r>
              <w:rPr>
                <w:rFonts w:ascii="宋体" w:hAnsi="宋体" w:eastAsia="宋体" w:cs="宋体"/>
                <w:b w:val="0"/>
                <w:bCs w:val="0"/>
                <w:color w:val="000000"/>
                <w:sz w:val="16"/>
                <w:szCs w:val="16"/>
              </w:rPr>
              <w:t>维护人员聚类核实缺口并补充公开文档，按5.5.4及6.7完成审核、关联场景回归和发布；补齐后关联原问题并按规则通知原提问人。</w:t>
            </w:r>
          </w:p>
        </w:tc>
        <w:tc>
          <w:tcPr>
            <w:tcW w:w="1072" w:type="dxa"/>
            <w:shd w:val="clear" w:color="auto" w:fill="FFFFFF"/>
            <w:vAlign w:val="center"/>
          </w:tcPr>
          <w:p w14:paraId="4FBC9272">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48B2435A">
            <w:pPr>
              <w:spacing w:before="0" w:after="0" w:line="240" w:lineRule="auto"/>
              <w:ind w:left="0" w:right="0" w:firstLine="0" w:firstLineChars="0"/>
              <w:jc w:val="left"/>
            </w:pPr>
            <w:r>
              <w:rPr>
                <w:rFonts w:ascii="宋体" w:hAnsi="宋体" w:eastAsia="宋体" w:cs="宋体"/>
                <w:b w:val="0"/>
                <w:bCs w:val="0"/>
                <w:color w:val="000000"/>
                <w:sz w:val="16"/>
                <w:szCs w:val="16"/>
              </w:rPr>
              <w:t>P-ZLTC-AI-FKZSWD-116-01-001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P-ZLTC-AI-WLPHGY-102-14-001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P-ZLTC-AI-FKZSWD-116-07-001</w:t>
            </w:r>
          </w:p>
        </w:tc>
      </w:tr>
      <w:tr w14:paraId="5DA02693">
        <w:trPr>
          <w:cantSplit/>
          <w:jc w:val="center"/>
        </w:trPr>
        <w:tc>
          <w:tcPr>
            <w:tcW w:w="650" w:type="dxa"/>
            <w:shd w:val="clear" w:color="auto" w:fill="FFFFFF"/>
            <w:vAlign w:val="center"/>
          </w:tcPr>
          <w:p w14:paraId="529D5EC5">
            <w:pPr>
              <w:spacing w:before="0" w:after="0" w:line="240" w:lineRule="auto"/>
              <w:ind w:left="0" w:right="0" w:firstLine="0" w:firstLineChars="0"/>
              <w:jc w:val="center"/>
            </w:pPr>
            <w:r>
              <w:rPr>
                <w:rFonts w:ascii="宋体" w:hAnsi="宋体" w:eastAsia="宋体" w:cs="宋体"/>
                <w:b w:val="0"/>
                <w:bCs w:val="0"/>
                <w:color w:val="000000"/>
                <w:sz w:val="16"/>
                <w:szCs w:val="16"/>
              </w:rPr>
              <w:t>08</w:t>
            </w:r>
          </w:p>
        </w:tc>
        <w:tc>
          <w:tcPr>
            <w:tcW w:w="1050" w:type="dxa"/>
            <w:shd w:val="clear" w:color="auto" w:fill="FFFFFF"/>
            <w:vAlign w:val="center"/>
          </w:tcPr>
          <w:p w14:paraId="59B73559">
            <w:pPr>
              <w:spacing w:before="0" w:after="0" w:line="240" w:lineRule="auto"/>
              <w:ind w:left="0" w:right="0" w:firstLine="0" w:firstLineChars="0"/>
              <w:jc w:val="center"/>
            </w:pPr>
            <w:r>
              <w:rPr>
                <w:rFonts w:ascii="宋体" w:hAnsi="宋体" w:eastAsia="宋体" w:cs="宋体"/>
                <w:b w:val="0"/>
                <w:bCs w:val="0"/>
                <w:color w:val="000000"/>
                <w:sz w:val="16"/>
                <w:szCs w:val="16"/>
              </w:rPr>
              <w:t>执行输出侧内容过滤</w:t>
            </w:r>
          </w:p>
        </w:tc>
        <w:tc>
          <w:tcPr>
            <w:tcW w:w="950" w:type="dxa"/>
            <w:shd w:val="clear" w:color="auto" w:fill="FFFFFF"/>
            <w:vAlign w:val="center"/>
          </w:tcPr>
          <w:p w14:paraId="2F2237F4">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59197A75">
            <w:pPr>
              <w:spacing w:before="0" w:after="0" w:line="240" w:lineRule="auto"/>
              <w:ind w:left="0" w:right="0" w:firstLine="0" w:firstLineChars="0"/>
              <w:jc w:val="left"/>
            </w:pPr>
            <w:r>
              <w:rPr>
                <w:rFonts w:ascii="宋体" w:hAnsi="宋体" w:eastAsia="宋体" w:cs="宋体"/>
                <w:b w:val="0"/>
                <w:bCs w:val="0"/>
                <w:color w:val="000000"/>
                <w:sz w:val="16"/>
                <w:szCs w:val="16"/>
              </w:rPr>
              <w:t>输入：公开回答或拒答说明</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输出：安全过滤后的内容</w:t>
            </w:r>
          </w:p>
        </w:tc>
        <w:tc>
          <w:tcPr>
            <w:tcW w:w="2000" w:type="dxa"/>
            <w:shd w:val="clear" w:color="auto" w:fill="FFFFFF"/>
            <w:vAlign w:val="center"/>
          </w:tcPr>
          <w:p w14:paraId="10F57E39">
            <w:pPr>
              <w:spacing w:before="0" w:after="0" w:line="240" w:lineRule="auto"/>
              <w:ind w:left="0" w:right="0" w:firstLine="0" w:firstLineChars="0"/>
              <w:jc w:val="left"/>
            </w:pPr>
            <w:r>
              <w:rPr>
                <w:rFonts w:ascii="宋体" w:hAnsi="宋体" w:eastAsia="宋体" w:cs="宋体"/>
                <w:b w:val="0"/>
                <w:bCs w:val="0"/>
                <w:color w:val="000000"/>
                <w:sz w:val="16"/>
                <w:szCs w:val="16"/>
              </w:rPr>
              <w:t>对面向访客的公开回答及状态说明执行内容过滤，核对公开范围、引用内容和受限信息保护要求。</w:t>
            </w:r>
          </w:p>
        </w:tc>
        <w:tc>
          <w:tcPr>
            <w:tcW w:w="1072" w:type="dxa"/>
            <w:shd w:val="clear" w:color="auto" w:fill="FFFFFF"/>
            <w:vAlign w:val="center"/>
          </w:tcPr>
          <w:p w14:paraId="79988053">
            <w:pPr>
              <w:spacing w:before="0" w:after="0" w:line="240" w:lineRule="auto"/>
              <w:ind w:left="0" w:right="0" w:firstLine="0" w:firstLineChars="0"/>
              <w:jc w:val="left"/>
            </w:pPr>
            <w:r>
              <w:rPr>
                <w:rFonts w:ascii="宋体" w:hAnsi="宋体" w:eastAsia="宋体" w:cs="宋体"/>
                <w:b w:val="0"/>
                <w:bCs w:val="0"/>
                <w:color w:val="000000"/>
                <w:sz w:val="16"/>
                <w:szCs w:val="16"/>
              </w:rPr>
              <w:t>→09</w:t>
            </w:r>
          </w:p>
        </w:tc>
        <w:tc>
          <w:tcPr>
            <w:tcW w:w="2000" w:type="dxa"/>
            <w:shd w:val="clear" w:color="auto" w:fill="FFFFFF"/>
            <w:vAlign w:val="center"/>
          </w:tcPr>
          <w:p w14:paraId="067549B5">
            <w:pPr>
              <w:spacing w:before="0" w:after="0" w:line="240" w:lineRule="auto"/>
              <w:ind w:left="0" w:right="0" w:firstLine="0" w:firstLineChars="0"/>
              <w:jc w:val="left"/>
            </w:pPr>
            <w:r>
              <w:rPr>
                <w:rFonts w:ascii="宋体" w:hAnsi="宋体" w:eastAsia="宋体" w:cs="宋体"/>
                <w:b w:val="0"/>
                <w:bCs w:val="0"/>
                <w:color w:val="000000"/>
                <w:sz w:val="16"/>
                <w:szCs w:val="16"/>
              </w:rPr>
              <w:t>P-ZLTC-AI-FKZSWD-116-01-001</w:t>
            </w:r>
          </w:p>
        </w:tc>
      </w:tr>
      <w:tr w14:paraId="3255BB6F">
        <w:trPr>
          <w:cantSplit/>
          <w:jc w:val="center"/>
        </w:trPr>
        <w:tc>
          <w:tcPr>
            <w:tcW w:w="650" w:type="dxa"/>
            <w:shd w:val="clear" w:color="auto" w:fill="FFFFFF"/>
            <w:vAlign w:val="center"/>
          </w:tcPr>
          <w:p w14:paraId="2CF89CB0">
            <w:pPr>
              <w:spacing w:before="0" w:after="0" w:line="240" w:lineRule="auto"/>
              <w:ind w:left="0" w:right="0" w:firstLine="0" w:firstLineChars="0"/>
              <w:jc w:val="center"/>
            </w:pPr>
            <w:r>
              <w:rPr>
                <w:rFonts w:ascii="宋体" w:hAnsi="宋体" w:eastAsia="宋体" w:cs="宋体"/>
                <w:b w:val="0"/>
                <w:bCs w:val="0"/>
                <w:color w:val="000000"/>
                <w:sz w:val="16"/>
                <w:szCs w:val="16"/>
              </w:rPr>
              <w:t>09</w:t>
            </w:r>
          </w:p>
        </w:tc>
        <w:tc>
          <w:tcPr>
            <w:tcW w:w="1050" w:type="dxa"/>
            <w:shd w:val="clear" w:color="auto" w:fill="FFFFFF"/>
            <w:vAlign w:val="center"/>
          </w:tcPr>
          <w:p w14:paraId="12D2A2BD">
            <w:pPr>
              <w:spacing w:before="0" w:after="0" w:line="240" w:lineRule="auto"/>
              <w:ind w:left="0" w:right="0" w:firstLine="0" w:firstLineChars="0"/>
              <w:jc w:val="center"/>
            </w:pPr>
            <w:r>
              <w:rPr>
                <w:rFonts w:ascii="宋体" w:hAnsi="宋体" w:eastAsia="宋体" w:cs="宋体"/>
                <w:b w:val="0"/>
                <w:bCs w:val="0"/>
                <w:color w:val="000000"/>
                <w:sz w:val="16"/>
                <w:szCs w:val="16"/>
              </w:rPr>
              <w:t>呈现回答或拒答</w:t>
            </w:r>
          </w:p>
        </w:tc>
        <w:tc>
          <w:tcPr>
            <w:tcW w:w="950" w:type="dxa"/>
            <w:shd w:val="clear" w:color="auto" w:fill="FFFFFF"/>
            <w:vAlign w:val="center"/>
          </w:tcPr>
          <w:p w14:paraId="6A166FC4">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72547D9D">
            <w:pPr>
              <w:spacing w:before="0" w:after="0" w:line="240" w:lineRule="auto"/>
              <w:ind w:left="0" w:right="0" w:firstLine="0" w:firstLineChars="0"/>
              <w:jc w:val="left"/>
            </w:pPr>
            <w:r>
              <w:rPr>
                <w:rFonts w:ascii="宋体" w:hAnsi="宋体" w:eastAsia="宋体" w:cs="宋体"/>
                <w:b w:val="0"/>
                <w:bCs w:val="0"/>
                <w:color w:val="000000"/>
                <w:sz w:val="16"/>
                <w:szCs w:val="16"/>
              </w:rPr>
              <w:t>输入：过滤后内容</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输出：用户可见结果</w:t>
            </w:r>
          </w:p>
        </w:tc>
        <w:tc>
          <w:tcPr>
            <w:tcW w:w="2000" w:type="dxa"/>
            <w:shd w:val="clear" w:color="auto" w:fill="FFFFFF"/>
            <w:vAlign w:val="center"/>
          </w:tcPr>
          <w:p w14:paraId="2C2A4F6C">
            <w:pPr>
              <w:spacing w:before="0" w:after="0" w:line="240" w:lineRule="auto"/>
              <w:ind w:left="0" w:right="0" w:firstLine="0" w:firstLineChars="0"/>
              <w:jc w:val="left"/>
            </w:pPr>
            <w:r>
              <w:rPr>
                <w:rFonts w:ascii="宋体" w:hAnsi="宋体" w:eastAsia="宋体" w:cs="宋体"/>
                <w:b w:val="0"/>
                <w:bCs w:val="0"/>
                <w:color w:val="000000"/>
                <w:sz w:val="16"/>
                <w:szCs w:val="16"/>
              </w:rPr>
              <w:t>在统一入口呈现公开知识回答或如实说明，保留引用来源。</w:t>
            </w:r>
          </w:p>
        </w:tc>
        <w:tc>
          <w:tcPr>
            <w:tcW w:w="1072" w:type="dxa"/>
            <w:shd w:val="clear" w:color="auto" w:fill="FFFFFF"/>
            <w:vAlign w:val="center"/>
          </w:tcPr>
          <w:p w14:paraId="2B479EE4">
            <w:pPr>
              <w:spacing w:before="0" w:after="0" w:line="240" w:lineRule="auto"/>
              <w:ind w:left="0" w:right="0" w:firstLine="0" w:firstLineChars="0"/>
              <w:jc w:val="left"/>
            </w:pPr>
            <w:r>
              <w:rPr>
                <w:rFonts w:ascii="宋体" w:hAnsi="宋体" w:eastAsia="宋体" w:cs="宋体"/>
                <w:b w:val="0"/>
                <w:bCs w:val="0"/>
                <w:color w:val="000000"/>
                <w:sz w:val="16"/>
                <w:szCs w:val="16"/>
              </w:rPr>
              <w:t>结束本轮→结束</w:t>
            </w:r>
          </w:p>
        </w:tc>
        <w:tc>
          <w:tcPr>
            <w:tcW w:w="2000" w:type="dxa"/>
            <w:shd w:val="clear" w:color="auto" w:fill="FFFFFF"/>
            <w:vAlign w:val="center"/>
          </w:tcPr>
          <w:p w14:paraId="3472751D">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P-ZLTC-AI-FKZSWD-116-01-001</w:t>
            </w:r>
          </w:p>
        </w:tc>
      </w:tr>
    </w:tbl>
    <w:p w14:paraId="72000026">
      <w:pPr>
        <w:pStyle w:val="4"/>
        <w:snapToGrid w:val="0"/>
      </w:pPr>
      <w:bookmarkStart w:id="30" w:name="s3_4_2"/>
      <w:r>
        <w:rPr>
          <w:rFonts w:ascii="黑体" w:hAnsi="黑体" w:eastAsia="黑体" w:cs="黑体"/>
          <w:b/>
          <w:color w:val="000000"/>
        </w:rPr>
        <w:t>3.4.2　数字人语音唤醒</w:t>
      </w:r>
      <w:bookmarkEnd w:id="30"/>
    </w:p>
    <w:p w14:paraId="27DC3D2A">
      <w:pPr>
        <w:pStyle w:val="12"/>
        <w:keepNext/>
        <w:snapToGrid w:val="0"/>
        <w:spacing w:before="0" w:after="40" w:line="240" w:lineRule="auto"/>
        <w:ind w:left="0" w:right="0" w:firstLine="0" w:firstLineChars="0"/>
        <w:jc w:val="center"/>
      </w:pPr>
      <w:r>
        <w:drawing>
          <wp:inline distT="0" distB="0" distL="0" distR="0">
            <wp:extent cx="5759450" cy="3937635"/>
            <wp:effectExtent l="0" t="0" r="6350" b="24765"/>
            <wp:docPr id="19" name="P-ZLTC-AI-SZRYYHX-117 数字人语音唤醒业务流程" descr="P-ZLTC-AI-SZRYYHX-117 数字人语音唤醒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ZLTC-AI-SZRYYHX-117 数字人语音唤醒业务流程" descr="P-ZLTC-AI-SZRYYHX-117 数字人语音唤醒业务流程"/>
                    <pic:cNvPicPr>
                      <a:picLocks noChangeAspect="1"/>
                    </pic:cNvPicPr>
                  </pic:nvPicPr>
                  <pic:blipFill>
                    <a:blip r:embed="rId27"/>
                    <a:stretch>
                      <a:fillRect/>
                    </a:stretch>
                  </pic:blipFill>
                  <pic:spPr>
                    <a:xfrm>
                      <a:off x="0" y="0"/>
                      <a:ext cx="5759450" cy="3938024"/>
                    </a:xfrm>
                    <a:prstGeom prst="rect">
                      <a:avLst/>
                    </a:prstGeom>
                  </pic:spPr>
                </pic:pic>
              </a:graphicData>
            </a:graphic>
          </wp:inline>
        </w:drawing>
      </w:r>
    </w:p>
    <w:p w14:paraId="0F385A9A">
      <w:pPr>
        <w:pStyle w:val="15"/>
        <w:keepNext w:val="0"/>
        <w:snapToGrid w:val="0"/>
        <w:jc w:val="center"/>
      </w:pPr>
      <w:r>
        <w:t>图3-17　数字人语音唤醒业务流程图</w:t>
      </w:r>
    </w:p>
    <w:p w14:paraId="3DD8F660">
      <w:pPr>
        <w:pStyle w:val="15"/>
        <w:keepNext/>
        <w:snapToGrid w:val="0"/>
        <w:jc w:val="center"/>
      </w:pPr>
      <w:r>
        <w:t>表3-18　数字人语音唤醒业务流程说明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18487D5B">
        <w:trPr>
          <w:cantSplit/>
          <w:tblHeader/>
          <w:jc w:val="center"/>
        </w:trPr>
        <w:tc>
          <w:tcPr>
            <w:tcW w:w="650" w:type="dxa"/>
            <w:shd w:val="clear" w:color="auto" w:fill="FFFFFF"/>
            <w:vAlign w:val="center"/>
          </w:tcPr>
          <w:p w14:paraId="21A1434A">
            <w:pPr>
              <w:keepNext/>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5477D0BB">
            <w:pPr>
              <w:keepNext/>
              <w:spacing w:before="0" w:after="0" w:line="240" w:lineRule="auto"/>
              <w:ind w:left="0" w:right="0" w:firstLine="0" w:firstLineChars="0"/>
              <w:jc w:val="center"/>
            </w:pPr>
            <w:r>
              <w:rPr>
                <w:rFonts w:ascii="宋体" w:hAnsi="宋体" w:eastAsia="宋体" w:cs="宋体"/>
                <w:b/>
                <w:bCs/>
                <w:color w:val="000000"/>
                <w:sz w:val="16"/>
                <w:szCs w:val="16"/>
              </w:rPr>
              <w:t>节点名称</w:t>
            </w:r>
          </w:p>
        </w:tc>
        <w:tc>
          <w:tcPr>
            <w:tcW w:w="950" w:type="dxa"/>
            <w:shd w:val="clear" w:color="auto" w:fill="FFFFFF"/>
            <w:vAlign w:val="center"/>
          </w:tcPr>
          <w:p w14:paraId="6CFCB684">
            <w:pPr>
              <w:keepNext/>
              <w:spacing w:before="0" w:after="0" w:line="240" w:lineRule="auto"/>
              <w:ind w:left="0" w:right="0" w:firstLine="0" w:firstLineChars="0"/>
              <w:jc w:val="center"/>
            </w:pPr>
            <w:r>
              <w:rPr>
                <w:rFonts w:ascii="宋体" w:hAnsi="宋体" w:eastAsia="宋体" w:cs="宋体"/>
                <w:b/>
                <w:bCs/>
                <w:color w:val="000000"/>
                <w:sz w:val="16"/>
                <w:szCs w:val="16"/>
              </w:rPr>
              <w:t>责任节点</w:t>
            </w:r>
          </w:p>
        </w:tc>
        <w:tc>
          <w:tcPr>
            <w:tcW w:w="1350" w:type="dxa"/>
            <w:shd w:val="clear" w:color="auto" w:fill="FFFFFF"/>
            <w:vAlign w:val="center"/>
          </w:tcPr>
          <w:p w14:paraId="08B4D7A4">
            <w:pPr>
              <w:keepNext/>
              <w:spacing w:before="0" w:after="0" w:line="240" w:lineRule="auto"/>
              <w:ind w:left="0" w:right="0" w:firstLine="0" w:firstLineChars="0"/>
              <w:jc w:val="center"/>
            </w:pPr>
            <w:r>
              <w:rPr>
                <w:rFonts w:ascii="宋体" w:hAnsi="宋体" w:eastAsia="宋体" w:cs="宋体"/>
                <w:b/>
                <w:bCs/>
                <w:color w:val="000000"/>
                <w:sz w:val="16"/>
                <w:szCs w:val="16"/>
              </w:rPr>
              <w:t>输入/输出</w:t>
            </w:r>
          </w:p>
        </w:tc>
        <w:tc>
          <w:tcPr>
            <w:tcW w:w="2000" w:type="dxa"/>
            <w:shd w:val="clear" w:color="auto" w:fill="FFFFFF"/>
            <w:vAlign w:val="center"/>
          </w:tcPr>
          <w:p w14:paraId="7F5F1FBB">
            <w:pPr>
              <w:keepNext/>
              <w:spacing w:before="0" w:after="0" w:line="240" w:lineRule="auto"/>
              <w:ind w:left="0" w:right="0" w:firstLine="0" w:firstLineChars="0"/>
              <w:jc w:val="center"/>
            </w:pPr>
            <w:r>
              <w:rPr>
                <w:rFonts w:ascii="宋体" w:hAnsi="宋体" w:eastAsia="宋体" w:cs="宋体"/>
                <w:b/>
                <w:bCs/>
                <w:color w:val="000000"/>
                <w:sz w:val="16"/>
                <w:szCs w:val="16"/>
              </w:rPr>
              <w:t>处理说明</w:t>
            </w:r>
          </w:p>
        </w:tc>
        <w:tc>
          <w:tcPr>
            <w:tcW w:w="1072" w:type="dxa"/>
            <w:shd w:val="clear" w:color="auto" w:fill="FFFFFF"/>
            <w:vAlign w:val="center"/>
          </w:tcPr>
          <w:p w14:paraId="355DD1FB">
            <w:pPr>
              <w:keepNext/>
              <w:spacing w:before="0" w:after="0" w:line="240" w:lineRule="auto"/>
              <w:ind w:left="0" w:right="0" w:firstLine="0" w:firstLineChars="0"/>
              <w:jc w:val="center"/>
            </w:pPr>
            <w:r>
              <w:rPr>
                <w:rFonts w:ascii="宋体" w:hAnsi="宋体" w:eastAsia="宋体" w:cs="宋体"/>
                <w:b/>
                <w:bCs/>
                <w:color w:val="000000"/>
                <w:sz w:val="16"/>
                <w:szCs w:val="16"/>
              </w:rPr>
              <w:t>异常/分支</w:t>
            </w:r>
          </w:p>
        </w:tc>
        <w:tc>
          <w:tcPr>
            <w:tcW w:w="2000" w:type="dxa"/>
            <w:shd w:val="clear" w:color="auto" w:fill="FFFFFF"/>
            <w:vAlign w:val="center"/>
          </w:tcPr>
          <w:p w14:paraId="5D47FD2B">
            <w:pPr>
              <w:keepNext/>
              <w:spacing w:before="0" w:after="0" w:line="240" w:lineRule="auto"/>
              <w:ind w:left="0" w:right="0" w:firstLine="0" w:firstLineChars="0"/>
              <w:jc w:val="center"/>
            </w:pPr>
            <w:r>
              <w:rPr>
                <w:rFonts w:ascii="宋体" w:hAnsi="宋体" w:eastAsia="宋体" w:cs="宋体"/>
                <w:b/>
                <w:bCs/>
                <w:color w:val="000000"/>
                <w:sz w:val="16"/>
                <w:szCs w:val="16"/>
              </w:rPr>
              <w:t>关联规则</w:t>
            </w:r>
          </w:p>
        </w:tc>
      </w:tr>
      <w:tr w14:paraId="0410D423">
        <w:trPr>
          <w:cantSplit/>
          <w:jc w:val="center"/>
        </w:trPr>
        <w:tc>
          <w:tcPr>
            <w:tcW w:w="650" w:type="dxa"/>
            <w:shd w:val="clear" w:color="auto" w:fill="FFFFFF"/>
            <w:vAlign w:val="center"/>
          </w:tcPr>
          <w:p w14:paraId="771B4724">
            <w:pPr>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45DEF4DA">
            <w:pPr>
              <w:spacing w:before="0" w:after="0" w:line="240" w:lineRule="auto"/>
              <w:ind w:left="0" w:right="0" w:firstLine="0" w:firstLineChars="0"/>
              <w:jc w:val="center"/>
            </w:pPr>
            <w:r>
              <w:rPr>
                <w:rFonts w:ascii="宋体" w:hAnsi="宋体" w:eastAsia="宋体" w:cs="宋体"/>
                <w:b w:val="0"/>
                <w:bCs w:val="0"/>
                <w:color w:val="000000"/>
                <w:sz w:val="16"/>
                <w:szCs w:val="16"/>
              </w:rPr>
              <w:t>唤醒并提出语音问题</w:t>
            </w:r>
          </w:p>
        </w:tc>
        <w:tc>
          <w:tcPr>
            <w:tcW w:w="950" w:type="dxa"/>
            <w:shd w:val="clear" w:color="auto" w:fill="FFFFFF"/>
            <w:vAlign w:val="center"/>
          </w:tcPr>
          <w:p w14:paraId="1968FA75">
            <w:pPr>
              <w:spacing w:before="0" w:after="0" w:line="240" w:lineRule="auto"/>
              <w:ind w:left="0" w:right="0" w:firstLine="0" w:firstLineChars="0"/>
              <w:jc w:val="center"/>
            </w:pPr>
            <w:r>
              <w:rPr>
                <w:rFonts w:ascii="宋体" w:hAnsi="宋体" w:eastAsia="宋体" w:cs="宋体"/>
                <w:b w:val="0"/>
                <w:bCs w:val="0"/>
                <w:color w:val="000000"/>
                <w:sz w:val="16"/>
                <w:szCs w:val="16"/>
              </w:rPr>
              <w:t>展厅参观者</w:t>
            </w:r>
          </w:p>
        </w:tc>
        <w:tc>
          <w:tcPr>
            <w:tcW w:w="1350" w:type="dxa"/>
            <w:shd w:val="clear" w:color="auto" w:fill="FFFFFF"/>
            <w:vAlign w:val="center"/>
          </w:tcPr>
          <w:p w14:paraId="3AC62799">
            <w:pPr>
              <w:spacing w:before="0" w:after="0" w:line="240" w:lineRule="auto"/>
              <w:ind w:left="0" w:right="0" w:firstLine="0" w:firstLineChars="0"/>
              <w:jc w:val="left"/>
            </w:pPr>
            <w:r>
              <w:rPr>
                <w:rFonts w:ascii="宋体" w:hAnsi="宋体" w:eastAsia="宋体" w:cs="宋体"/>
                <w:b w:val="0"/>
                <w:bCs w:val="0"/>
                <w:color w:val="000000"/>
                <w:sz w:val="16"/>
                <w:szCs w:val="16"/>
              </w:rPr>
              <w:t>输入：唤醒词与参观者语音</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输出：语音交互请求</w:t>
            </w:r>
          </w:p>
        </w:tc>
        <w:tc>
          <w:tcPr>
            <w:tcW w:w="2000" w:type="dxa"/>
            <w:shd w:val="clear" w:color="auto" w:fill="FFFFFF"/>
            <w:vAlign w:val="center"/>
          </w:tcPr>
          <w:p w14:paraId="3FE93922">
            <w:pPr>
              <w:spacing w:before="0" w:after="0" w:line="240" w:lineRule="auto"/>
              <w:ind w:left="0" w:right="0" w:firstLine="0" w:firstLineChars="0"/>
              <w:jc w:val="left"/>
            </w:pPr>
            <w:r>
              <w:rPr>
                <w:rFonts w:ascii="宋体" w:hAnsi="宋体" w:eastAsia="宋体" w:cs="宋体"/>
                <w:b w:val="0"/>
                <w:bCs w:val="0"/>
                <w:color w:val="000000"/>
                <w:sz w:val="16"/>
                <w:szCs w:val="16"/>
              </w:rPr>
              <w:t>参观者通过唤醒词启动展厅语音交互，在访客级演示身份下提出问题。</w:t>
            </w:r>
          </w:p>
        </w:tc>
        <w:tc>
          <w:tcPr>
            <w:tcW w:w="1072" w:type="dxa"/>
            <w:shd w:val="clear" w:color="auto" w:fill="FFFFFF"/>
            <w:vAlign w:val="center"/>
          </w:tcPr>
          <w:p w14:paraId="2C23BD47">
            <w:pPr>
              <w:spacing w:before="0" w:after="0" w:line="240" w:lineRule="auto"/>
              <w:ind w:left="0" w:right="0" w:firstLine="0" w:firstLineChars="0"/>
              <w:jc w:val="left"/>
            </w:pPr>
            <w:r>
              <w:rPr>
                <w:rFonts w:ascii="宋体" w:hAnsi="宋体" w:eastAsia="宋体" w:cs="宋体"/>
                <w:b w:val="0"/>
                <w:bCs w:val="0"/>
                <w:color w:val="000000"/>
                <w:sz w:val="16"/>
                <w:szCs w:val="16"/>
              </w:rPr>
              <w:t>→02</w:t>
            </w:r>
          </w:p>
        </w:tc>
        <w:tc>
          <w:tcPr>
            <w:tcW w:w="2000" w:type="dxa"/>
            <w:shd w:val="clear" w:color="auto" w:fill="FFFFFF"/>
            <w:vAlign w:val="center"/>
          </w:tcPr>
          <w:p w14:paraId="673E2816">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0D221F82">
        <w:trPr>
          <w:cantSplit/>
          <w:jc w:val="center"/>
        </w:trPr>
        <w:tc>
          <w:tcPr>
            <w:tcW w:w="650" w:type="dxa"/>
            <w:shd w:val="clear" w:color="auto" w:fill="FFFFFF"/>
            <w:vAlign w:val="center"/>
          </w:tcPr>
          <w:p w14:paraId="5FAA8FFF">
            <w:pPr>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32FA7D1E">
            <w:pPr>
              <w:spacing w:before="0" w:after="0" w:line="240" w:lineRule="auto"/>
              <w:ind w:left="0" w:right="0" w:firstLine="0" w:firstLineChars="0"/>
              <w:jc w:val="center"/>
            </w:pPr>
            <w:r>
              <w:rPr>
                <w:rFonts w:ascii="宋体" w:hAnsi="宋体" w:eastAsia="宋体" w:cs="宋体"/>
                <w:b w:val="0"/>
                <w:bCs w:val="0"/>
                <w:color w:val="000000"/>
                <w:sz w:val="16"/>
                <w:szCs w:val="16"/>
              </w:rPr>
              <w:t>接收语音输入</w:t>
            </w:r>
          </w:p>
        </w:tc>
        <w:tc>
          <w:tcPr>
            <w:tcW w:w="950" w:type="dxa"/>
            <w:shd w:val="clear" w:color="auto" w:fill="FFFFFF"/>
            <w:vAlign w:val="center"/>
          </w:tcPr>
          <w:p w14:paraId="78602B05">
            <w:pPr>
              <w:spacing w:before="0" w:after="0" w:line="240" w:lineRule="auto"/>
              <w:ind w:left="0" w:right="0" w:firstLine="0" w:firstLineChars="0"/>
              <w:jc w:val="center"/>
            </w:pPr>
            <w:r>
              <w:rPr>
                <w:rFonts w:ascii="宋体" w:hAnsi="宋体" w:eastAsia="宋体" w:cs="宋体"/>
                <w:b w:val="0"/>
                <w:bCs w:val="0"/>
                <w:color w:val="000000"/>
                <w:sz w:val="16"/>
                <w:szCs w:val="16"/>
              </w:rPr>
              <w:t>语音交互模块</w:t>
            </w:r>
          </w:p>
        </w:tc>
        <w:tc>
          <w:tcPr>
            <w:tcW w:w="1350" w:type="dxa"/>
            <w:shd w:val="clear" w:color="auto" w:fill="FFFFFF"/>
            <w:vAlign w:val="center"/>
          </w:tcPr>
          <w:p w14:paraId="679A52E8">
            <w:pPr>
              <w:spacing w:before="0" w:after="0" w:line="240" w:lineRule="auto"/>
              <w:ind w:left="0" w:right="0" w:firstLine="0" w:firstLineChars="0"/>
              <w:jc w:val="left"/>
            </w:pPr>
            <w:r>
              <w:rPr>
                <w:rFonts w:ascii="宋体" w:hAnsi="宋体" w:eastAsia="宋体" w:cs="宋体"/>
                <w:b w:val="0"/>
                <w:bCs w:val="0"/>
                <w:color w:val="000000"/>
                <w:sz w:val="16"/>
                <w:szCs w:val="16"/>
              </w:rPr>
              <w:t>输入：本轮语音交互请求</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输出：待识别语音</w:t>
            </w:r>
          </w:p>
        </w:tc>
        <w:tc>
          <w:tcPr>
            <w:tcW w:w="2000" w:type="dxa"/>
            <w:shd w:val="clear" w:color="auto" w:fill="FFFFFF"/>
            <w:vAlign w:val="center"/>
          </w:tcPr>
          <w:p w14:paraId="0C6BCE30">
            <w:pPr>
              <w:spacing w:before="0" w:after="0" w:line="240" w:lineRule="auto"/>
              <w:ind w:left="0" w:right="0" w:firstLine="0" w:firstLineChars="0"/>
              <w:jc w:val="left"/>
            </w:pPr>
            <w:r>
              <w:rPr>
                <w:rFonts w:ascii="宋体" w:hAnsi="宋体" w:eastAsia="宋体" w:cs="宋体"/>
                <w:b w:val="0"/>
                <w:bCs w:val="0"/>
                <w:color w:val="000000"/>
                <w:sz w:val="16"/>
                <w:szCs w:val="16"/>
              </w:rPr>
              <w:t>语音交互模块接收本轮语音，将待识别内容提交语音识别接口，关联当前会话。</w:t>
            </w:r>
          </w:p>
        </w:tc>
        <w:tc>
          <w:tcPr>
            <w:tcW w:w="1072" w:type="dxa"/>
            <w:shd w:val="clear" w:color="auto" w:fill="FFFFFF"/>
            <w:vAlign w:val="center"/>
          </w:tcPr>
          <w:p w14:paraId="7A77A652">
            <w:pPr>
              <w:spacing w:before="0" w:after="0" w:line="240" w:lineRule="auto"/>
              <w:ind w:left="0" w:right="0" w:firstLine="0" w:firstLineChars="0"/>
              <w:jc w:val="left"/>
            </w:pPr>
            <w:r>
              <w:rPr>
                <w:rFonts w:ascii="宋体" w:hAnsi="宋体" w:eastAsia="宋体" w:cs="宋体"/>
                <w:b w:val="0"/>
                <w:bCs w:val="0"/>
                <w:color w:val="000000"/>
                <w:sz w:val="16"/>
                <w:szCs w:val="16"/>
              </w:rPr>
              <w:t>→03</w:t>
            </w:r>
          </w:p>
        </w:tc>
        <w:tc>
          <w:tcPr>
            <w:tcW w:w="2000" w:type="dxa"/>
            <w:shd w:val="clear" w:color="auto" w:fill="FFFFFF"/>
            <w:vAlign w:val="center"/>
          </w:tcPr>
          <w:p w14:paraId="2C5D60BF">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048F7FE6">
        <w:trPr>
          <w:cantSplit/>
          <w:jc w:val="center"/>
        </w:trPr>
        <w:tc>
          <w:tcPr>
            <w:tcW w:w="650" w:type="dxa"/>
            <w:shd w:val="clear" w:color="auto" w:fill="FFFFFF"/>
            <w:vAlign w:val="center"/>
          </w:tcPr>
          <w:p w14:paraId="304AC682">
            <w:pPr>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3ACDCEE5">
            <w:pPr>
              <w:spacing w:before="0" w:after="0" w:line="240" w:lineRule="auto"/>
              <w:ind w:left="0" w:right="0" w:firstLine="0" w:firstLineChars="0"/>
              <w:jc w:val="center"/>
            </w:pPr>
            <w:r>
              <w:rPr>
                <w:rFonts w:ascii="宋体" w:hAnsi="宋体" w:eastAsia="宋体" w:cs="宋体"/>
                <w:b w:val="0"/>
                <w:bCs w:val="0"/>
                <w:color w:val="000000"/>
                <w:sz w:val="16"/>
                <w:szCs w:val="16"/>
              </w:rPr>
              <w:t>识别并转写语音</w:t>
            </w:r>
          </w:p>
        </w:tc>
        <w:tc>
          <w:tcPr>
            <w:tcW w:w="950" w:type="dxa"/>
            <w:shd w:val="clear" w:color="auto" w:fill="FFFFFF"/>
            <w:vAlign w:val="center"/>
          </w:tcPr>
          <w:p w14:paraId="18C408C9">
            <w:pPr>
              <w:spacing w:before="0" w:after="0" w:line="240" w:lineRule="auto"/>
              <w:ind w:left="0" w:right="0" w:firstLine="0" w:firstLineChars="0"/>
              <w:jc w:val="center"/>
            </w:pPr>
            <w:r>
              <w:rPr>
                <w:rFonts w:ascii="宋体" w:hAnsi="宋体" w:eastAsia="宋体" w:cs="宋体"/>
                <w:b w:val="0"/>
                <w:bCs w:val="0"/>
                <w:color w:val="000000"/>
                <w:sz w:val="16"/>
                <w:szCs w:val="16"/>
              </w:rPr>
              <w:t>语音交互模块</w:t>
            </w:r>
          </w:p>
        </w:tc>
        <w:tc>
          <w:tcPr>
            <w:tcW w:w="1350" w:type="dxa"/>
            <w:shd w:val="clear" w:color="auto" w:fill="FFFFFF"/>
            <w:vAlign w:val="center"/>
          </w:tcPr>
          <w:p w14:paraId="71B1F58C">
            <w:pPr>
              <w:spacing w:before="0" w:after="0" w:line="240" w:lineRule="auto"/>
              <w:ind w:left="0" w:right="0" w:firstLine="0" w:firstLineChars="0"/>
              <w:jc w:val="left"/>
            </w:pPr>
            <w:r>
              <w:rPr>
                <w:rFonts w:ascii="宋体" w:hAnsi="宋体" w:eastAsia="宋体" w:cs="宋体"/>
                <w:b w:val="0"/>
                <w:bCs w:val="0"/>
                <w:color w:val="000000"/>
                <w:sz w:val="16"/>
                <w:szCs w:val="16"/>
              </w:rPr>
              <w:t>输入：待识别语音</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输出：文字问题或识别状态</w:t>
            </w:r>
          </w:p>
        </w:tc>
        <w:tc>
          <w:tcPr>
            <w:tcW w:w="2000" w:type="dxa"/>
            <w:shd w:val="clear" w:color="auto" w:fill="FFFFFF"/>
            <w:vAlign w:val="center"/>
          </w:tcPr>
          <w:p w14:paraId="7B81E804">
            <w:pPr>
              <w:spacing w:before="0" w:after="0" w:line="240" w:lineRule="auto"/>
              <w:ind w:left="0" w:right="0" w:firstLine="0" w:firstLineChars="0"/>
              <w:jc w:val="left"/>
            </w:pPr>
            <w:r>
              <w:rPr>
                <w:rFonts w:ascii="宋体" w:hAnsi="宋体" w:eastAsia="宋体" w:cs="宋体"/>
                <w:b w:val="0"/>
                <w:bCs w:val="0"/>
                <w:color w:val="000000"/>
                <w:sz w:val="16"/>
                <w:szCs w:val="16"/>
              </w:rPr>
              <w:t>通过语音识别接口将语音转换为文字，区分识别成功与失败状态；成功结果进入文字问题处理。</w:t>
            </w:r>
          </w:p>
        </w:tc>
        <w:tc>
          <w:tcPr>
            <w:tcW w:w="1072" w:type="dxa"/>
            <w:shd w:val="clear" w:color="auto" w:fill="FFFFFF"/>
            <w:vAlign w:val="center"/>
          </w:tcPr>
          <w:p w14:paraId="3334B19B">
            <w:pPr>
              <w:spacing w:before="0" w:after="0" w:line="240" w:lineRule="auto"/>
              <w:ind w:left="0" w:right="0" w:firstLine="0" w:firstLineChars="0"/>
              <w:jc w:val="left"/>
            </w:pPr>
            <w:r>
              <w:rPr>
                <w:rFonts w:ascii="宋体" w:hAnsi="宋体" w:eastAsia="宋体" w:cs="宋体"/>
                <w:b w:val="0"/>
                <w:bCs w:val="0"/>
                <w:color w:val="000000"/>
                <w:sz w:val="16"/>
                <w:szCs w:val="16"/>
              </w:rPr>
              <w:t>识别失败→04；</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识别成功→05</w:t>
            </w:r>
          </w:p>
        </w:tc>
        <w:tc>
          <w:tcPr>
            <w:tcW w:w="2000" w:type="dxa"/>
            <w:shd w:val="clear" w:color="auto" w:fill="FFFFFF"/>
            <w:vAlign w:val="center"/>
          </w:tcPr>
          <w:p w14:paraId="1A08A287">
            <w:pPr>
              <w:spacing w:before="0" w:after="0" w:line="240" w:lineRule="auto"/>
              <w:ind w:left="0" w:right="0" w:firstLine="0" w:firstLineChars="0"/>
              <w:jc w:val="left"/>
            </w:pPr>
            <w:r>
              <w:rPr>
                <w:rFonts w:ascii="宋体" w:hAnsi="宋体" w:eastAsia="宋体" w:cs="宋体"/>
                <w:b w:val="0"/>
                <w:bCs w:val="0"/>
                <w:color w:val="000000"/>
                <w:sz w:val="16"/>
                <w:szCs w:val="16"/>
              </w:rPr>
              <w:t>P-ZLTC-AI-ZNWS-101-08-003</w:t>
            </w:r>
          </w:p>
        </w:tc>
      </w:tr>
      <w:tr w14:paraId="0ED41BBB">
        <w:trPr>
          <w:cantSplit/>
          <w:jc w:val="center"/>
        </w:trPr>
        <w:tc>
          <w:tcPr>
            <w:tcW w:w="650" w:type="dxa"/>
            <w:shd w:val="clear" w:color="auto" w:fill="FFFFFF"/>
            <w:vAlign w:val="center"/>
          </w:tcPr>
          <w:p w14:paraId="697A9795">
            <w:pPr>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7C5E3D81">
            <w:pPr>
              <w:spacing w:before="0" w:after="0" w:line="240" w:lineRule="auto"/>
              <w:ind w:left="0" w:right="0" w:firstLine="0" w:firstLineChars="0"/>
              <w:jc w:val="center"/>
            </w:pPr>
            <w:r>
              <w:rPr>
                <w:rFonts w:ascii="宋体" w:hAnsi="宋体" w:eastAsia="宋体" w:cs="宋体"/>
                <w:b w:val="0"/>
                <w:bCs w:val="0"/>
                <w:color w:val="000000"/>
                <w:sz w:val="16"/>
                <w:szCs w:val="16"/>
              </w:rPr>
              <w:t>提示重说或文字输入</w:t>
            </w:r>
          </w:p>
        </w:tc>
        <w:tc>
          <w:tcPr>
            <w:tcW w:w="950" w:type="dxa"/>
            <w:shd w:val="clear" w:color="auto" w:fill="FFFFFF"/>
            <w:vAlign w:val="center"/>
          </w:tcPr>
          <w:p w14:paraId="15D481AF">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7B76265D">
            <w:pPr>
              <w:spacing w:before="0" w:after="0" w:line="240" w:lineRule="auto"/>
              <w:ind w:left="0" w:right="0" w:firstLine="0" w:firstLineChars="0"/>
              <w:jc w:val="left"/>
            </w:pPr>
            <w:r>
              <w:rPr>
                <w:rFonts w:ascii="宋体" w:hAnsi="宋体" w:eastAsia="宋体" w:cs="宋体"/>
                <w:b w:val="0"/>
                <w:bCs w:val="0"/>
                <w:color w:val="000000"/>
                <w:sz w:val="16"/>
                <w:szCs w:val="16"/>
              </w:rPr>
              <w:t>输入：语音识别失败状态</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输出：重试语音或文字问题</w:t>
            </w:r>
          </w:p>
        </w:tc>
        <w:tc>
          <w:tcPr>
            <w:tcW w:w="2000" w:type="dxa"/>
            <w:shd w:val="clear" w:color="auto" w:fill="FFFFFF"/>
            <w:vAlign w:val="center"/>
          </w:tcPr>
          <w:p w14:paraId="222EC379">
            <w:pPr>
              <w:spacing w:before="0" w:after="0" w:line="240" w:lineRule="auto"/>
              <w:ind w:left="0" w:right="0" w:firstLine="0" w:firstLineChars="0"/>
              <w:jc w:val="left"/>
            </w:pPr>
            <w:r>
              <w:rPr>
                <w:rFonts w:ascii="宋体" w:hAnsi="宋体" w:eastAsia="宋体" w:cs="宋体"/>
                <w:b w:val="0"/>
                <w:bCs w:val="0"/>
                <w:color w:val="000000"/>
                <w:sz w:val="16"/>
                <w:szCs w:val="16"/>
              </w:rPr>
              <w:t>识别失败时提示参观者重说，连续失败时引导文字输入；用户选择重说后再次识别，或提交文字问题。</w:t>
            </w:r>
          </w:p>
        </w:tc>
        <w:tc>
          <w:tcPr>
            <w:tcW w:w="1072" w:type="dxa"/>
            <w:shd w:val="clear" w:color="auto" w:fill="FFFFFF"/>
            <w:vAlign w:val="center"/>
          </w:tcPr>
          <w:p w14:paraId="3E2CF029">
            <w:pPr>
              <w:spacing w:before="0" w:after="0" w:line="240" w:lineRule="auto"/>
              <w:ind w:left="0" w:right="0" w:firstLine="0" w:firstLineChars="0"/>
              <w:jc w:val="left"/>
            </w:pPr>
            <w:r>
              <w:rPr>
                <w:rFonts w:ascii="宋体" w:hAnsi="宋体" w:eastAsia="宋体" w:cs="宋体"/>
                <w:b w:val="0"/>
                <w:bCs w:val="0"/>
                <w:color w:val="000000"/>
                <w:sz w:val="16"/>
                <w:szCs w:val="16"/>
              </w:rPr>
              <w:t>重新说话→03；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文字输入→05</w:t>
            </w:r>
          </w:p>
        </w:tc>
        <w:tc>
          <w:tcPr>
            <w:tcW w:w="2000" w:type="dxa"/>
            <w:shd w:val="clear" w:color="auto" w:fill="FFFFFF"/>
            <w:vAlign w:val="center"/>
          </w:tcPr>
          <w:p w14:paraId="675F6D5D">
            <w:pPr>
              <w:spacing w:before="0" w:after="0" w:line="240" w:lineRule="auto"/>
              <w:ind w:left="0" w:right="0" w:firstLine="0" w:firstLineChars="0"/>
              <w:jc w:val="left"/>
            </w:pPr>
            <w:r>
              <w:rPr>
                <w:rFonts w:ascii="宋体" w:hAnsi="宋体" w:eastAsia="宋体" w:cs="宋体"/>
                <w:b w:val="0"/>
                <w:bCs w:val="0"/>
                <w:color w:val="000000"/>
                <w:sz w:val="16"/>
                <w:szCs w:val="16"/>
              </w:rPr>
              <w:t>P-ZLTC-AI-ZNWS-101-08-003</w:t>
            </w:r>
          </w:p>
        </w:tc>
      </w:tr>
      <w:tr w14:paraId="13C06BE7">
        <w:trPr>
          <w:cantSplit/>
          <w:jc w:val="center"/>
        </w:trPr>
        <w:tc>
          <w:tcPr>
            <w:tcW w:w="650" w:type="dxa"/>
            <w:shd w:val="clear" w:color="auto" w:fill="FFFFFF"/>
            <w:vAlign w:val="center"/>
          </w:tcPr>
          <w:p w14:paraId="532FA2B4">
            <w:pPr>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4CA12E08">
            <w:pPr>
              <w:spacing w:before="0" w:after="0" w:line="240" w:lineRule="auto"/>
              <w:ind w:left="0" w:right="0" w:firstLine="0" w:firstLineChars="0"/>
              <w:jc w:val="center"/>
            </w:pPr>
            <w:r>
              <w:rPr>
                <w:rFonts w:ascii="宋体" w:hAnsi="宋体" w:eastAsia="宋体" w:cs="宋体"/>
                <w:b w:val="0"/>
                <w:bCs w:val="0"/>
                <w:color w:val="000000"/>
                <w:sz w:val="16"/>
                <w:szCs w:val="16"/>
              </w:rPr>
              <w:t>形成文字问题</w:t>
            </w:r>
          </w:p>
        </w:tc>
        <w:tc>
          <w:tcPr>
            <w:tcW w:w="950" w:type="dxa"/>
            <w:shd w:val="clear" w:color="auto" w:fill="FFFFFF"/>
            <w:vAlign w:val="center"/>
          </w:tcPr>
          <w:p w14:paraId="38ACE38F">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346BCBFB">
            <w:pPr>
              <w:spacing w:before="0" w:after="0" w:line="240" w:lineRule="auto"/>
              <w:ind w:left="0" w:right="0" w:firstLine="0" w:firstLineChars="0"/>
              <w:jc w:val="left"/>
            </w:pPr>
            <w:r>
              <w:rPr>
                <w:rFonts w:ascii="宋体" w:hAnsi="宋体" w:eastAsia="宋体" w:cs="宋体"/>
                <w:b w:val="0"/>
                <w:bCs w:val="0"/>
                <w:color w:val="000000"/>
                <w:sz w:val="16"/>
                <w:szCs w:val="16"/>
              </w:rPr>
              <w:t>输入：识别文字或直接文字输入</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输出：可交接的问题文字</w:t>
            </w:r>
          </w:p>
        </w:tc>
        <w:tc>
          <w:tcPr>
            <w:tcW w:w="2000" w:type="dxa"/>
            <w:shd w:val="clear" w:color="auto" w:fill="FFFFFF"/>
            <w:vAlign w:val="center"/>
          </w:tcPr>
          <w:p w14:paraId="4139107B">
            <w:pPr>
              <w:spacing w:before="0" w:after="0" w:line="240" w:lineRule="auto"/>
              <w:ind w:left="0" w:right="0" w:firstLine="0" w:firstLineChars="0"/>
              <w:jc w:val="left"/>
            </w:pPr>
            <w:r>
              <w:rPr>
                <w:rFonts w:ascii="宋体" w:hAnsi="宋体" w:eastAsia="宋体" w:cs="宋体"/>
                <w:b w:val="0"/>
                <w:bCs w:val="0"/>
                <w:color w:val="000000"/>
                <w:sz w:val="16"/>
                <w:szCs w:val="16"/>
              </w:rPr>
              <w:t>汇合语音转写和文字输入形成的本轮问题，保留会话关联信息，供公开知识问答使用。</w:t>
            </w:r>
          </w:p>
        </w:tc>
        <w:tc>
          <w:tcPr>
            <w:tcW w:w="1072" w:type="dxa"/>
            <w:shd w:val="clear" w:color="auto" w:fill="FFFFFF"/>
            <w:vAlign w:val="center"/>
          </w:tcPr>
          <w:p w14:paraId="003DBC07">
            <w:pPr>
              <w:spacing w:before="0" w:after="0" w:line="240" w:lineRule="auto"/>
              <w:ind w:left="0" w:right="0" w:firstLine="0" w:firstLineChars="0"/>
              <w:jc w:val="left"/>
            </w:pPr>
            <w:r>
              <w:rPr>
                <w:rFonts w:ascii="宋体" w:hAnsi="宋体" w:eastAsia="宋体" w:cs="宋体"/>
                <w:b w:val="0"/>
                <w:bCs w:val="0"/>
                <w:color w:val="000000"/>
                <w:sz w:val="16"/>
                <w:szCs w:val="16"/>
              </w:rPr>
              <w:t>→06</w:t>
            </w:r>
          </w:p>
        </w:tc>
        <w:tc>
          <w:tcPr>
            <w:tcW w:w="2000" w:type="dxa"/>
            <w:shd w:val="clear" w:color="auto" w:fill="FFFFFF"/>
            <w:vAlign w:val="center"/>
          </w:tcPr>
          <w:p w14:paraId="565776A9">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2D4CF735">
        <w:trPr>
          <w:cantSplit/>
          <w:jc w:val="center"/>
        </w:trPr>
        <w:tc>
          <w:tcPr>
            <w:tcW w:w="650" w:type="dxa"/>
            <w:shd w:val="clear" w:color="auto" w:fill="FFFFFF"/>
            <w:vAlign w:val="center"/>
          </w:tcPr>
          <w:p w14:paraId="3528E55A">
            <w:pPr>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63902337">
            <w:pPr>
              <w:spacing w:before="0" w:after="0" w:line="240" w:lineRule="auto"/>
              <w:ind w:left="0" w:right="0" w:firstLine="0" w:firstLineChars="0"/>
              <w:jc w:val="center"/>
            </w:pPr>
            <w:r>
              <w:rPr>
                <w:rFonts w:ascii="宋体" w:hAnsi="宋体" w:eastAsia="宋体" w:cs="宋体"/>
                <w:b w:val="0"/>
                <w:bCs w:val="0"/>
                <w:color w:val="000000"/>
                <w:sz w:val="16"/>
                <w:szCs w:val="16"/>
              </w:rPr>
              <w:t>关联访客问答身份</w:t>
            </w:r>
          </w:p>
        </w:tc>
        <w:tc>
          <w:tcPr>
            <w:tcW w:w="950" w:type="dxa"/>
            <w:shd w:val="clear" w:color="auto" w:fill="FFFFFF"/>
            <w:vAlign w:val="center"/>
          </w:tcPr>
          <w:p w14:paraId="6E4C6271">
            <w:pPr>
              <w:spacing w:before="0" w:after="0" w:line="240" w:lineRule="auto"/>
              <w:ind w:left="0" w:right="0" w:firstLine="0" w:firstLineChars="0"/>
              <w:jc w:val="center"/>
            </w:pPr>
            <w:r>
              <w:rPr>
                <w:rFonts w:ascii="宋体" w:hAnsi="宋体" w:eastAsia="宋体" w:cs="宋体"/>
                <w:b w:val="0"/>
                <w:bCs w:val="0"/>
                <w:color w:val="000000"/>
                <w:sz w:val="16"/>
                <w:szCs w:val="16"/>
              </w:rPr>
              <w:t>问答服务</w:t>
            </w:r>
          </w:p>
        </w:tc>
        <w:tc>
          <w:tcPr>
            <w:tcW w:w="1350" w:type="dxa"/>
            <w:shd w:val="clear" w:color="auto" w:fill="FFFFFF"/>
            <w:vAlign w:val="center"/>
          </w:tcPr>
          <w:p w14:paraId="340E3E20">
            <w:pPr>
              <w:spacing w:before="0" w:after="0" w:line="240" w:lineRule="auto"/>
              <w:ind w:left="0" w:right="0" w:firstLine="0" w:firstLineChars="0"/>
              <w:jc w:val="left"/>
            </w:pPr>
            <w:r>
              <w:rPr>
                <w:rFonts w:ascii="宋体" w:hAnsi="宋体" w:eastAsia="宋体" w:cs="宋体"/>
                <w:b w:val="0"/>
                <w:bCs w:val="0"/>
                <w:color w:val="000000"/>
                <w:sz w:val="16"/>
                <w:szCs w:val="16"/>
              </w:rPr>
              <w:t>输入：问题文字及演示身份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输出：公开知识问答任务</w:t>
            </w:r>
          </w:p>
        </w:tc>
        <w:tc>
          <w:tcPr>
            <w:tcW w:w="2000" w:type="dxa"/>
            <w:shd w:val="clear" w:color="auto" w:fill="FFFFFF"/>
            <w:vAlign w:val="center"/>
          </w:tcPr>
          <w:p w14:paraId="62C20BEB">
            <w:pPr>
              <w:spacing w:before="0" w:after="0" w:line="240" w:lineRule="auto"/>
              <w:ind w:left="0" w:right="0" w:firstLine="0" w:firstLineChars="0"/>
              <w:jc w:val="left"/>
            </w:pPr>
            <w:r>
              <w:rPr>
                <w:rFonts w:ascii="宋体" w:hAnsi="宋体" w:eastAsia="宋体" w:cs="宋体"/>
                <w:b w:val="0"/>
                <w:bCs w:val="0"/>
                <w:color w:val="000000"/>
                <w:sz w:val="16"/>
                <w:szCs w:val="16"/>
              </w:rPr>
              <w:t>以访客级演示身份调用统一问答链路，沿用5.3.4.1公开知识的密级和角色规则，关联问题与会话。</w:t>
            </w:r>
          </w:p>
        </w:tc>
        <w:tc>
          <w:tcPr>
            <w:tcW w:w="1072" w:type="dxa"/>
            <w:shd w:val="clear" w:color="auto" w:fill="FFFFFF"/>
            <w:vAlign w:val="center"/>
          </w:tcPr>
          <w:p w14:paraId="510C8699">
            <w:pPr>
              <w:spacing w:before="0" w:after="0" w:line="240" w:lineRule="auto"/>
              <w:ind w:left="0" w:right="0" w:firstLine="0" w:firstLineChars="0"/>
              <w:jc w:val="left"/>
            </w:pPr>
            <w:r>
              <w:rPr>
                <w:rFonts w:ascii="宋体" w:hAnsi="宋体" w:eastAsia="宋体" w:cs="宋体"/>
                <w:b w:val="0"/>
                <w:bCs w:val="0"/>
                <w:color w:val="000000"/>
                <w:sz w:val="16"/>
                <w:szCs w:val="16"/>
              </w:rPr>
              <w:t>→07</w:t>
            </w:r>
          </w:p>
        </w:tc>
        <w:tc>
          <w:tcPr>
            <w:tcW w:w="2000" w:type="dxa"/>
            <w:shd w:val="clear" w:color="auto" w:fill="FFFFFF"/>
            <w:vAlign w:val="center"/>
          </w:tcPr>
          <w:p w14:paraId="5456B75A">
            <w:pPr>
              <w:spacing w:before="0" w:after="0" w:line="240" w:lineRule="auto"/>
              <w:ind w:left="0" w:right="0" w:firstLine="0" w:firstLineChars="0"/>
              <w:jc w:val="left"/>
            </w:pPr>
            <w:r>
              <w:rPr>
                <w:rFonts w:ascii="宋体" w:hAnsi="宋体" w:eastAsia="宋体" w:cs="宋体"/>
                <w:b w:val="0"/>
                <w:bCs w:val="0"/>
                <w:color w:val="000000"/>
                <w:sz w:val="16"/>
                <w:szCs w:val="16"/>
              </w:rPr>
              <w:t>P-ZLTC-AI-FKZSWD-116-01-001</w:t>
            </w:r>
          </w:p>
        </w:tc>
      </w:tr>
      <w:tr w14:paraId="6907F564">
        <w:trPr>
          <w:cantSplit/>
          <w:jc w:val="center"/>
        </w:trPr>
        <w:tc>
          <w:tcPr>
            <w:tcW w:w="650" w:type="dxa"/>
            <w:shd w:val="clear" w:color="auto" w:fill="FFFFFF"/>
            <w:vAlign w:val="center"/>
          </w:tcPr>
          <w:p w14:paraId="213614A7">
            <w:pPr>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2D1AD196">
            <w:pPr>
              <w:spacing w:before="0" w:after="0" w:line="240" w:lineRule="auto"/>
              <w:ind w:left="0" w:right="0" w:firstLine="0" w:firstLineChars="0"/>
              <w:jc w:val="center"/>
            </w:pPr>
            <w:r>
              <w:rPr>
                <w:rFonts w:ascii="宋体" w:hAnsi="宋体" w:eastAsia="宋体" w:cs="宋体"/>
                <w:b w:val="0"/>
                <w:bCs w:val="0"/>
                <w:color w:val="000000"/>
                <w:sz w:val="16"/>
                <w:szCs w:val="16"/>
              </w:rPr>
              <w:t>交接展厅问答任务</w:t>
            </w:r>
          </w:p>
        </w:tc>
        <w:tc>
          <w:tcPr>
            <w:tcW w:w="950" w:type="dxa"/>
            <w:shd w:val="clear" w:color="auto" w:fill="FFFFFF"/>
            <w:vAlign w:val="center"/>
          </w:tcPr>
          <w:p w14:paraId="43815B72">
            <w:pPr>
              <w:spacing w:before="0" w:after="0" w:line="240" w:lineRule="auto"/>
              <w:ind w:left="0" w:right="0" w:firstLine="0" w:firstLineChars="0"/>
              <w:jc w:val="center"/>
            </w:pPr>
            <w:r>
              <w:rPr>
                <w:rFonts w:ascii="宋体" w:hAnsi="宋体" w:eastAsia="宋体" w:cs="宋体"/>
                <w:b w:val="0"/>
                <w:bCs w:val="0"/>
                <w:color w:val="000000"/>
                <w:sz w:val="16"/>
                <w:szCs w:val="16"/>
              </w:rPr>
              <w:t>问答服务</w:t>
            </w:r>
          </w:p>
        </w:tc>
        <w:tc>
          <w:tcPr>
            <w:tcW w:w="1350" w:type="dxa"/>
            <w:shd w:val="clear" w:color="auto" w:fill="FFFFFF"/>
            <w:vAlign w:val="center"/>
          </w:tcPr>
          <w:p w14:paraId="006751F2">
            <w:pPr>
              <w:spacing w:before="0" w:after="0" w:line="240" w:lineRule="auto"/>
              <w:ind w:left="0" w:right="0" w:firstLine="0" w:firstLineChars="0"/>
              <w:jc w:val="left"/>
            </w:pPr>
            <w:r>
              <w:rPr>
                <w:rFonts w:ascii="宋体" w:hAnsi="宋体" w:eastAsia="宋体" w:cs="宋体"/>
                <w:b w:val="0"/>
                <w:bCs w:val="0"/>
                <w:color w:val="000000"/>
                <w:sz w:val="16"/>
                <w:szCs w:val="16"/>
              </w:rPr>
              <w:t>输入：文字问题与公开问答任务</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输出：数字人问答处理请求</w:t>
            </w:r>
          </w:p>
        </w:tc>
        <w:tc>
          <w:tcPr>
            <w:tcW w:w="2000" w:type="dxa"/>
            <w:shd w:val="clear" w:color="auto" w:fill="FFFFFF"/>
            <w:vAlign w:val="center"/>
          </w:tcPr>
          <w:p w14:paraId="11EABC1F">
            <w:pPr>
              <w:spacing w:before="0" w:after="0" w:line="240" w:lineRule="auto"/>
              <w:ind w:left="0" w:right="0" w:firstLine="0" w:firstLineChars="0"/>
              <w:jc w:val="left"/>
            </w:pPr>
            <w:r>
              <w:rPr>
                <w:rFonts w:ascii="宋体" w:hAnsi="宋体" w:eastAsia="宋体" w:cs="宋体"/>
                <w:b w:val="0"/>
                <w:bCs w:val="0"/>
                <w:color w:val="000000"/>
                <w:sz w:val="16"/>
                <w:szCs w:val="16"/>
              </w:rPr>
              <w:t>将本轮问题和问答身份交接至3.4.3，衔接公开知识回答、输出过滤、语音合成及数字人展示。</w:t>
            </w:r>
          </w:p>
        </w:tc>
        <w:tc>
          <w:tcPr>
            <w:tcW w:w="1072" w:type="dxa"/>
            <w:shd w:val="clear" w:color="auto" w:fill="FFFFFF"/>
            <w:vAlign w:val="center"/>
          </w:tcPr>
          <w:p w14:paraId="07E71893">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2F93CE00">
            <w:pPr>
              <w:spacing w:before="0" w:after="0" w:line="240" w:lineRule="auto"/>
              <w:ind w:left="0" w:right="0" w:firstLine="0" w:firstLineChars="0"/>
              <w:jc w:val="left"/>
            </w:pPr>
            <w:r>
              <w:rPr>
                <w:rFonts w:ascii="宋体" w:hAnsi="宋体" w:eastAsia="宋体" w:cs="宋体"/>
                <w:b w:val="0"/>
                <w:bCs w:val="0"/>
                <w:color w:val="000000"/>
                <w:sz w:val="16"/>
                <w:szCs w:val="16"/>
              </w:rPr>
              <w:t>P-ZLTC-AI-ZNWS-101-04-001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P-ZLTC-AI-FKZSWD-116-01-001</w:t>
            </w:r>
          </w:p>
        </w:tc>
      </w:tr>
    </w:tbl>
    <w:p w14:paraId="72000028">
      <w:pPr>
        <w:pStyle w:val="4"/>
        <w:snapToGrid w:val="0"/>
      </w:pPr>
      <w:bookmarkStart w:id="31" w:name="s3_4_3"/>
      <w:r>
        <w:rPr>
          <w:rFonts w:ascii="黑体" w:hAnsi="黑体" w:eastAsia="黑体" w:cs="黑体"/>
          <w:b/>
          <w:color w:val="000000"/>
        </w:rPr>
        <w:t>3.4.3　展厅智能问答数字人</w:t>
      </w:r>
      <w:bookmarkEnd w:id="31"/>
    </w:p>
    <w:p w14:paraId="33062620">
      <w:pPr>
        <w:pStyle w:val="12"/>
        <w:keepNext/>
        <w:snapToGrid w:val="0"/>
        <w:spacing w:before="0" w:after="40" w:line="240" w:lineRule="auto"/>
        <w:ind w:left="0" w:right="0" w:firstLine="0" w:firstLineChars="0"/>
        <w:jc w:val="center"/>
      </w:pPr>
      <w:r>
        <w:drawing>
          <wp:inline distT="0" distB="0" distL="0" distR="0">
            <wp:extent cx="5759450" cy="4787265"/>
            <wp:effectExtent l="0" t="0" r="6350" b="13335"/>
            <wp:docPr id="20" name="P-ZLTC-AI-ZTZNWDSZR-118 展厅智能问答数字人流程" descr="P-ZLTC-AI-ZTZNWDSZR-118 展厅智能问答数字人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ZLTC-AI-ZTZNWDSZR-118 展厅智能问答数字人流程" descr="P-ZLTC-AI-ZTZNWDSZR-118 展厅智能问答数字人流程"/>
                    <pic:cNvPicPr>
                      <a:picLocks noChangeAspect="1"/>
                    </pic:cNvPicPr>
                  </pic:nvPicPr>
                  <pic:blipFill>
                    <a:blip r:embed="rId28"/>
                    <a:stretch>
                      <a:fillRect/>
                    </a:stretch>
                  </pic:blipFill>
                  <pic:spPr>
                    <a:xfrm>
                      <a:off x="0" y="0"/>
                      <a:ext cx="5759450" cy="4787543"/>
                    </a:xfrm>
                    <a:prstGeom prst="rect">
                      <a:avLst/>
                    </a:prstGeom>
                  </pic:spPr>
                </pic:pic>
              </a:graphicData>
            </a:graphic>
          </wp:inline>
        </w:drawing>
      </w:r>
    </w:p>
    <w:p w14:paraId="624F3BF9">
      <w:pPr>
        <w:pStyle w:val="15"/>
        <w:keepNext w:val="0"/>
        <w:snapToGrid w:val="0"/>
        <w:jc w:val="center"/>
      </w:pPr>
      <w:r>
        <w:t>图3-18　展厅智能问答数字人业务流程图</w:t>
      </w:r>
    </w:p>
    <w:p w14:paraId="0F815E89">
      <w:pPr>
        <w:pStyle w:val="15"/>
        <w:keepNext/>
        <w:snapToGrid w:val="0"/>
        <w:jc w:val="center"/>
      </w:pPr>
      <w:r>
        <w:t>表3-19　展厅智能问答数字人业务流程说明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59AC0E23">
        <w:trPr>
          <w:cantSplit/>
          <w:tblHeader/>
          <w:jc w:val="center"/>
        </w:trPr>
        <w:tc>
          <w:tcPr>
            <w:tcW w:w="650" w:type="dxa"/>
            <w:shd w:val="clear" w:color="auto" w:fill="FFFFFF"/>
            <w:vAlign w:val="center"/>
          </w:tcPr>
          <w:p w14:paraId="3F6057A1">
            <w:pPr>
              <w:keepNext w:val="0"/>
              <w:keepLines/>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015A0751">
            <w:pPr>
              <w:keepNext w:val="0"/>
              <w:keepLines/>
              <w:spacing w:before="0" w:after="0" w:line="240" w:lineRule="auto"/>
              <w:ind w:left="0" w:right="0" w:firstLine="0" w:firstLineChars="0"/>
              <w:jc w:val="center"/>
            </w:pPr>
            <w:r>
              <w:rPr>
                <w:rFonts w:ascii="宋体" w:hAnsi="宋体" w:eastAsia="宋体" w:cs="宋体"/>
                <w:b/>
                <w:bCs/>
                <w:color w:val="000000"/>
                <w:sz w:val="16"/>
                <w:szCs w:val="16"/>
              </w:rPr>
              <w:t>节点名称</w:t>
            </w:r>
          </w:p>
        </w:tc>
        <w:tc>
          <w:tcPr>
            <w:tcW w:w="950" w:type="dxa"/>
            <w:shd w:val="clear" w:color="auto" w:fill="FFFFFF"/>
            <w:vAlign w:val="center"/>
          </w:tcPr>
          <w:p w14:paraId="512F75B3">
            <w:pPr>
              <w:keepNext w:val="0"/>
              <w:keepLines/>
              <w:spacing w:before="0" w:after="0" w:line="240" w:lineRule="auto"/>
              <w:ind w:left="0" w:right="0" w:firstLine="0" w:firstLineChars="0"/>
              <w:jc w:val="center"/>
            </w:pPr>
            <w:r>
              <w:rPr>
                <w:rFonts w:ascii="宋体" w:hAnsi="宋体" w:eastAsia="宋体" w:cs="宋体"/>
                <w:b/>
                <w:bCs/>
                <w:color w:val="000000"/>
                <w:sz w:val="16"/>
                <w:szCs w:val="16"/>
              </w:rPr>
              <w:t>责任节点</w:t>
            </w:r>
          </w:p>
        </w:tc>
        <w:tc>
          <w:tcPr>
            <w:tcW w:w="1350" w:type="dxa"/>
            <w:shd w:val="clear" w:color="auto" w:fill="FFFFFF"/>
            <w:vAlign w:val="center"/>
          </w:tcPr>
          <w:p w14:paraId="4EA889BB">
            <w:pPr>
              <w:keepNext w:val="0"/>
              <w:keepLines/>
              <w:spacing w:before="0" w:after="0" w:line="240" w:lineRule="auto"/>
              <w:ind w:left="0" w:right="0" w:firstLine="0" w:firstLineChars="0"/>
              <w:jc w:val="center"/>
            </w:pPr>
            <w:r>
              <w:rPr>
                <w:rFonts w:ascii="宋体" w:hAnsi="宋体" w:eastAsia="宋体" w:cs="宋体"/>
                <w:b/>
                <w:bCs/>
                <w:color w:val="000000"/>
                <w:sz w:val="16"/>
                <w:szCs w:val="16"/>
              </w:rPr>
              <w:t>输入/输出</w:t>
            </w:r>
          </w:p>
        </w:tc>
        <w:tc>
          <w:tcPr>
            <w:tcW w:w="2000" w:type="dxa"/>
            <w:shd w:val="clear" w:color="auto" w:fill="FFFFFF"/>
            <w:vAlign w:val="center"/>
          </w:tcPr>
          <w:p w14:paraId="72D0247C">
            <w:pPr>
              <w:keepNext w:val="0"/>
              <w:keepLines/>
              <w:spacing w:before="0" w:after="0" w:line="240" w:lineRule="auto"/>
              <w:ind w:left="0" w:right="0" w:firstLine="0" w:firstLineChars="0"/>
              <w:jc w:val="center"/>
            </w:pPr>
            <w:r>
              <w:rPr>
                <w:rFonts w:ascii="宋体" w:hAnsi="宋体" w:eastAsia="宋体" w:cs="宋体"/>
                <w:b/>
                <w:bCs/>
                <w:color w:val="000000"/>
                <w:sz w:val="16"/>
                <w:szCs w:val="16"/>
              </w:rPr>
              <w:t>处理说明</w:t>
            </w:r>
          </w:p>
        </w:tc>
        <w:tc>
          <w:tcPr>
            <w:tcW w:w="1072" w:type="dxa"/>
            <w:shd w:val="clear" w:color="auto" w:fill="FFFFFF"/>
            <w:vAlign w:val="center"/>
          </w:tcPr>
          <w:p w14:paraId="0777400F">
            <w:pPr>
              <w:keepNext w:val="0"/>
              <w:keepLines/>
              <w:spacing w:before="0" w:after="0" w:line="240" w:lineRule="auto"/>
              <w:ind w:left="0" w:right="0" w:firstLine="0" w:firstLineChars="0"/>
              <w:jc w:val="center"/>
            </w:pPr>
            <w:r>
              <w:rPr>
                <w:rFonts w:ascii="宋体" w:hAnsi="宋体" w:eastAsia="宋体" w:cs="宋体"/>
                <w:b/>
                <w:bCs/>
                <w:color w:val="000000"/>
                <w:sz w:val="16"/>
                <w:szCs w:val="16"/>
              </w:rPr>
              <w:t>异常/分支</w:t>
            </w:r>
          </w:p>
        </w:tc>
        <w:tc>
          <w:tcPr>
            <w:tcW w:w="2000" w:type="dxa"/>
            <w:shd w:val="clear" w:color="auto" w:fill="FFFFFF"/>
            <w:vAlign w:val="center"/>
          </w:tcPr>
          <w:p w14:paraId="25442F25">
            <w:pPr>
              <w:keepNext w:val="0"/>
              <w:keepLines/>
              <w:spacing w:before="0" w:after="0" w:line="240" w:lineRule="auto"/>
              <w:ind w:left="0" w:right="0" w:firstLine="0" w:firstLineChars="0"/>
              <w:jc w:val="center"/>
            </w:pPr>
            <w:r>
              <w:rPr>
                <w:rFonts w:ascii="宋体" w:hAnsi="宋体" w:eastAsia="宋体" w:cs="宋体"/>
                <w:b/>
                <w:bCs/>
                <w:color w:val="000000"/>
                <w:sz w:val="16"/>
                <w:szCs w:val="16"/>
              </w:rPr>
              <w:t>关联规则</w:t>
            </w:r>
          </w:p>
        </w:tc>
      </w:tr>
      <w:tr w14:paraId="1B4984B9">
        <w:trPr>
          <w:cantSplit/>
          <w:jc w:val="center"/>
        </w:trPr>
        <w:tc>
          <w:tcPr>
            <w:tcW w:w="650" w:type="dxa"/>
            <w:shd w:val="clear" w:color="auto" w:fill="FFFFFF"/>
            <w:vAlign w:val="center"/>
          </w:tcPr>
          <w:p w14:paraId="55534B58">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24BC6ABB">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接收本轮问题</w:t>
            </w:r>
          </w:p>
        </w:tc>
        <w:tc>
          <w:tcPr>
            <w:tcW w:w="950" w:type="dxa"/>
            <w:shd w:val="clear" w:color="auto" w:fill="FFFFFF"/>
            <w:vAlign w:val="center"/>
          </w:tcPr>
          <w:p w14:paraId="7DE9B87B">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1C0CBA9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输入：语音转写或文字问题及演示身份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输出：公开问答请求</w:t>
            </w:r>
          </w:p>
        </w:tc>
        <w:tc>
          <w:tcPr>
            <w:tcW w:w="2000" w:type="dxa"/>
            <w:shd w:val="clear" w:color="auto" w:fill="FFFFFF"/>
            <w:vAlign w:val="center"/>
          </w:tcPr>
          <w:p w14:paraId="37DFA1B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承接3.4.2完成转写或文字输入的问题，关联访客级演示身份和当前会话，进入本轮公开知识问答。</w:t>
            </w:r>
          </w:p>
        </w:tc>
        <w:tc>
          <w:tcPr>
            <w:tcW w:w="1072" w:type="dxa"/>
            <w:shd w:val="clear" w:color="auto" w:fill="FFFFFF"/>
            <w:vAlign w:val="center"/>
          </w:tcPr>
          <w:p w14:paraId="52138930">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→02</w:t>
            </w:r>
          </w:p>
        </w:tc>
        <w:tc>
          <w:tcPr>
            <w:tcW w:w="2000" w:type="dxa"/>
            <w:shd w:val="clear" w:color="auto" w:fill="FFFFFF"/>
            <w:vAlign w:val="center"/>
          </w:tcPr>
          <w:p w14:paraId="5DB3DBA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2E2AE9D4">
        <w:trPr>
          <w:cantSplit/>
          <w:jc w:val="center"/>
        </w:trPr>
        <w:tc>
          <w:tcPr>
            <w:tcW w:w="650" w:type="dxa"/>
            <w:shd w:val="clear" w:color="auto" w:fill="FFFFFF"/>
            <w:vAlign w:val="center"/>
          </w:tcPr>
          <w:p w14:paraId="0F0BC24C">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1939D669">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检索公开知识</w:t>
            </w:r>
          </w:p>
        </w:tc>
        <w:tc>
          <w:tcPr>
            <w:tcW w:w="950" w:type="dxa"/>
            <w:shd w:val="clear" w:color="auto" w:fill="FFFFFF"/>
            <w:vAlign w:val="center"/>
          </w:tcPr>
          <w:p w14:paraId="6FDCFE5F">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知识库引擎</w:t>
            </w:r>
          </w:p>
        </w:tc>
        <w:tc>
          <w:tcPr>
            <w:tcW w:w="1350" w:type="dxa"/>
            <w:shd w:val="clear" w:color="auto" w:fill="FFFFFF"/>
            <w:vAlign w:val="center"/>
          </w:tcPr>
          <w:p w14:paraId="47E4C2D3">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输入：问题、演示身份及公开知识</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输出：可见知识片段或检索状态</w:t>
            </w:r>
          </w:p>
        </w:tc>
        <w:tc>
          <w:tcPr>
            <w:tcW w:w="2000" w:type="dxa"/>
            <w:shd w:val="clear" w:color="auto" w:fill="FFFFFF"/>
            <w:vAlign w:val="center"/>
          </w:tcPr>
          <w:p w14:paraId="166AC05F">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复用3.4.1访客知识问答，检索企业介绍、参观须知等正式公开材料，按文档密级、有效版本和角色提供可见片段。</w:t>
            </w:r>
          </w:p>
        </w:tc>
        <w:tc>
          <w:tcPr>
            <w:tcW w:w="1072" w:type="dxa"/>
            <w:shd w:val="clear" w:color="auto" w:fill="FFFFFF"/>
            <w:vAlign w:val="center"/>
          </w:tcPr>
          <w:p w14:paraId="4109E052">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→03</w:t>
            </w:r>
          </w:p>
        </w:tc>
        <w:tc>
          <w:tcPr>
            <w:tcW w:w="2000" w:type="dxa"/>
            <w:shd w:val="clear" w:color="auto" w:fill="FFFFFF"/>
            <w:vAlign w:val="center"/>
          </w:tcPr>
          <w:p w14:paraId="2E2B4622">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P-ZLTC-AI-FKZSWD-116-01-001</w:t>
            </w:r>
          </w:p>
        </w:tc>
      </w:tr>
      <w:tr w14:paraId="09251C0D">
        <w:trPr>
          <w:cantSplit/>
          <w:jc w:val="center"/>
        </w:trPr>
        <w:tc>
          <w:tcPr>
            <w:tcW w:w="650" w:type="dxa"/>
            <w:shd w:val="clear" w:color="auto" w:fill="FFFFFF"/>
            <w:vAlign w:val="center"/>
          </w:tcPr>
          <w:p w14:paraId="6594BED0">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7257C059">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组织回答与引用</w:t>
            </w:r>
          </w:p>
        </w:tc>
        <w:tc>
          <w:tcPr>
            <w:tcW w:w="950" w:type="dxa"/>
            <w:shd w:val="clear" w:color="auto" w:fill="FFFFFF"/>
            <w:vAlign w:val="center"/>
          </w:tcPr>
          <w:p w14:paraId="23564BE1">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知识库引擎</w:t>
            </w:r>
          </w:p>
        </w:tc>
        <w:tc>
          <w:tcPr>
            <w:tcW w:w="1350" w:type="dxa"/>
            <w:shd w:val="clear" w:color="auto" w:fill="FFFFFF"/>
            <w:vAlign w:val="center"/>
          </w:tcPr>
          <w:p w14:paraId="77946DD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输入：可见知识片段或检索状态</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输出：回答、拒答或未命中说明</w:t>
            </w:r>
          </w:p>
        </w:tc>
        <w:tc>
          <w:tcPr>
            <w:tcW w:w="2000" w:type="dxa"/>
            <w:shd w:val="clear" w:color="auto" w:fill="FFFFFF"/>
            <w:vAlign w:val="center"/>
          </w:tcPr>
          <w:p w14:paraId="448CB7E3">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基于公开资料组织带来源的回答，保留文件名及条款位置；无权限或未命中时返回对应说明，知识缺口沿访客问答既有路径记录处理。</w:t>
            </w:r>
          </w:p>
        </w:tc>
        <w:tc>
          <w:tcPr>
            <w:tcW w:w="1072" w:type="dxa"/>
            <w:shd w:val="clear" w:color="auto" w:fill="FFFFFF"/>
            <w:vAlign w:val="center"/>
          </w:tcPr>
          <w:p w14:paraId="62908703">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→04</w:t>
            </w:r>
          </w:p>
        </w:tc>
        <w:tc>
          <w:tcPr>
            <w:tcW w:w="2000" w:type="dxa"/>
            <w:shd w:val="clear" w:color="auto" w:fill="FFFFFF"/>
            <w:vAlign w:val="center"/>
          </w:tcPr>
          <w:p w14:paraId="6926079F">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P-ZLTC-AI-ZNWS-101-08-003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P-ZLTC-AI-FKZSWD-116-01-001</w:t>
            </w:r>
          </w:p>
        </w:tc>
      </w:tr>
      <w:tr w14:paraId="73DED2D9">
        <w:trPr>
          <w:cantSplit/>
          <w:jc w:val="center"/>
        </w:trPr>
        <w:tc>
          <w:tcPr>
            <w:tcW w:w="650" w:type="dxa"/>
            <w:shd w:val="clear" w:color="auto" w:fill="FFFFFF"/>
            <w:vAlign w:val="center"/>
          </w:tcPr>
          <w:p w14:paraId="3D72FC98">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1271902A">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执行输出内容过滤</w:t>
            </w:r>
          </w:p>
        </w:tc>
        <w:tc>
          <w:tcPr>
            <w:tcW w:w="950" w:type="dxa"/>
            <w:shd w:val="clear" w:color="auto" w:fill="FFFFFF"/>
            <w:vAlign w:val="center"/>
          </w:tcPr>
          <w:p w14:paraId="1A437896">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2FC3072F">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输入：问答文本及引用来源</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输出：安全过滤后的可播报文本</w:t>
            </w:r>
          </w:p>
        </w:tc>
        <w:tc>
          <w:tcPr>
            <w:tcW w:w="2000" w:type="dxa"/>
            <w:shd w:val="clear" w:color="auto" w:fill="FFFFFF"/>
            <w:vAlign w:val="center"/>
          </w:tcPr>
          <w:p w14:paraId="5F49F9F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按公开展示要求执行内容过滤，核对回答的公开范围和受限信息保护，形成用于语音合成与数字孪生展示的同一份文本。</w:t>
            </w:r>
          </w:p>
        </w:tc>
        <w:tc>
          <w:tcPr>
            <w:tcW w:w="1072" w:type="dxa"/>
            <w:shd w:val="clear" w:color="auto" w:fill="FFFFFF"/>
            <w:vAlign w:val="center"/>
          </w:tcPr>
          <w:p w14:paraId="3161A2B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→05</w:t>
            </w:r>
          </w:p>
        </w:tc>
        <w:tc>
          <w:tcPr>
            <w:tcW w:w="2000" w:type="dxa"/>
            <w:shd w:val="clear" w:color="auto" w:fill="FFFFFF"/>
            <w:vAlign w:val="center"/>
          </w:tcPr>
          <w:p w14:paraId="4833AF11">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P-ZLTC-AI-FKZSWD-116-01-001</w:t>
            </w:r>
          </w:p>
        </w:tc>
      </w:tr>
      <w:tr w14:paraId="5B12DDEC">
        <w:trPr>
          <w:cantSplit/>
          <w:jc w:val="center"/>
        </w:trPr>
        <w:tc>
          <w:tcPr>
            <w:tcW w:w="650" w:type="dxa"/>
            <w:shd w:val="clear" w:color="auto" w:fill="FFFFFF"/>
            <w:vAlign w:val="center"/>
          </w:tcPr>
          <w:p w14:paraId="380DA796">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02A0BE49">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生成语音合成音频</w:t>
            </w:r>
          </w:p>
        </w:tc>
        <w:tc>
          <w:tcPr>
            <w:tcW w:w="950" w:type="dxa"/>
            <w:shd w:val="clear" w:color="auto" w:fill="FFFFFF"/>
            <w:vAlign w:val="center"/>
          </w:tcPr>
          <w:p w14:paraId="3E2DCE4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语音合成服务</w:t>
            </w:r>
          </w:p>
        </w:tc>
        <w:tc>
          <w:tcPr>
            <w:tcW w:w="1350" w:type="dxa"/>
            <w:shd w:val="clear" w:color="auto" w:fill="FFFFFF"/>
            <w:vAlign w:val="center"/>
          </w:tcPr>
          <w:p w14:paraId="5F63E12F">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输入：过滤后的回答或状态说明</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输出：可播报合成音频</w:t>
            </w:r>
          </w:p>
        </w:tc>
        <w:tc>
          <w:tcPr>
            <w:tcW w:w="2000" w:type="dxa"/>
            <w:shd w:val="clear" w:color="auto" w:fill="FFFFFF"/>
            <w:vAlign w:val="center"/>
          </w:tcPr>
          <w:p w14:paraId="047FB177">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通过语音合成能力将过滤后的文本转换为音频，保持播报内容与已核对的回答或状态说明一致。</w:t>
            </w:r>
          </w:p>
        </w:tc>
        <w:tc>
          <w:tcPr>
            <w:tcW w:w="1072" w:type="dxa"/>
            <w:shd w:val="clear" w:color="auto" w:fill="FFFFFF"/>
            <w:vAlign w:val="center"/>
          </w:tcPr>
          <w:p w14:paraId="675F4892">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→06</w:t>
            </w:r>
          </w:p>
        </w:tc>
        <w:tc>
          <w:tcPr>
            <w:tcW w:w="2000" w:type="dxa"/>
            <w:shd w:val="clear" w:color="auto" w:fill="FFFFFF"/>
            <w:vAlign w:val="center"/>
          </w:tcPr>
          <w:p w14:paraId="5CC886D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18135002">
        <w:trPr>
          <w:cantSplit/>
          <w:jc w:val="center"/>
        </w:trPr>
        <w:tc>
          <w:tcPr>
            <w:tcW w:w="650" w:type="dxa"/>
            <w:shd w:val="clear" w:color="auto" w:fill="FFFFFF"/>
            <w:vAlign w:val="center"/>
          </w:tcPr>
          <w:p w14:paraId="1F2049A8">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727C4430">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传递结果与音频</w:t>
            </w:r>
          </w:p>
        </w:tc>
        <w:tc>
          <w:tcPr>
            <w:tcW w:w="950" w:type="dxa"/>
            <w:shd w:val="clear" w:color="auto" w:fill="FFFFFF"/>
            <w:vAlign w:val="center"/>
          </w:tcPr>
          <w:p w14:paraId="31D03943">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2830F96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输入：本轮问题、问答文本及合成音频</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输出：数字孪生接口数据</w:t>
            </w:r>
          </w:p>
        </w:tc>
        <w:tc>
          <w:tcPr>
            <w:tcW w:w="2000" w:type="dxa"/>
            <w:shd w:val="clear" w:color="auto" w:fill="FFFFFF"/>
            <w:vAlign w:val="center"/>
          </w:tcPr>
          <w:p w14:paraId="6A2BAEB2">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将语音识别形成的问题文字、问答结果和语音合成音频传递给数字孪生模块，关联同一轮会话，供形象、口型与大屏呈现使用。</w:t>
            </w:r>
          </w:p>
        </w:tc>
        <w:tc>
          <w:tcPr>
            <w:tcW w:w="1072" w:type="dxa"/>
            <w:shd w:val="clear" w:color="auto" w:fill="FFFFFF"/>
            <w:vAlign w:val="center"/>
          </w:tcPr>
          <w:p w14:paraId="178D71A2">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→07</w:t>
            </w:r>
          </w:p>
        </w:tc>
        <w:tc>
          <w:tcPr>
            <w:tcW w:w="2000" w:type="dxa"/>
            <w:shd w:val="clear" w:color="auto" w:fill="FFFFFF"/>
            <w:vAlign w:val="center"/>
          </w:tcPr>
          <w:p w14:paraId="3F58B5E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p>
        </w:tc>
      </w:tr>
      <w:tr w14:paraId="4BA54238">
        <w:trPr>
          <w:cantSplit/>
          <w:jc w:val="center"/>
        </w:trPr>
        <w:tc>
          <w:tcPr>
            <w:tcW w:w="650" w:type="dxa"/>
            <w:shd w:val="clear" w:color="auto" w:fill="FFFFFF"/>
            <w:vAlign w:val="center"/>
          </w:tcPr>
          <w:p w14:paraId="1A9B71B5">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708F0E29">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驱动形象模型与口型</w:t>
            </w:r>
          </w:p>
        </w:tc>
        <w:tc>
          <w:tcPr>
            <w:tcW w:w="950" w:type="dxa"/>
            <w:shd w:val="clear" w:color="auto" w:fill="FFFFFF"/>
            <w:vAlign w:val="center"/>
          </w:tcPr>
          <w:p w14:paraId="2917DF39">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数字孪生模块</w:t>
            </w:r>
          </w:p>
        </w:tc>
        <w:tc>
          <w:tcPr>
            <w:tcW w:w="1350" w:type="dxa"/>
            <w:shd w:val="clear" w:color="auto" w:fill="FFFFFF"/>
            <w:vAlign w:val="center"/>
          </w:tcPr>
          <w:p w14:paraId="0830738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输入：本轮文本、音频及交互信息</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输出：数字人形象、模型及口型呈现</w:t>
            </w:r>
          </w:p>
        </w:tc>
        <w:tc>
          <w:tcPr>
            <w:tcW w:w="2000" w:type="dxa"/>
            <w:shd w:val="clear" w:color="auto" w:fill="FFFFFF"/>
            <w:vAlign w:val="center"/>
          </w:tcPr>
          <w:p w14:paraId="4164666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数字孪生模块结合数字人形象和三维模型驱动口型及播报表现，使形象动作与当前合成音频衔接。</w:t>
            </w:r>
          </w:p>
        </w:tc>
        <w:tc>
          <w:tcPr>
            <w:tcW w:w="1072" w:type="dxa"/>
            <w:shd w:val="clear" w:color="auto" w:fill="FFFFFF"/>
            <w:vAlign w:val="center"/>
          </w:tcPr>
          <w:p w14:paraId="2108B17B">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→08</w:t>
            </w:r>
          </w:p>
        </w:tc>
        <w:tc>
          <w:tcPr>
            <w:tcW w:w="2000" w:type="dxa"/>
            <w:shd w:val="clear" w:color="auto" w:fill="FFFFFF"/>
            <w:vAlign w:val="center"/>
          </w:tcPr>
          <w:p w14:paraId="79ADA754">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2B07FB8E">
        <w:trPr>
          <w:cantSplit/>
          <w:jc w:val="center"/>
        </w:trPr>
        <w:tc>
          <w:tcPr>
            <w:tcW w:w="650" w:type="dxa"/>
            <w:shd w:val="clear" w:color="auto" w:fill="FFFFFF"/>
            <w:vAlign w:val="center"/>
          </w:tcPr>
          <w:p w14:paraId="6C15EF14">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08</w:t>
            </w:r>
          </w:p>
        </w:tc>
        <w:tc>
          <w:tcPr>
            <w:tcW w:w="1050" w:type="dxa"/>
            <w:shd w:val="clear" w:color="auto" w:fill="FFFFFF"/>
            <w:vAlign w:val="center"/>
          </w:tcPr>
          <w:p w14:paraId="77481110">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适配展厅大屏展示</w:t>
            </w:r>
          </w:p>
        </w:tc>
        <w:tc>
          <w:tcPr>
            <w:tcW w:w="950" w:type="dxa"/>
            <w:shd w:val="clear" w:color="auto" w:fill="FFFFFF"/>
            <w:vAlign w:val="center"/>
          </w:tcPr>
          <w:p w14:paraId="7E5DAC23">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数字孪生模块</w:t>
            </w:r>
          </w:p>
        </w:tc>
        <w:tc>
          <w:tcPr>
            <w:tcW w:w="1350" w:type="dxa"/>
            <w:shd w:val="clear" w:color="auto" w:fill="FFFFFF"/>
            <w:vAlign w:val="center"/>
          </w:tcPr>
          <w:p w14:paraId="2AE6D018">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输入：数字人呈现与本轮问答内容</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输出：展厅大屏画面和语音播报</w:t>
            </w:r>
          </w:p>
        </w:tc>
        <w:tc>
          <w:tcPr>
            <w:tcW w:w="2000" w:type="dxa"/>
            <w:shd w:val="clear" w:color="auto" w:fill="FFFFFF"/>
            <w:vAlign w:val="center"/>
          </w:tcPr>
          <w:p w14:paraId="3C39D9F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由数字孪生模块完成展厅大屏适配，使问答内容、合成音频和数字人画面共同呈现；联调核对文本、语音、口型与画面的对应关系。</w:t>
            </w:r>
          </w:p>
        </w:tc>
        <w:tc>
          <w:tcPr>
            <w:tcW w:w="1072" w:type="dxa"/>
            <w:shd w:val="clear" w:color="auto" w:fill="FFFFFF"/>
            <w:vAlign w:val="center"/>
          </w:tcPr>
          <w:p w14:paraId="146D5338">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→09</w:t>
            </w:r>
          </w:p>
        </w:tc>
        <w:tc>
          <w:tcPr>
            <w:tcW w:w="2000" w:type="dxa"/>
            <w:shd w:val="clear" w:color="auto" w:fill="FFFFFF"/>
            <w:vAlign w:val="center"/>
          </w:tcPr>
          <w:p w14:paraId="2A36FEB8">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p>
        </w:tc>
      </w:tr>
      <w:tr w14:paraId="7ECFA5DE">
        <w:trPr>
          <w:cantSplit/>
          <w:jc w:val="center"/>
        </w:trPr>
        <w:tc>
          <w:tcPr>
            <w:tcW w:w="650" w:type="dxa"/>
            <w:shd w:val="clear" w:color="auto" w:fill="FFFFFF"/>
            <w:vAlign w:val="center"/>
          </w:tcPr>
          <w:p w14:paraId="06D5B515">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09</w:t>
            </w:r>
          </w:p>
        </w:tc>
        <w:tc>
          <w:tcPr>
            <w:tcW w:w="1050" w:type="dxa"/>
            <w:shd w:val="clear" w:color="auto" w:fill="FFFFFF"/>
            <w:vAlign w:val="center"/>
          </w:tcPr>
          <w:p w14:paraId="77A362CF">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观看播报并继续互动</w:t>
            </w:r>
          </w:p>
        </w:tc>
        <w:tc>
          <w:tcPr>
            <w:tcW w:w="950" w:type="dxa"/>
            <w:shd w:val="clear" w:color="auto" w:fill="FFFFFF"/>
            <w:vAlign w:val="center"/>
          </w:tcPr>
          <w:p w14:paraId="66CCCA11">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展厅参观者</w:t>
            </w:r>
          </w:p>
        </w:tc>
        <w:tc>
          <w:tcPr>
            <w:tcW w:w="1350" w:type="dxa"/>
            <w:shd w:val="clear" w:color="auto" w:fill="FFFFFF"/>
            <w:vAlign w:val="center"/>
          </w:tcPr>
          <w:p w14:paraId="471F9CA7">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输入：本轮数字人问答呈现</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输出：查看完成或下一轮问题</w:t>
            </w:r>
          </w:p>
        </w:tc>
        <w:tc>
          <w:tcPr>
            <w:tcW w:w="2000" w:type="dxa"/>
            <w:shd w:val="clear" w:color="auto" w:fill="FFFFFF"/>
            <w:vAlign w:val="center"/>
          </w:tcPr>
          <w:p w14:paraId="5C4BBAD0">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参观者观看大屏并收听播报，可结束本轮或继续提问；语音再问进入3.4.2完成唤醒与转写后返回本流程，文字再问直接进入本流程01。</w:t>
            </w:r>
          </w:p>
        </w:tc>
        <w:tc>
          <w:tcPr>
            <w:tcW w:w="1072" w:type="dxa"/>
            <w:shd w:val="clear" w:color="auto" w:fill="FFFFFF"/>
            <w:vAlign w:val="center"/>
          </w:tcPr>
          <w:p w14:paraId="4BD08D46">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语音再问→3.4.2/01；文字再问→本流程01；结束本轮→结束。</w:t>
            </w:r>
          </w:p>
        </w:tc>
        <w:tc>
          <w:tcPr>
            <w:tcW w:w="2000" w:type="dxa"/>
            <w:shd w:val="clear" w:color="auto" w:fill="FFFFFF"/>
            <w:vAlign w:val="center"/>
          </w:tcPr>
          <w:p w14:paraId="0404EB02">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w:t>
            </w:r>
          </w:p>
        </w:tc>
      </w:tr>
    </w:tbl>
    <w:p w14:paraId="7200002D">
      <w:pPr>
        <w:pStyle w:val="3"/>
        <w:snapToGrid w:val="0"/>
      </w:pPr>
      <w:bookmarkStart w:id="32" w:name="s3_5"/>
      <w:r>
        <w:rPr>
          <w:rFonts w:ascii="黑体" w:hAnsi="黑体" w:eastAsia="黑体" w:cs="黑体"/>
          <w:b/>
          <w:color w:val="000000"/>
        </w:rPr>
        <w:t>3.5　质量安全环保类</w:t>
      </w:r>
      <w:bookmarkEnd w:id="32"/>
    </w:p>
    <w:p w14:paraId="7200002E">
      <w:pPr>
        <w:pStyle w:val="4"/>
        <w:snapToGrid w:val="0"/>
      </w:pPr>
      <w:bookmarkStart w:id="33" w:name="s3_5_1"/>
      <w:r>
        <w:rPr>
          <w:rFonts w:ascii="黑体" w:hAnsi="黑体" w:eastAsia="黑体" w:cs="黑体"/>
          <w:b/>
          <w:color w:val="000000"/>
        </w:rPr>
        <w:t>3.5.1　质量安全环保</w:t>
      </w:r>
      <w:bookmarkEnd w:id="33"/>
    </w:p>
    <w:p w14:paraId="7166DBB1">
      <w:pPr>
        <w:pStyle w:val="12"/>
        <w:keepNext/>
        <w:snapToGrid w:val="0"/>
        <w:spacing w:before="0" w:after="40" w:line="240" w:lineRule="auto"/>
        <w:ind w:left="0" w:right="0" w:firstLine="0" w:firstLineChars="0"/>
        <w:jc w:val="center"/>
      </w:pPr>
      <w:r>
        <w:drawing>
          <wp:inline distT="0" distB="0" distL="0" distR="0">
            <wp:extent cx="5759450" cy="7162800"/>
            <wp:effectExtent l="0" t="0" r="0" b="0"/>
            <wp:docPr id="22" name="P-ZLTC-AI-ZLAQHB-119 质量安全环保业务流程" descr="P-ZLTC-AI-ZLAQHB-119 质量安全环保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ZLTC-AI-ZLAQHB-119 质量安全环保业务流程" descr="P-ZLTC-AI-ZLAQHB-119 质量安全环保业务流程"/>
                    <pic:cNvPicPr>
                      <a:picLocks noChangeAspect="1"/>
                    </pic:cNvPicPr>
                  </pic:nvPicPr>
                  <pic:blipFill>
                    <a:blip r:embed="rId29"/>
                    <a:stretch>
                      <a:fillRect/>
                    </a:stretch>
                  </pic:blipFill>
                  <pic:spPr>
                    <a:xfrm>
                      <a:off x="0" y="0"/>
                      <a:ext cx="5759450" cy="7163316"/>
                    </a:xfrm>
                    <a:prstGeom prst="rect">
                      <a:avLst/>
                    </a:prstGeom>
                  </pic:spPr>
                </pic:pic>
              </a:graphicData>
            </a:graphic>
          </wp:inline>
        </w:drawing>
      </w:r>
    </w:p>
    <w:p w14:paraId="7CA61132">
      <w:pPr>
        <w:pStyle w:val="15"/>
        <w:keepNext w:val="0"/>
        <w:snapToGrid w:val="0"/>
        <w:jc w:val="center"/>
      </w:pPr>
      <w:r>
        <w:t>图3-19　质量安全环保业务流程图</w:t>
      </w:r>
    </w:p>
    <w:p w14:paraId="545CE382">
      <w:pPr>
        <w:pStyle w:val="15"/>
        <w:keepNext/>
        <w:snapToGrid w:val="0"/>
        <w:jc w:val="center"/>
      </w:pPr>
      <w:r>
        <w:t>表3-20　质量安全环保业务流程说明</w:t>
      </w:r>
    </w:p>
    <w:tbl>
      <w:tblPr>
        <w:tblStyle w:val="9"/>
        <w:tblW w:w="907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650"/>
        <w:gridCol w:w="1050"/>
        <w:gridCol w:w="950"/>
        <w:gridCol w:w="1350"/>
        <w:gridCol w:w="2000"/>
        <w:gridCol w:w="1072"/>
        <w:gridCol w:w="2000"/>
      </w:tblGrid>
      <w:tr w14:paraId="5364E159">
        <w:trPr>
          <w:cantSplit/>
          <w:tblHeader/>
          <w:jc w:val="center"/>
        </w:trPr>
        <w:tc>
          <w:tcPr>
            <w:tcW w:w="650" w:type="dxa"/>
            <w:shd w:val="clear" w:color="auto" w:fill="FFFFFF"/>
            <w:vAlign w:val="center"/>
          </w:tcPr>
          <w:p w14:paraId="640D8B1D">
            <w:pPr>
              <w:keepNext/>
              <w:spacing w:before="0" w:after="0" w:line="240" w:lineRule="auto"/>
              <w:ind w:left="0" w:right="0" w:firstLine="0" w:firstLineChars="0"/>
              <w:jc w:val="center"/>
            </w:pPr>
            <w:r>
              <w:rPr>
                <w:rFonts w:ascii="宋体" w:hAnsi="宋体" w:eastAsia="宋体" w:cs="宋体"/>
                <w:b/>
                <w:bCs/>
                <w:color w:val="000000"/>
                <w:sz w:val="16"/>
                <w:szCs w:val="16"/>
              </w:rPr>
              <w:t>步骤编号</w:t>
            </w:r>
          </w:p>
        </w:tc>
        <w:tc>
          <w:tcPr>
            <w:tcW w:w="1050" w:type="dxa"/>
            <w:shd w:val="clear" w:color="auto" w:fill="FFFFFF"/>
            <w:vAlign w:val="center"/>
          </w:tcPr>
          <w:p w14:paraId="37397AB6">
            <w:pPr>
              <w:keepNext/>
              <w:spacing w:before="0" w:after="0" w:line="240" w:lineRule="auto"/>
              <w:ind w:left="0" w:right="0" w:firstLine="0" w:firstLineChars="0"/>
              <w:jc w:val="center"/>
            </w:pPr>
            <w:r>
              <w:rPr>
                <w:rFonts w:ascii="宋体" w:hAnsi="宋体" w:eastAsia="宋体" w:cs="宋体"/>
                <w:b/>
                <w:bCs/>
                <w:color w:val="000000"/>
                <w:sz w:val="16"/>
                <w:szCs w:val="16"/>
              </w:rPr>
              <w:t>节点名称</w:t>
            </w:r>
          </w:p>
        </w:tc>
        <w:tc>
          <w:tcPr>
            <w:tcW w:w="950" w:type="dxa"/>
            <w:shd w:val="clear" w:color="auto" w:fill="FFFFFF"/>
            <w:vAlign w:val="center"/>
          </w:tcPr>
          <w:p w14:paraId="1586BAD9">
            <w:pPr>
              <w:keepNext/>
              <w:spacing w:before="0" w:after="0" w:line="240" w:lineRule="auto"/>
              <w:ind w:left="0" w:right="0" w:firstLine="0" w:firstLineChars="0"/>
              <w:jc w:val="center"/>
            </w:pPr>
            <w:r>
              <w:rPr>
                <w:rFonts w:ascii="宋体" w:hAnsi="宋体" w:eastAsia="宋体" w:cs="宋体"/>
                <w:b/>
                <w:bCs/>
                <w:color w:val="000000"/>
                <w:sz w:val="16"/>
                <w:szCs w:val="16"/>
              </w:rPr>
              <w:t>责任节点</w:t>
            </w:r>
          </w:p>
        </w:tc>
        <w:tc>
          <w:tcPr>
            <w:tcW w:w="1350" w:type="dxa"/>
            <w:shd w:val="clear" w:color="auto" w:fill="FFFFFF"/>
            <w:vAlign w:val="center"/>
          </w:tcPr>
          <w:p w14:paraId="22C8C8E1">
            <w:pPr>
              <w:keepNext/>
              <w:spacing w:before="0" w:after="0" w:line="240" w:lineRule="auto"/>
              <w:ind w:left="0" w:right="0" w:firstLine="0" w:firstLineChars="0"/>
              <w:jc w:val="center"/>
            </w:pPr>
            <w:r>
              <w:rPr>
                <w:rFonts w:ascii="宋体" w:hAnsi="宋体" w:eastAsia="宋体" w:cs="宋体"/>
                <w:b/>
                <w:bCs/>
                <w:color w:val="000000"/>
                <w:sz w:val="16"/>
                <w:szCs w:val="16"/>
              </w:rPr>
              <w:t>输入/输出</w:t>
            </w:r>
          </w:p>
        </w:tc>
        <w:tc>
          <w:tcPr>
            <w:tcW w:w="2000" w:type="dxa"/>
            <w:shd w:val="clear" w:color="auto" w:fill="FFFFFF"/>
            <w:vAlign w:val="center"/>
          </w:tcPr>
          <w:p w14:paraId="7D16F8A7">
            <w:pPr>
              <w:keepNext/>
              <w:spacing w:before="0" w:after="0" w:line="240" w:lineRule="auto"/>
              <w:ind w:left="0" w:right="0" w:firstLine="0" w:firstLineChars="0"/>
              <w:jc w:val="center"/>
            </w:pPr>
            <w:r>
              <w:rPr>
                <w:rFonts w:ascii="宋体" w:hAnsi="宋体" w:eastAsia="宋体" w:cs="宋体"/>
                <w:b/>
                <w:bCs/>
                <w:color w:val="000000"/>
                <w:sz w:val="16"/>
                <w:szCs w:val="16"/>
              </w:rPr>
              <w:t>处理说明</w:t>
            </w:r>
          </w:p>
        </w:tc>
        <w:tc>
          <w:tcPr>
            <w:tcW w:w="1072" w:type="dxa"/>
            <w:shd w:val="clear" w:color="auto" w:fill="FFFFFF"/>
            <w:vAlign w:val="center"/>
          </w:tcPr>
          <w:p w14:paraId="379479E2">
            <w:pPr>
              <w:keepNext/>
              <w:spacing w:before="0" w:after="0" w:line="240" w:lineRule="auto"/>
              <w:ind w:left="0" w:right="0" w:firstLine="0" w:firstLineChars="0"/>
              <w:jc w:val="center"/>
            </w:pPr>
            <w:r>
              <w:rPr>
                <w:rFonts w:ascii="宋体" w:hAnsi="宋体" w:eastAsia="宋体" w:cs="宋体"/>
                <w:b/>
                <w:bCs/>
                <w:color w:val="000000"/>
                <w:sz w:val="16"/>
                <w:szCs w:val="16"/>
              </w:rPr>
              <w:t>异常/分支</w:t>
            </w:r>
          </w:p>
        </w:tc>
        <w:tc>
          <w:tcPr>
            <w:tcW w:w="2000" w:type="dxa"/>
            <w:shd w:val="clear" w:color="auto" w:fill="FFFFFF"/>
            <w:vAlign w:val="center"/>
          </w:tcPr>
          <w:p w14:paraId="5EC5AEB6">
            <w:pPr>
              <w:keepNext/>
              <w:spacing w:before="0" w:after="0" w:line="240" w:lineRule="auto"/>
              <w:ind w:left="0" w:right="0" w:firstLine="0" w:firstLineChars="0"/>
              <w:jc w:val="center"/>
            </w:pPr>
            <w:r>
              <w:rPr>
                <w:rFonts w:ascii="宋体" w:hAnsi="宋体" w:eastAsia="宋体" w:cs="宋体"/>
                <w:b/>
                <w:bCs/>
                <w:color w:val="000000"/>
                <w:sz w:val="16"/>
                <w:szCs w:val="16"/>
              </w:rPr>
              <w:t>关联规则</w:t>
            </w:r>
          </w:p>
        </w:tc>
      </w:tr>
      <w:tr w14:paraId="2915823C">
        <w:trPr>
          <w:cantSplit/>
          <w:jc w:val="center"/>
        </w:trPr>
        <w:tc>
          <w:tcPr>
            <w:tcW w:w="650" w:type="dxa"/>
            <w:shd w:val="clear" w:color="auto" w:fill="FFFFFF"/>
            <w:vAlign w:val="center"/>
          </w:tcPr>
          <w:p w14:paraId="04B7DA78">
            <w:pPr>
              <w:spacing w:before="0" w:after="0" w:line="240" w:lineRule="auto"/>
              <w:ind w:left="0" w:right="0" w:firstLine="0" w:firstLineChars="0"/>
              <w:jc w:val="center"/>
            </w:pPr>
            <w:r>
              <w:rPr>
                <w:rFonts w:ascii="宋体" w:hAnsi="宋体" w:eastAsia="宋体" w:cs="宋体"/>
                <w:b w:val="0"/>
                <w:bCs w:val="0"/>
                <w:color w:val="000000"/>
                <w:sz w:val="16"/>
                <w:szCs w:val="16"/>
              </w:rPr>
              <w:t>01</w:t>
            </w:r>
          </w:p>
        </w:tc>
        <w:tc>
          <w:tcPr>
            <w:tcW w:w="1050" w:type="dxa"/>
            <w:shd w:val="clear" w:color="auto" w:fill="FFFFFF"/>
            <w:vAlign w:val="center"/>
          </w:tcPr>
          <w:p w14:paraId="5BBA01A2">
            <w:pPr>
              <w:spacing w:before="0" w:after="0" w:line="240" w:lineRule="auto"/>
              <w:ind w:left="0" w:right="0" w:firstLine="0" w:firstLineChars="0"/>
              <w:jc w:val="center"/>
            </w:pPr>
            <w:r>
              <w:rPr>
                <w:rFonts w:ascii="宋体" w:hAnsi="宋体" w:eastAsia="宋体" w:cs="宋体"/>
                <w:b w:val="0"/>
                <w:bCs w:val="0"/>
                <w:color w:val="000000"/>
                <w:sz w:val="16"/>
                <w:szCs w:val="16"/>
              </w:rPr>
              <w:t>接收问题或识别请求</w:t>
            </w:r>
          </w:p>
        </w:tc>
        <w:tc>
          <w:tcPr>
            <w:tcW w:w="950" w:type="dxa"/>
            <w:shd w:val="clear" w:color="auto" w:fill="FFFFFF"/>
            <w:vAlign w:val="center"/>
          </w:tcPr>
          <w:p w14:paraId="59122FEB">
            <w:pPr>
              <w:spacing w:before="0" w:after="0" w:line="240" w:lineRule="auto"/>
              <w:ind w:left="0" w:right="0" w:firstLine="0" w:firstLineChars="0"/>
              <w:jc w:val="center"/>
            </w:pPr>
            <w:r>
              <w:rPr>
                <w:rFonts w:ascii="宋体" w:hAnsi="宋体" w:eastAsia="宋体" w:cs="宋体"/>
                <w:b w:val="0"/>
                <w:bCs w:val="0"/>
                <w:color w:val="000000"/>
                <w:sz w:val="16"/>
                <w:szCs w:val="16"/>
              </w:rPr>
              <w:t>用户与业务系统</w:t>
            </w:r>
          </w:p>
        </w:tc>
        <w:tc>
          <w:tcPr>
            <w:tcW w:w="1350" w:type="dxa"/>
            <w:shd w:val="clear" w:color="auto" w:fill="FFFFFF"/>
            <w:vAlign w:val="center"/>
          </w:tcPr>
          <w:p w14:paraId="1F0C874F">
            <w:pPr>
              <w:spacing w:before="0" w:after="0" w:line="240" w:lineRule="auto"/>
              <w:ind w:left="0" w:right="0" w:firstLine="0" w:firstLineChars="0"/>
              <w:jc w:val="left"/>
            </w:pPr>
            <w:r>
              <w:rPr>
                <w:rFonts w:ascii="宋体" w:hAnsi="宋体" w:eastAsia="宋体" w:cs="宋体"/>
                <w:b w:val="0"/>
                <w:bCs w:val="0"/>
                <w:color w:val="000000"/>
                <w:sz w:val="16"/>
                <w:szCs w:val="16"/>
              </w:rPr>
              <w:t>输入：制度、记录查询或图片识别请求</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输出：处理请求</w:t>
            </w:r>
          </w:p>
        </w:tc>
        <w:tc>
          <w:tcPr>
            <w:tcW w:w="2000" w:type="dxa"/>
            <w:shd w:val="clear" w:color="auto" w:fill="FFFFFF"/>
            <w:vAlign w:val="center"/>
          </w:tcPr>
          <w:p w14:paraId="303FF7A5">
            <w:pPr>
              <w:spacing w:before="0" w:after="0" w:line="240" w:lineRule="auto"/>
              <w:ind w:left="0" w:right="0" w:firstLine="0" w:firstLineChars="0"/>
              <w:jc w:val="left"/>
            </w:pPr>
            <w:r>
              <w:rPr>
                <w:rFonts w:ascii="宋体" w:hAnsi="宋体" w:eastAsia="宋体" w:cs="宋体"/>
                <w:b w:val="0"/>
                <w:bCs w:val="0"/>
                <w:color w:val="000000"/>
                <w:sz w:val="16"/>
                <w:szCs w:val="16"/>
              </w:rPr>
              <w:t>用户发起制度、记录查询或隐患图片识别请求，安全业务系统可通过鉴权接口请求识别；已登记违章事件经数据治理服务进入订阅通知。</w:t>
            </w:r>
          </w:p>
        </w:tc>
        <w:tc>
          <w:tcPr>
            <w:tcW w:w="1072" w:type="dxa"/>
            <w:shd w:val="clear" w:color="auto" w:fill="FFFFFF"/>
            <w:vAlign w:val="center"/>
          </w:tcPr>
          <w:p w14:paraId="1933E94A">
            <w:pPr>
              <w:spacing w:before="0" w:after="0" w:line="240" w:lineRule="auto"/>
              <w:ind w:left="0" w:right="0" w:firstLine="0" w:firstLineChars="0"/>
              <w:jc w:val="left"/>
            </w:pPr>
            <w:r>
              <w:rPr>
                <w:rFonts w:ascii="宋体" w:hAnsi="宋体" w:eastAsia="宋体" w:cs="宋体"/>
                <w:b w:val="0"/>
                <w:bCs w:val="0"/>
                <w:color w:val="000000"/>
                <w:sz w:val="16"/>
                <w:szCs w:val="16"/>
              </w:rPr>
              <w:t>→02</w:t>
            </w:r>
          </w:p>
        </w:tc>
        <w:tc>
          <w:tcPr>
            <w:tcW w:w="2000" w:type="dxa"/>
            <w:shd w:val="clear" w:color="auto" w:fill="FFFFFF"/>
            <w:vAlign w:val="center"/>
          </w:tcPr>
          <w:p w14:paraId="4D14CA3A">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21136378">
        <w:trPr>
          <w:cantSplit/>
          <w:jc w:val="center"/>
        </w:trPr>
        <w:tc>
          <w:tcPr>
            <w:tcW w:w="650" w:type="dxa"/>
            <w:shd w:val="clear" w:color="auto" w:fill="FFFFFF"/>
            <w:vAlign w:val="center"/>
          </w:tcPr>
          <w:p w14:paraId="175CDFB8">
            <w:pPr>
              <w:spacing w:before="0" w:after="0" w:line="240" w:lineRule="auto"/>
              <w:ind w:left="0" w:right="0" w:firstLine="0" w:firstLineChars="0"/>
              <w:jc w:val="center"/>
            </w:pPr>
            <w:r>
              <w:rPr>
                <w:rFonts w:ascii="宋体" w:hAnsi="宋体" w:eastAsia="宋体" w:cs="宋体"/>
                <w:b w:val="0"/>
                <w:bCs w:val="0"/>
                <w:color w:val="000000"/>
                <w:sz w:val="16"/>
                <w:szCs w:val="16"/>
              </w:rPr>
              <w:t>02</w:t>
            </w:r>
          </w:p>
        </w:tc>
        <w:tc>
          <w:tcPr>
            <w:tcW w:w="1050" w:type="dxa"/>
            <w:shd w:val="clear" w:color="auto" w:fill="FFFFFF"/>
            <w:vAlign w:val="center"/>
          </w:tcPr>
          <w:p w14:paraId="57BBAABB">
            <w:pPr>
              <w:spacing w:before="0" w:after="0" w:line="240" w:lineRule="auto"/>
              <w:ind w:left="0" w:right="0" w:firstLine="0" w:firstLineChars="0"/>
              <w:jc w:val="center"/>
            </w:pPr>
            <w:r>
              <w:rPr>
                <w:rFonts w:ascii="宋体" w:hAnsi="宋体" w:eastAsia="宋体" w:cs="宋体"/>
                <w:b w:val="0"/>
                <w:bCs w:val="0"/>
                <w:color w:val="000000"/>
                <w:sz w:val="16"/>
                <w:szCs w:val="16"/>
              </w:rPr>
              <w:t>识别安环业务路径</w:t>
            </w:r>
          </w:p>
        </w:tc>
        <w:tc>
          <w:tcPr>
            <w:tcW w:w="950" w:type="dxa"/>
            <w:shd w:val="clear" w:color="auto" w:fill="FFFFFF"/>
            <w:vAlign w:val="center"/>
          </w:tcPr>
          <w:p w14:paraId="19C4A075">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21E58F8C">
            <w:pPr>
              <w:spacing w:before="0" w:after="0" w:line="240" w:lineRule="auto"/>
              <w:ind w:left="0" w:right="0" w:firstLine="0" w:firstLineChars="0"/>
              <w:jc w:val="left"/>
            </w:pPr>
            <w:r>
              <w:rPr>
                <w:rFonts w:ascii="宋体" w:hAnsi="宋体" w:eastAsia="宋体" w:cs="宋体"/>
                <w:b w:val="0"/>
                <w:bCs w:val="0"/>
                <w:color w:val="000000"/>
                <w:sz w:val="16"/>
                <w:szCs w:val="16"/>
              </w:rPr>
              <w:t>输入：请求类型</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输出：对应处理任务</w:t>
            </w:r>
          </w:p>
        </w:tc>
        <w:tc>
          <w:tcPr>
            <w:tcW w:w="2000" w:type="dxa"/>
            <w:shd w:val="clear" w:color="auto" w:fill="FFFFFF"/>
            <w:vAlign w:val="center"/>
          </w:tcPr>
          <w:p w14:paraId="3FE298E2">
            <w:pPr>
              <w:spacing w:before="0" w:after="0" w:line="240" w:lineRule="auto"/>
              <w:ind w:left="0" w:right="0" w:firstLine="0" w:firstLineChars="0"/>
              <w:jc w:val="left"/>
            </w:pPr>
            <w:r>
              <w:rPr>
                <w:rFonts w:ascii="宋体" w:hAnsi="宋体" w:eastAsia="宋体" w:cs="宋体"/>
                <w:b w:val="0"/>
                <w:bCs w:val="0"/>
                <w:color w:val="000000"/>
                <w:sz w:val="16"/>
                <w:szCs w:val="16"/>
              </w:rPr>
              <w:t>制度规程进入知识检索；排放、超标、处置情况和违章记录进入授权数据查询；隐患图片进入接口识别。</w:t>
            </w:r>
          </w:p>
        </w:tc>
        <w:tc>
          <w:tcPr>
            <w:tcW w:w="1072" w:type="dxa"/>
            <w:shd w:val="clear" w:color="auto" w:fill="FFFFFF"/>
            <w:vAlign w:val="center"/>
          </w:tcPr>
          <w:p w14:paraId="5AFDAEB9">
            <w:pPr>
              <w:spacing w:before="0" w:after="0" w:line="240" w:lineRule="auto"/>
              <w:ind w:left="0" w:right="0" w:firstLine="0" w:firstLineChars="0"/>
              <w:jc w:val="left"/>
            </w:pPr>
            <w:r>
              <w:rPr>
                <w:rFonts w:ascii="宋体" w:hAnsi="宋体" w:eastAsia="宋体" w:cs="宋体"/>
                <w:b w:val="0"/>
                <w:bCs w:val="0"/>
                <w:color w:val="000000"/>
                <w:sz w:val="16"/>
                <w:szCs w:val="16"/>
              </w:rPr>
              <w:t>制度知识→03；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业务记录→10；</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隐患图片→12；</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违章事件→15</w:t>
            </w:r>
          </w:p>
        </w:tc>
        <w:tc>
          <w:tcPr>
            <w:tcW w:w="2000" w:type="dxa"/>
            <w:shd w:val="clear" w:color="auto" w:fill="FFFFFF"/>
            <w:vAlign w:val="center"/>
          </w:tcPr>
          <w:p w14:paraId="3FF3C1E8">
            <w:pPr>
              <w:spacing w:before="0" w:after="0" w:line="240" w:lineRule="auto"/>
              <w:ind w:left="0" w:right="0" w:firstLine="0" w:firstLineChars="0"/>
              <w:jc w:val="left"/>
            </w:pPr>
            <w:r>
              <w:rPr>
                <w:rFonts w:ascii="宋体" w:hAnsi="宋体" w:eastAsia="宋体" w:cs="宋体"/>
                <w:b w:val="0"/>
                <w:bCs w:val="0"/>
                <w:color w:val="000000"/>
                <w:sz w:val="16"/>
                <w:szCs w:val="16"/>
              </w:rPr>
              <w:t>P-ZLTC-AI-ZNWS-101-04-001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r w14:paraId="07B07E4A">
        <w:trPr>
          <w:cantSplit/>
          <w:jc w:val="center"/>
        </w:trPr>
        <w:tc>
          <w:tcPr>
            <w:tcW w:w="650" w:type="dxa"/>
            <w:shd w:val="clear" w:color="auto" w:fill="FFFFFF"/>
            <w:vAlign w:val="center"/>
          </w:tcPr>
          <w:p w14:paraId="50B6C3FB">
            <w:pPr>
              <w:spacing w:before="0" w:after="0" w:line="240" w:lineRule="auto"/>
              <w:ind w:left="0" w:right="0" w:firstLine="0" w:firstLineChars="0"/>
              <w:jc w:val="center"/>
            </w:pPr>
            <w:r>
              <w:rPr>
                <w:rFonts w:ascii="宋体" w:hAnsi="宋体" w:eastAsia="宋体" w:cs="宋体"/>
                <w:b w:val="0"/>
                <w:bCs w:val="0"/>
                <w:color w:val="000000"/>
                <w:sz w:val="16"/>
                <w:szCs w:val="16"/>
              </w:rPr>
              <w:t>03</w:t>
            </w:r>
          </w:p>
        </w:tc>
        <w:tc>
          <w:tcPr>
            <w:tcW w:w="1050" w:type="dxa"/>
            <w:shd w:val="clear" w:color="auto" w:fill="FFFFFF"/>
            <w:vAlign w:val="center"/>
          </w:tcPr>
          <w:p w14:paraId="44B2D3FD">
            <w:pPr>
              <w:spacing w:before="0" w:after="0" w:line="240" w:lineRule="auto"/>
              <w:ind w:left="0" w:right="0" w:firstLine="0" w:firstLineChars="0"/>
              <w:jc w:val="center"/>
            </w:pPr>
            <w:r>
              <w:rPr>
                <w:rFonts w:ascii="宋体" w:hAnsi="宋体" w:eastAsia="宋体" w:cs="宋体"/>
                <w:b w:val="0"/>
                <w:bCs w:val="0"/>
                <w:color w:val="000000"/>
                <w:sz w:val="16"/>
                <w:szCs w:val="16"/>
              </w:rPr>
              <w:t>检索并排序知识片段</w:t>
            </w:r>
          </w:p>
        </w:tc>
        <w:tc>
          <w:tcPr>
            <w:tcW w:w="950" w:type="dxa"/>
            <w:shd w:val="clear" w:color="auto" w:fill="FFFFFF"/>
            <w:vAlign w:val="center"/>
          </w:tcPr>
          <w:p w14:paraId="6BA65702">
            <w:pPr>
              <w:spacing w:before="0" w:after="0" w:line="240" w:lineRule="auto"/>
              <w:ind w:left="0" w:right="0" w:firstLine="0" w:firstLineChars="0"/>
              <w:jc w:val="center"/>
            </w:pPr>
            <w:r>
              <w:rPr>
                <w:rFonts w:ascii="宋体" w:hAnsi="宋体" w:eastAsia="宋体" w:cs="宋体"/>
                <w:b w:val="0"/>
                <w:bCs w:val="0"/>
                <w:color w:val="000000"/>
                <w:sz w:val="16"/>
                <w:szCs w:val="16"/>
              </w:rPr>
              <w:t>知识库引擎</w:t>
            </w:r>
          </w:p>
        </w:tc>
        <w:tc>
          <w:tcPr>
            <w:tcW w:w="1350" w:type="dxa"/>
            <w:shd w:val="clear" w:color="auto" w:fill="FFFFFF"/>
            <w:vAlign w:val="center"/>
          </w:tcPr>
          <w:p w14:paraId="4D919E68">
            <w:pPr>
              <w:spacing w:before="0" w:after="0" w:line="240" w:lineRule="auto"/>
              <w:ind w:left="0" w:right="0" w:firstLine="0" w:firstLineChars="0"/>
              <w:jc w:val="left"/>
            </w:pPr>
            <w:r>
              <w:rPr>
                <w:rFonts w:ascii="宋体" w:hAnsi="宋体" w:eastAsia="宋体" w:cs="宋体"/>
                <w:b w:val="0"/>
                <w:bCs w:val="0"/>
                <w:color w:val="000000"/>
                <w:sz w:val="16"/>
                <w:szCs w:val="16"/>
              </w:rPr>
              <w:t>输入：制度规程问题</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输出：候选片段或未命中</w:t>
            </w:r>
          </w:p>
        </w:tc>
        <w:tc>
          <w:tcPr>
            <w:tcW w:w="2000" w:type="dxa"/>
            <w:shd w:val="clear" w:color="auto" w:fill="FFFFFF"/>
            <w:vAlign w:val="center"/>
          </w:tcPr>
          <w:p w14:paraId="111B8B90">
            <w:pPr>
              <w:spacing w:before="0" w:after="0" w:line="240" w:lineRule="auto"/>
              <w:ind w:left="0" w:right="0" w:firstLine="0" w:firstLineChars="0"/>
              <w:jc w:val="left"/>
            </w:pPr>
            <w:r>
              <w:rPr>
                <w:rFonts w:ascii="宋体" w:hAnsi="宋体" w:eastAsia="宋体" w:cs="宋体"/>
                <w:b w:val="0"/>
                <w:bCs w:val="0"/>
                <w:color w:val="000000"/>
                <w:sz w:val="16"/>
                <w:szCs w:val="16"/>
              </w:rPr>
              <w:t>检索质量、安全、环保制度规程与手册，按相关度排序。</w:t>
            </w:r>
          </w:p>
        </w:tc>
        <w:tc>
          <w:tcPr>
            <w:tcW w:w="1072" w:type="dxa"/>
            <w:shd w:val="clear" w:color="auto" w:fill="FFFFFF"/>
            <w:vAlign w:val="center"/>
          </w:tcPr>
          <w:p w14:paraId="153FBAE4">
            <w:pPr>
              <w:spacing w:before="0" w:after="0" w:line="240" w:lineRule="auto"/>
              <w:ind w:left="0" w:right="0" w:firstLine="0" w:firstLineChars="0"/>
              <w:jc w:val="left"/>
            </w:pPr>
            <w:r>
              <w:rPr>
                <w:rFonts w:ascii="宋体" w:hAnsi="宋体" w:eastAsia="宋体" w:cs="宋体"/>
                <w:b w:val="0"/>
                <w:bCs w:val="0"/>
                <w:color w:val="000000"/>
                <w:sz w:val="16"/>
                <w:szCs w:val="16"/>
              </w:rPr>
              <w:t>知识命中→04；</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未命中→07</w:t>
            </w:r>
          </w:p>
        </w:tc>
        <w:tc>
          <w:tcPr>
            <w:tcW w:w="2000" w:type="dxa"/>
            <w:shd w:val="clear" w:color="auto" w:fill="FFFFFF"/>
            <w:vAlign w:val="center"/>
          </w:tcPr>
          <w:p w14:paraId="2023F9D5">
            <w:pPr>
              <w:spacing w:before="0" w:after="0" w:line="240" w:lineRule="auto"/>
              <w:ind w:left="0" w:right="0" w:firstLine="0" w:firstLineChars="0"/>
              <w:jc w:val="left"/>
            </w:pPr>
            <w:r>
              <w:rPr>
                <w:rFonts w:ascii="宋体" w:hAnsi="宋体" w:eastAsia="宋体" w:cs="宋体"/>
                <w:b w:val="0"/>
                <w:bCs w:val="0"/>
                <w:color w:val="000000"/>
                <w:sz w:val="16"/>
                <w:szCs w:val="16"/>
              </w:rPr>
              <w:t>P-ZLTC-AI-FKZSWD-116-01-001</w:t>
            </w:r>
          </w:p>
        </w:tc>
      </w:tr>
      <w:tr w14:paraId="1EF89FD1">
        <w:trPr>
          <w:cantSplit/>
          <w:jc w:val="center"/>
        </w:trPr>
        <w:tc>
          <w:tcPr>
            <w:tcW w:w="650" w:type="dxa"/>
            <w:shd w:val="clear" w:color="auto" w:fill="FFFFFF"/>
            <w:vAlign w:val="center"/>
          </w:tcPr>
          <w:p w14:paraId="410CB215">
            <w:pPr>
              <w:spacing w:before="0" w:after="0" w:line="240" w:lineRule="auto"/>
              <w:ind w:left="0" w:right="0" w:firstLine="0" w:firstLineChars="0"/>
              <w:jc w:val="center"/>
            </w:pPr>
            <w:r>
              <w:rPr>
                <w:rFonts w:ascii="宋体" w:hAnsi="宋体" w:eastAsia="宋体" w:cs="宋体"/>
                <w:b w:val="0"/>
                <w:bCs w:val="0"/>
                <w:color w:val="000000"/>
                <w:sz w:val="16"/>
                <w:szCs w:val="16"/>
              </w:rPr>
              <w:t>04</w:t>
            </w:r>
          </w:p>
        </w:tc>
        <w:tc>
          <w:tcPr>
            <w:tcW w:w="1050" w:type="dxa"/>
            <w:shd w:val="clear" w:color="auto" w:fill="FFFFFF"/>
            <w:vAlign w:val="center"/>
          </w:tcPr>
          <w:p w14:paraId="16B79391">
            <w:pPr>
              <w:spacing w:before="0" w:after="0" w:line="240" w:lineRule="auto"/>
              <w:ind w:left="0" w:right="0" w:firstLine="0" w:firstLineChars="0"/>
              <w:jc w:val="center"/>
            </w:pPr>
            <w:r>
              <w:rPr>
                <w:rFonts w:ascii="宋体" w:hAnsi="宋体" w:eastAsia="宋体" w:cs="宋体"/>
                <w:b w:val="0"/>
                <w:bCs w:val="0"/>
                <w:color w:val="000000"/>
                <w:sz w:val="16"/>
                <w:szCs w:val="16"/>
              </w:rPr>
              <w:t>按密级与角色过滤</w:t>
            </w:r>
          </w:p>
        </w:tc>
        <w:tc>
          <w:tcPr>
            <w:tcW w:w="950" w:type="dxa"/>
            <w:shd w:val="clear" w:color="auto" w:fill="FFFFFF"/>
            <w:vAlign w:val="center"/>
          </w:tcPr>
          <w:p w14:paraId="6095CD23">
            <w:pPr>
              <w:spacing w:before="0" w:after="0" w:line="240" w:lineRule="auto"/>
              <w:ind w:left="0" w:right="0" w:firstLine="0" w:firstLineChars="0"/>
              <w:jc w:val="center"/>
            </w:pPr>
            <w:r>
              <w:rPr>
                <w:rFonts w:ascii="宋体" w:hAnsi="宋体" w:eastAsia="宋体" w:cs="宋体"/>
                <w:b w:val="0"/>
                <w:bCs w:val="0"/>
                <w:color w:val="000000"/>
                <w:sz w:val="16"/>
                <w:szCs w:val="16"/>
              </w:rPr>
              <w:t>知识库引擎</w:t>
            </w:r>
          </w:p>
        </w:tc>
        <w:tc>
          <w:tcPr>
            <w:tcW w:w="1350" w:type="dxa"/>
            <w:shd w:val="clear" w:color="auto" w:fill="FFFFFF"/>
            <w:vAlign w:val="center"/>
          </w:tcPr>
          <w:p w14:paraId="6B00FFC1">
            <w:pPr>
              <w:spacing w:before="0" w:after="0" w:line="240" w:lineRule="auto"/>
              <w:ind w:left="0" w:right="0" w:firstLine="0" w:firstLineChars="0"/>
              <w:jc w:val="left"/>
            </w:pPr>
            <w:r>
              <w:rPr>
                <w:rFonts w:ascii="宋体" w:hAnsi="宋体" w:eastAsia="宋体" w:cs="宋体"/>
                <w:b w:val="0"/>
                <w:bCs w:val="0"/>
                <w:color w:val="000000"/>
                <w:sz w:val="16"/>
                <w:szCs w:val="16"/>
              </w:rPr>
              <w:t>输入：候选片段及用户角色</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输出：可见片段</w:t>
            </w:r>
          </w:p>
        </w:tc>
        <w:tc>
          <w:tcPr>
            <w:tcW w:w="2000" w:type="dxa"/>
            <w:shd w:val="clear" w:color="auto" w:fill="FFFFFF"/>
            <w:vAlign w:val="center"/>
          </w:tcPr>
          <w:p w14:paraId="78ED6043">
            <w:pPr>
              <w:spacing w:before="0" w:after="0" w:line="240" w:lineRule="auto"/>
              <w:ind w:left="0" w:right="0" w:firstLine="0" w:firstLineChars="0"/>
              <w:jc w:val="left"/>
            </w:pPr>
            <w:r>
              <w:rPr>
                <w:rFonts w:ascii="宋体" w:hAnsi="宋体" w:eastAsia="宋体" w:cs="宋体"/>
                <w:b w:val="0"/>
                <w:bCs w:val="0"/>
                <w:color w:val="000000"/>
                <w:sz w:val="16"/>
                <w:szCs w:val="16"/>
              </w:rPr>
              <w:t>继承文档密级和角色范围，越权片段不进入生成；密级调整即时生效，下架片段同步清除。</w:t>
            </w:r>
          </w:p>
        </w:tc>
        <w:tc>
          <w:tcPr>
            <w:tcW w:w="1072" w:type="dxa"/>
            <w:shd w:val="clear" w:color="auto" w:fill="FFFFFF"/>
            <w:vAlign w:val="center"/>
          </w:tcPr>
          <w:p w14:paraId="20DD0E23">
            <w:pPr>
              <w:spacing w:before="0" w:after="0" w:line="240" w:lineRule="auto"/>
              <w:ind w:left="0" w:right="0" w:firstLine="0" w:firstLineChars="0"/>
              <w:jc w:val="left"/>
            </w:pPr>
            <w:r>
              <w:rPr>
                <w:rFonts w:ascii="宋体" w:hAnsi="宋体" w:eastAsia="宋体" w:cs="宋体"/>
                <w:b w:val="0"/>
                <w:bCs w:val="0"/>
                <w:color w:val="000000"/>
                <w:sz w:val="16"/>
                <w:szCs w:val="16"/>
              </w:rPr>
              <w:t>内容可见→05；</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权限不足→06</w:t>
            </w:r>
          </w:p>
        </w:tc>
        <w:tc>
          <w:tcPr>
            <w:tcW w:w="2000" w:type="dxa"/>
            <w:shd w:val="clear" w:color="auto" w:fill="FFFFFF"/>
            <w:vAlign w:val="center"/>
          </w:tcPr>
          <w:p w14:paraId="5648840C">
            <w:pPr>
              <w:spacing w:before="0" w:after="0" w:line="240" w:lineRule="auto"/>
              <w:ind w:left="0" w:right="0" w:firstLine="0" w:firstLineChars="0"/>
              <w:jc w:val="left"/>
            </w:pPr>
            <w:r>
              <w:rPr>
                <w:rFonts w:ascii="宋体" w:hAnsi="宋体" w:eastAsia="宋体" w:cs="宋体"/>
                <w:b w:val="0"/>
                <w:bCs w:val="0"/>
                <w:color w:val="000000"/>
                <w:sz w:val="16"/>
                <w:szCs w:val="16"/>
              </w:rPr>
              <w:t>P-ZLTC-AI-FKZSWD-116-01-001</w:t>
            </w:r>
          </w:p>
        </w:tc>
      </w:tr>
      <w:tr w14:paraId="119B9F93">
        <w:trPr>
          <w:cantSplit/>
          <w:jc w:val="center"/>
        </w:trPr>
        <w:tc>
          <w:tcPr>
            <w:tcW w:w="650" w:type="dxa"/>
            <w:shd w:val="clear" w:color="auto" w:fill="FFFFFF"/>
            <w:vAlign w:val="center"/>
          </w:tcPr>
          <w:p w14:paraId="21C152DE">
            <w:pPr>
              <w:spacing w:before="0" w:after="0" w:line="240" w:lineRule="auto"/>
              <w:ind w:left="0" w:right="0" w:firstLine="0" w:firstLineChars="0"/>
              <w:jc w:val="center"/>
            </w:pPr>
            <w:r>
              <w:rPr>
                <w:rFonts w:ascii="宋体" w:hAnsi="宋体" w:eastAsia="宋体" w:cs="宋体"/>
                <w:b w:val="0"/>
                <w:bCs w:val="0"/>
                <w:color w:val="000000"/>
                <w:sz w:val="16"/>
                <w:szCs w:val="16"/>
              </w:rPr>
              <w:t>05</w:t>
            </w:r>
          </w:p>
        </w:tc>
        <w:tc>
          <w:tcPr>
            <w:tcW w:w="1050" w:type="dxa"/>
            <w:shd w:val="clear" w:color="auto" w:fill="FFFFFF"/>
            <w:vAlign w:val="center"/>
          </w:tcPr>
          <w:p w14:paraId="5C4CD2CB">
            <w:pPr>
              <w:spacing w:before="0" w:after="0" w:line="240" w:lineRule="auto"/>
              <w:ind w:left="0" w:right="0" w:firstLine="0" w:firstLineChars="0"/>
              <w:jc w:val="center"/>
            </w:pPr>
            <w:r>
              <w:rPr>
                <w:rFonts w:ascii="宋体" w:hAnsi="宋体" w:eastAsia="宋体" w:cs="宋体"/>
                <w:b w:val="0"/>
                <w:bCs w:val="0"/>
                <w:color w:val="000000"/>
                <w:sz w:val="16"/>
                <w:szCs w:val="16"/>
              </w:rPr>
              <w:t>呈现原文引用回答</w:t>
            </w:r>
          </w:p>
        </w:tc>
        <w:tc>
          <w:tcPr>
            <w:tcW w:w="950" w:type="dxa"/>
            <w:shd w:val="clear" w:color="auto" w:fill="FFFFFF"/>
            <w:vAlign w:val="center"/>
          </w:tcPr>
          <w:p w14:paraId="08D1678C">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0307E161">
            <w:pPr>
              <w:spacing w:before="0" w:after="0" w:line="240" w:lineRule="auto"/>
              <w:ind w:left="0" w:right="0" w:firstLine="0" w:firstLineChars="0"/>
              <w:jc w:val="left"/>
            </w:pPr>
            <w:r>
              <w:rPr>
                <w:rFonts w:ascii="宋体" w:hAnsi="宋体" w:eastAsia="宋体" w:cs="宋体"/>
                <w:b w:val="0"/>
                <w:bCs w:val="0"/>
                <w:color w:val="000000"/>
                <w:sz w:val="16"/>
                <w:szCs w:val="16"/>
              </w:rPr>
              <w:t>输入：可见片段</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输出：带出处回答</w:t>
            </w:r>
          </w:p>
        </w:tc>
        <w:tc>
          <w:tcPr>
            <w:tcW w:w="2000" w:type="dxa"/>
            <w:shd w:val="clear" w:color="auto" w:fill="FFFFFF"/>
            <w:vAlign w:val="center"/>
          </w:tcPr>
          <w:p w14:paraId="53E49DAD">
            <w:pPr>
              <w:spacing w:before="0" w:after="0" w:line="240" w:lineRule="auto"/>
              <w:ind w:left="0" w:right="0" w:firstLine="0" w:firstLineChars="0"/>
              <w:jc w:val="left"/>
            </w:pPr>
            <w:r>
              <w:rPr>
                <w:rFonts w:ascii="宋体" w:hAnsi="宋体" w:eastAsia="宋体" w:cs="宋体"/>
                <w:b w:val="0"/>
                <w:bCs w:val="0"/>
                <w:color w:val="000000"/>
                <w:sz w:val="16"/>
                <w:szCs w:val="16"/>
              </w:rPr>
              <w:t>依据可见的质量、安全和环保制度规程组织回答，附文件名及条款位置，保持内容与引用原文一致。</w:t>
            </w:r>
          </w:p>
        </w:tc>
        <w:tc>
          <w:tcPr>
            <w:tcW w:w="1072" w:type="dxa"/>
            <w:shd w:val="clear" w:color="auto" w:fill="FFFFFF"/>
            <w:vAlign w:val="center"/>
          </w:tcPr>
          <w:p w14:paraId="33758A3C">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4CB47497">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P-ZLTC-AI-FKZSWD-116-01-001</w:t>
            </w:r>
          </w:p>
        </w:tc>
      </w:tr>
      <w:tr w14:paraId="35799305">
        <w:trPr>
          <w:cantSplit/>
          <w:jc w:val="center"/>
        </w:trPr>
        <w:tc>
          <w:tcPr>
            <w:tcW w:w="650" w:type="dxa"/>
            <w:shd w:val="clear" w:color="auto" w:fill="FFFFFF"/>
            <w:vAlign w:val="center"/>
          </w:tcPr>
          <w:p w14:paraId="23622029">
            <w:pPr>
              <w:spacing w:before="0" w:after="0" w:line="240" w:lineRule="auto"/>
              <w:ind w:left="0" w:right="0" w:firstLine="0" w:firstLineChars="0"/>
              <w:jc w:val="center"/>
            </w:pPr>
            <w:r>
              <w:rPr>
                <w:rFonts w:ascii="宋体" w:hAnsi="宋体" w:eastAsia="宋体" w:cs="宋体"/>
                <w:b w:val="0"/>
                <w:bCs w:val="0"/>
                <w:color w:val="000000"/>
                <w:sz w:val="16"/>
                <w:szCs w:val="16"/>
              </w:rPr>
              <w:t>06</w:t>
            </w:r>
          </w:p>
        </w:tc>
        <w:tc>
          <w:tcPr>
            <w:tcW w:w="1050" w:type="dxa"/>
            <w:shd w:val="clear" w:color="auto" w:fill="FFFFFF"/>
            <w:vAlign w:val="center"/>
          </w:tcPr>
          <w:p w14:paraId="6B2E96CF">
            <w:pPr>
              <w:spacing w:before="0" w:after="0" w:line="240" w:lineRule="auto"/>
              <w:ind w:left="0" w:right="0" w:firstLine="0" w:firstLineChars="0"/>
              <w:jc w:val="center"/>
            </w:pPr>
            <w:r>
              <w:rPr>
                <w:rFonts w:ascii="宋体" w:hAnsi="宋体" w:eastAsia="宋体" w:cs="宋体"/>
                <w:b w:val="0"/>
                <w:bCs w:val="0"/>
                <w:color w:val="000000"/>
                <w:sz w:val="16"/>
                <w:szCs w:val="16"/>
              </w:rPr>
              <w:t>说明无权限</w:t>
            </w:r>
          </w:p>
        </w:tc>
        <w:tc>
          <w:tcPr>
            <w:tcW w:w="950" w:type="dxa"/>
            <w:shd w:val="clear" w:color="auto" w:fill="FFFFFF"/>
            <w:vAlign w:val="center"/>
          </w:tcPr>
          <w:p w14:paraId="78FCF210">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3F3570AB">
            <w:pPr>
              <w:spacing w:before="0" w:after="0" w:line="240" w:lineRule="auto"/>
              <w:ind w:left="0" w:right="0" w:firstLine="0" w:firstLineChars="0"/>
              <w:jc w:val="left"/>
            </w:pPr>
            <w:r>
              <w:rPr>
                <w:rFonts w:ascii="宋体" w:hAnsi="宋体" w:eastAsia="宋体" w:cs="宋体"/>
                <w:b w:val="0"/>
                <w:bCs w:val="0"/>
                <w:color w:val="000000"/>
                <w:sz w:val="16"/>
                <w:szCs w:val="16"/>
              </w:rPr>
              <w:t>输入：权限过滤或无权限状态</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输出：拒答</w:t>
            </w:r>
          </w:p>
        </w:tc>
        <w:tc>
          <w:tcPr>
            <w:tcW w:w="2000" w:type="dxa"/>
            <w:shd w:val="clear" w:color="auto" w:fill="FFFFFF"/>
            <w:vAlign w:val="center"/>
          </w:tcPr>
          <w:p w14:paraId="0AFC717D">
            <w:pPr>
              <w:spacing w:before="0" w:after="0" w:line="240" w:lineRule="auto"/>
              <w:ind w:left="0" w:right="0" w:firstLine="0" w:firstLineChars="0"/>
              <w:jc w:val="left"/>
            </w:pPr>
            <w:r>
              <w:rPr>
                <w:rFonts w:ascii="宋体" w:hAnsi="宋体" w:eastAsia="宋体" w:cs="宋体"/>
                <w:b w:val="0"/>
                <w:bCs w:val="0"/>
                <w:color w:val="000000"/>
                <w:sz w:val="16"/>
                <w:szCs w:val="16"/>
              </w:rPr>
              <w:t>说明当前查询的业务权限状态，保护受限文档、人员记录和资产信息；将权限过滤结果与知识检索缺口分别记录。</w:t>
            </w:r>
          </w:p>
        </w:tc>
        <w:tc>
          <w:tcPr>
            <w:tcW w:w="1072" w:type="dxa"/>
            <w:shd w:val="clear" w:color="auto" w:fill="FFFFFF"/>
            <w:vAlign w:val="center"/>
          </w:tcPr>
          <w:p w14:paraId="25636A41">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5FF7258D">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p>
        </w:tc>
      </w:tr>
      <w:tr w14:paraId="229137B8">
        <w:trPr>
          <w:cantSplit/>
          <w:jc w:val="center"/>
        </w:trPr>
        <w:tc>
          <w:tcPr>
            <w:tcW w:w="650" w:type="dxa"/>
            <w:shd w:val="clear" w:color="auto" w:fill="FFFFFF"/>
            <w:vAlign w:val="center"/>
          </w:tcPr>
          <w:p w14:paraId="6B7CBBA2">
            <w:pPr>
              <w:spacing w:before="0" w:after="0" w:line="240" w:lineRule="auto"/>
              <w:ind w:left="0" w:right="0" w:firstLine="0" w:firstLineChars="0"/>
              <w:jc w:val="center"/>
            </w:pPr>
            <w:r>
              <w:rPr>
                <w:rFonts w:ascii="宋体" w:hAnsi="宋体" w:eastAsia="宋体" w:cs="宋体"/>
                <w:b w:val="0"/>
                <w:bCs w:val="0"/>
                <w:color w:val="000000"/>
                <w:sz w:val="16"/>
                <w:szCs w:val="16"/>
              </w:rPr>
              <w:t>07</w:t>
            </w:r>
          </w:p>
        </w:tc>
        <w:tc>
          <w:tcPr>
            <w:tcW w:w="1050" w:type="dxa"/>
            <w:shd w:val="clear" w:color="auto" w:fill="FFFFFF"/>
            <w:vAlign w:val="center"/>
          </w:tcPr>
          <w:p w14:paraId="1A0F5280">
            <w:pPr>
              <w:spacing w:before="0" w:after="0" w:line="240" w:lineRule="auto"/>
              <w:ind w:left="0" w:right="0" w:firstLine="0" w:firstLineChars="0"/>
              <w:jc w:val="center"/>
            </w:pPr>
            <w:r>
              <w:rPr>
                <w:rFonts w:ascii="宋体" w:hAnsi="宋体" w:eastAsia="宋体" w:cs="宋体"/>
                <w:b w:val="0"/>
                <w:bCs w:val="0"/>
                <w:color w:val="000000"/>
                <w:sz w:val="16"/>
                <w:szCs w:val="16"/>
              </w:rPr>
              <w:t>记录知识缺口并询问上报</w:t>
            </w:r>
          </w:p>
        </w:tc>
        <w:tc>
          <w:tcPr>
            <w:tcW w:w="950" w:type="dxa"/>
            <w:shd w:val="clear" w:color="auto" w:fill="FFFFFF"/>
            <w:vAlign w:val="center"/>
          </w:tcPr>
          <w:p w14:paraId="3BC77D38">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7750D58C">
            <w:pPr>
              <w:spacing w:before="0" w:after="0" w:line="240" w:lineRule="auto"/>
              <w:ind w:left="0" w:right="0" w:firstLine="0" w:firstLineChars="0"/>
              <w:jc w:val="left"/>
            </w:pPr>
            <w:r>
              <w:rPr>
                <w:rFonts w:ascii="宋体" w:hAnsi="宋体" w:eastAsia="宋体" w:cs="宋体"/>
                <w:b w:val="0"/>
                <w:bCs w:val="0"/>
                <w:color w:val="000000"/>
                <w:sz w:val="16"/>
                <w:szCs w:val="16"/>
              </w:rPr>
              <w:t>输入：未命中问题及检索证据</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输出：线索和用户选择</w:t>
            </w:r>
          </w:p>
        </w:tc>
        <w:tc>
          <w:tcPr>
            <w:tcW w:w="2000" w:type="dxa"/>
            <w:shd w:val="clear" w:color="auto" w:fill="FFFFFF"/>
            <w:vAlign w:val="center"/>
          </w:tcPr>
          <w:p w14:paraId="052BC6DD">
            <w:pPr>
              <w:spacing w:before="0" w:after="0" w:line="240" w:lineRule="auto"/>
              <w:ind w:left="0" w:right="0" w:firstLine="0" w:firstLineChars="0"/>
              <w:jc w:val="left"/>
            </w:pPr>
            <w:r>
              <w:rPr>
                <w:rFonts w:ascii="宋体" w:hAnsi="宋体" w:eastAsia="宋体" w:cs="宋体"/>
                <w:b w:val="0"/>
                <w:bCs w:val="0"/>
                <w:color w:val="000000"/>
                <w:sz w:val="16"/>
                <w:szCs w:val="16"/>
              </w:rPr>
              <w:t>记录未命中原话、检索证据和提出人，说明当前知识检索状态；内部用户可选择上报知识缺口，形成知识工作台待办。</w:t>
            </w:r>
          </w:p>
        </w:tc>
        <w:tc>
          <w:tcPr>
            <w:tcW w:w="1072" w:type="dxa"/>
            <w:shd w:val="clear" w:color="auto" w:fill="FFFFFF"/>
            <w:vAlign w:val="center"/>
          </w:tcPr>
          <w:p w14:paraId="25BF4EBA">
            <w:pPr>
              <w:spacing w:before="0" w:after="0" w:line="240" w:lineRule="auto"/>
              <w:ind w:left="0" w:right="0" w:firstLine="0" w:firstLineChars="0"/>
              <w:jc w:val="left"/>
            </w:pPr>
            <w:r>
              <w:rPr>
                <w:rFonts w:ascii="宋体" w:hAnsi="宋体" w:eastAsia="宋体" w:cs="宋体"/>
                <w:b w:val="0"/>
                <w:bCs w:val="0"/>
                <w:color w:val="000000"/>
                <w:sz w:val="16"/>
                <w:szCs w:val="16"/>
              </w:rPr>
              <w:t>上报缺口→08；</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本轮暂不上报→结束</w:t>
            </w:r>
          </w:p>
        </w:tc>
        <w:tc>
          <w:tcPr>
            <w:tcW w:w="2000" w:type="dxa"/>
            <w:shd w:val="clear" w:color="auto" w:fill="FFFFFF"/>
            <w:vAlign w:val="center"/>
          </w:tcPr>
          <w:p w14:paraId="7A902A81">
            <w:pPr>
              <w:spacing w:before="0" w:after="0" w:line="240" w:lineRule="auto"/>
              <w:ind w:left="0" w:right="0" w:firstLine="0" w:firstLineChars="0"/>
              <w:jc w:val="left"/>
            </w:pPr>
            <w:r>
              <w:rPr>
                <w:rFonts w:ascii="宋体" w:hAnsi="宋体" w:eastAsia="宋体" w:cs="宋体"/>
                <w:b w:val="0"/>
                <w:bCs w:val="0"/>
                <w:color w:val="000000"/>
                <w:sz w:val="16"/>
                <w:szCs w:val="16"/>
              </w:rPr>
              <w:t>P-ZLTC-AI-ZNWS-101-06-001</w:t>
            </w:r>
          </w:p>
        </w:tc>
      </w:tr>
      <w:tr w14:paraId="3B8A8CF3">
        <w:trPr>
          <w:cantSplit/>
          <w:jc w:val="center"/>
        </w:trPr>
        <w:tc>
          <w:tcPr>
            <w:tcW w:w="650" w:type="dxa"/>
            <w:shd w:val="clear" w:color="auto" w:fill="FFFFFF"/>
            <w:vAlign w:val="center"/>
          </w:tcPr>
          <w:p w14:paraId="6D8CE2D9">
            <w:pPr>
              <w:spacing w:before="0" w:after="0" w:line="240" w:lineRule="auto"/>
              <w:ind w:left="0" w:right="0" w:firstLine="0" w:firstLineChars="0"/>
              <w:jc w:val="center"/>
            </w:pPr>
            <w:r>
              <w:rPr>
                <w:rFonts w:ascii="宋体" w:hAnsi="宋体" w:eastAsia="宋体" w:cs="宋体"/>
                <w:b w:val="0"/>
                <w:bCs w:val="0"/>
                <w:color w:val="000000"/>
                <w:sz w:val="16"/>
                <w:szCs w:val="16"/>
              </w:rPr>
              <w:t>08</w:t>
            </w:r>
          </w:p>
        </w:tc>
        <w:tc>
          <w:tcPr>
            <w:tcW w:w="1050" w:type="dxa"/>
            <w:shd w:val="clear" w:color="auto" w:fill="FFFFFF"/>
            <w:vAlign w:val="center"/>
          </w:tcPr>
          <w:p w14:paraId="79FDD640">
            <w:pPr>
              <w:spacing w:before="0" w:after="0" w:line="240" w:lineRule="auto"/>
              <w:ind w:left="0" w:right="0" w:firstLine="0" w:firstLineChars="0"/>
              <w:jc w:val="center"/>
            </w:pPr>
            <w:r>
              <w:rPr>
                <w:rFonts w:ascii="宋体" w:hAnsi="宋体" w:eastAsia="宋体" w:cs="宋体"/>
                <w:b w:val="0"/>
                <w:bCs w:val="0"/>
                <w:color w:val="000000"/>
                <w:sz w:val="16"/>
                <w:szCs w:val="16"/>
              </w:rPr>
              <w:t>维护员审核补充知识</w:t>
            </w:r>
          </w:p>
        </w:tc>
        <w:tc>
          <w:tcPr>
            <w:tcW w:w="950" w:type="dxa"/>
            <w:shd w:val="clear" w:color="auto" w:fill="FFFFFF"/>
            <w:vAlign w:val="center"/>
          </w:tcPr>
          <w:p w14:paraId="351C3963">
            <w:pPr>
              <w:spacing w:before="0" w:after="0" w:line="240" w:lineRule="auto"/>
              <w:ind w:left="0" w:right="0" w:firstLine="0" w:firstLineChars="0"/>
              <w:jc w:val="center"/>
            </w:pPr>
            <w:r>
              <w:rPr>
                <w:rFonts w:ascii="宋体" w:hAnsi="宋体" w:eastAsia="宋体" w:cs="宋体"/>
                <w:b w:val="0"/>
                <w:bCs w:val="0"/>
                <w:color w:val="000000"/>
                <w:sz w:val="16"/>
                <w:szCs w:val="16"/>
              </w:rPr>
              <w:t>知识工作台</w:t>
            </w:r>
          </w:p>
        </w:tc>
        <w:tc>
          <w:tcPr>
            <w:tcW w:w="1350" w:type="dxa"/>
            <w:shd w:val="clear" w:color="auto" w:fill="FFFFFF"/>
            <w:vAlign w:val="center"/>
          </w:tcPr>
          <w:p w14:paraId="1B9EB8E4">
            <w:pPr>
              <w:spacing w:before="0" w:after="0" w:line="240" w:lineRule="auto"/>
              <w:ind w:left="0" w:right="0" w:firstLine="0" w:firstLineChars="0"/>
              <w:jc w:val="left"/>
            </w:pPr>
            <w:r>
              <w:rPr>
                <w:rFonts w:ascii="宋体" w:hAnsi="宋体" w:eastAsia="宋体" w:cs="宋体"/>
                <w:b w:val="0"/>
                <w:bCs w:val="0"/>
                <w:color w:val="000000"/>
                <w:sz w:val="16"/>
                <w:szCs w:val="16"/>
              </w:rPr>
              <w:t>输入：已上报知识待办</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输出：审核结果及文档更新</w:t>
            </w:r>
          </w:p>
        </w:tc>
        <w:tc>
          <w:tcPr>
            <w:tcW w:w="2000" w:type="dxa"/>
            <w:shd w:val="clear" w:color="auto" w:fill="FFFFFF"/>
            <w:vAlign w:val="center"/>
          </w:tcPr>
          <w:p w14:paraId="20B1BD69">
            <w:pPr>
              <w:spacing w:before="0" w:after="0" w:line="240" w:lineRule="auto"/>
              <w:ind w:left="0" w:right="0" w:firstLine="0" w:firstLineChars="0"/>
              <w:jc w:val="left"/>
            </w:pPr>
            <w:r>
              <w:rPr>
                <w:rFonts w:ascii="宋体" w:hAnsi="宋体" w:eastAsia="宋体" w:cs="宋体"/>
                <w:b w:val="0"/>
                <w:bCs w:val="0"/>
                <w:color w:val="000000"/>
                <w:sz w:val="16"/>
                <w:szCs w:val="16"/>
              </w:rPr>
              <w:t>知识维护人员核实缺口并补充相关文档，按5.5.4及6.7完成专业审核、片段更新、关联场景验证和发布，保留来源与版本。</w:t>
            </w:r>
          </w:p>
        </w:tc>
        <w:tc>
          <w:tcPr>
            <w:tcW w:w="1072" w:type="dxa"/>
            <w:shd w:val="clear" w:color="auto" w:fill="FFFFFF"/>
            <w:vAlign w:val="center"/>
          </w:tcPr>
          <w:p w14:paraId="0F33E79D">
            <w:pPr>
              <w:spacing w:before="0" w:after="0" w:line="240" w:lineRule="auto"/>
              <w:ind w:left="0" w:right="0" w:firstLine="0" w:firstLineChars="0"/>
              <w:jc w:val="left"/>
            </w:pPr>
            <w:r>
              <w:rPr>
                <w:rFonts w:ascii="宋体" w:hAnsi="宋体" w:eastAsia="宋体" w:cs="宋体"/>
                <w:b w:val="0"/>
                <w:bCs w:val="0"/>
                <w:color w:val="000000"/>
                <w:sz w:val="16"/>
                <w:szCs w:val="16"/>
              </w:rPr>
              <w:t>审核发布完成→09</w:t>
            </w:r>
          </w:p>
        </w:tc>
        <w:tc>
          <w:tcPr>
            <w:tcW w:w="2000" w:type="dxa"/>
            <w:shd w:val="clear" w:color="auto" w:fill="FFFFFF"/>
            <w:vAlign w:val="center"/>
          </w:tcPr>
          <w:p w14:paraId="0E445D3F">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P-ZLTC-AI-FKZSWD-116-01-001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P-ZLTC-AI-WLPHGY-102-14-001</w:t>
            </w:r>
          </w:p>
        </w:tc>
      </w:tr>
      <w:tr w14:paraId="3DB994BE">
        <w:trPr>
          <w:cantSplit/>
          <w:jc w:val="center"/>
        </w:trPr>
        <w:tc>
          <w:tcPr>
            <w:tcW w:w="650" w:type="dxa"/>
            <w:shd w:val="clear" w:color="auto" w:fill="FFFFFF"/>
            <w:vAlign w:val="center"/>
          </w:tcPr>
          <w:p w14:paraId="581EB95D">
            <w:pPr>
              <w:spacing w:before="0" w:after="0" w:line="240" w:lineRule="auto"/>
              <w:ind w:left="0" w:right="0" w:firstLine="0" w:firstLineChars="0"/>
              <w:jc w:val="center"/>
            </w:pPr>
            <w:r>
              <w:rPr>
                <w:rFonts w:ascii="宋体" w:hAnsi="宋体" w:eastAsia="宋体" w:cs="宋体"/>
                <w:b w:val="0"/>
                <w:bCs w:val="0"/>
                <w:color w:val="000000"/>
                <w:sz w:val="16"/>
                <w:szCs w:val="16"/>
              </w:rPr>
              <w:t>09</w:t>
            </w:r>
          </w:p>
        </w:tc>
        <w:tc>
          <w:tcPr>
            <w:tcW w:w="1050" w:type="dxa"/>
            <w:shd w:val="clear" w:color="auto" w:fill="FFFFFF"/>
            <w:vAlign w:val="center"/>
          </w:tcPr>
          <w:p w14:paraId="1BB92585">
            <w:pPr>
              <w:spacing w:before="0" w:after="0" w:line="240" w:lineRule="auto"/>
              <w:ind w:left="0" w:right="0" w:firstLine="0" w:firstLineChars="0"/>
              <w:jc w:val="center"/>
            </w:pPr>
            <w:r>
              <w:rPr>
                <w:rFonts w:ascii="宋体" w:hAnsi="宋体" w:eastAsia="宋体" w:cs="宋体"/>
                <w:b w:val="0"/>
                <w:bCs w:val="0"/>
                <w:color w:val="000000"/>
                <w:sz w:val="16"/>
                <w:szCs w:val="16"/>
              </w:rPr>
              <w:t>通知原提问人</w:t>
            </w:r>
          </w:p>
        </w:tc>
        <w:tc>
          <w:tcPr>
            <w:tcW w:w="950" w:type="dxa"/>
            <w:shd w:val="clear" w:color="auto" w:fill="FFFFFF"/>
            <w:vAlign w:val="center"/>
          </w:tcPr>
          <w:p w14:paraId="59F8D17D">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67543F29">
            <w:pPr>
              <w:spacing w:before="0" w:after="0" w:line="240" w:lineRule="auto"/>
              <w:ind w:left="0" w:right="0" w:firstLine="0" w:firstLineChars="0"/>
              <w:jc w:val="left"/>
            </w:pPr>
            <w:r>
              <w:rPr>
                <w:rFonts w:ascii="宋体" w:hAnsi="宋体" w:eastAsia="宋体" w:cs="宋体"/>
                <w:b w:val="0"/>
                <w:bCs w:val="0"/>
                <w:color w:val="000000"/>
                <w:sz w:val="16"/>
                <w:szCs w:val="16"/>
              </w:rPr>
              <w:t>输入：知识补齐结果</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输出：补齐通知</w:t>
            </w:r>
          </w:p>
        </w:tc>
        <w:tc>
          <w:tcPr>
            <w:tcW w:w="2000" w:type="dxa"/>
            <w:shd w:val="clear" w:color="auto" w:fill="FFFFFF"/>
            <w:vAlign w:val="center"/>
          </w:tcPr>
          <w:p w14:paraId="2A9BA526">
            <w:pPr>
              <w:spacing w:before="0" w:after="0" w:line="240" w:lineRule="auto"/>
              <w:ind w:left="0" w:right="0" w:firstLine="0" w:firstLineChars="0"/>
              <w:jc w:val="left"/>
            </w:pPr>
            <w:r>
              <w:rPr>
                <w:rFonts w:ascii="宋体" w:hAnsi="宋体" w:eastAsia="宋体" w:cs="宋体"/>
                <w:b w:val="0"/>
                <w:bCs w:val="0"/>
                <w:color w:val="000000"/>
                <w:sz w:val="16"/>
                <w:szCs w:val="16"/>
              </w:rPr>
              <w:t>补齐后通知原提问人回看；日常维护不触发用户通知。</w:t>
            </w:r>
          </w:p>
        </w:tc>
        <w:tc>
          <w:tcPr>
            <w:tcW w:w="1072" w:type="dxa"/>
            <w:shd w:val="clear" w:color="auto" w:fill="FFFFFF"/>
            <w:vAlign w:val="center"/>
          </w:tcPr>
          <w:p w14:paraId="6FC76580">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4E7EE203">
            <w:pPr>
              <w:spacing w:before="0" w:after="0" w:line="240" w:lineRule="auto"/>
              <w:ind w:left="0" w:right="0" w:firstLine="0" w:firstLineChars="0"/>
              <w:jc w:val="left"/>
            </w:pPr>
            <w:r>
              <w:rPr>
                <w:rFonts w:ascii="宋体" w:hAnsi="宋体" w:eastAsia="宋体" w:cs="宋体"/>
                <w:b w:val="0"/>
                <w:bCs w:val="0"/>
                <w:color w:val="000000"/>
                <w:sz w:val="16"/>
                <w:szCs w:val="16"/>
              </w:rPr>
              <w:t>P-ZLTC-AI-FKZSWD-116-07-001</w:t>
            </w:r>
          </w:p>
        </w:tc>
      </w:tr>
      <w:tr w14:paraId="306142EA">
        <w:trPr>
          <w:cantSplit/>
          <w:jc w:val="center"/>
        </w:trPr>
        <w:tc>
          <w:tcPr>
            <w:tcW w:w="650" w:type="dxa"/>
            <w:shd w:val="clear" w:color="auto" w:fill="FFFFFF"/>
            <w:vAlign w:val="center"/>
          </w:tcPr>
          <w:p w14:paraId="77C642AD">
            <w:pPr>
              <w:spacing w:before="0" w:after="0" w:line="240" w:lineRule="auto"/>
              <w:ind w:left="0" w:right="0" w:firstLine="0" w:firstLineChars="0"/>
              <w:jc w:val="center"/>
            </w:pPr>
            <w:r>
              <w:rPr>
                <w:rFonts w:ascii="宋体" w:hAnsi="宋体" w:eastAsia="宋体" w:cs="宋体"/>
                <w:b w:val="0"/>
                <w:bCs w:val="0"/>
                <w:color w:val="000000"/>
                <w:sz w:val="16"/>
                <w:szCs w:val="16"/>
              </w:rPr>
              <w:t>10</w:t>
            </w:r>
          </w:p>
        </w:tc>
        <w:tc>
          <w:tcPr>
            <w:tcW w:w="1050" w:type="dxa"/>
            <w:shd w:val="clear" w:color="auto" w:fill="FFFFFF"/>
            <w:vAlign w:val="center"/>
          </w:tcPr>
          <w:p w14:paraId="7E0567D5">
            <w:pPr>
              <w:spacing w:before="0" w:after="0" w:line="240" w:lineRule="auto"/>
              <w:ind w:left="0" w:right="0" w:firstLine="0" w:firstLineChars="0"/>
              <w:jc w:val="center"/>
            </w:pPr>
            <w:r>
              <w:rPr>
                <w:rFonts w:ascii="宋体" w:hAnsi="宋体" w:eastAsia="宋体" w:cs="宋体"/>
                <w:b w:val="0"/>
                <w:bCs w:val="0"/>
                <w:color w:val="000000"/>
                <w:sz w:val="16"/>
                <w:szCs w:val="16"/>
              </w:rPr>
              <w:t>按授权查询业务记录</w:t>
            </w:r>
          </w:p>
        </w:tc>
        <w:tc>
          <w:tcPr>
            <w:tcW w:w="950" w:type="dxa"/>
            <w:shd w:val="clear" w:color="auto" w:fill="FFFFFF"/>
            <w:vAlign w:val="center"/>
          </w:tcPr>
          <w:p w14:paraId="1F1B79F6">
            <w:pPr>
              <w:spacing w:before="0" w:after="0" w:line="240" w:lineRule="auto"/>
              <w:ind w:left="0" w:right="0" w:firstLine="0" w:firstLineChars="0"/>
              <w:jc w:val="center"/>
            </w:pPr>
            <w:r>
              <w:rPr>
                <w:rFonts w:ascii="宋体" w:hAnsi="宋体" w:eastAsia="宋体" w:cs="宋体"/>
                <w:b w:val="0"/>
                <w:bCs w:val="0"/>
                <w:color w:val="000000"/>
                <w:sz w:val="16"/>
                <w:szCs w:val="16"/>
              </w:rPr>
              <w:t>工具运行框架</w:t>
            </w:r>
          </w:p>
        </w:tc>
        <w:tc>
          <w:tcPr>
            <w:tcW w:w="1350" w:type="dxa"/>
            <w:shd w:val="clear" w:color="auto" w:fill="FFFFFF"/>
            <w:vAlign w:val="center"/>
          </w:tcPr>
          <w:p w14:paraId="11C0D2F5">
            <w:pPr>
              <w:spacing w:before="0" w:after="0" w:line="240" w:lineRule="auto"/>
              <w:ind w:left="0" w:right="0" w:firstLine="0" w:firstLineChars="0"/>
              <w:jc w:val="left"/>
            </w:pPr>
            <w:r>
              <w:rPr>
                <w:rFonts w:ascii="宋体" w:hAnsi="宋体" w:eastAsia="宋体" w:cs="宋体"/>
                <w:b w:val="0"/>
                <w:bCs w:val="0"/>
                <w:color w:val="000000"/>
                <w:sz w:val="16"/>
                <w:szCs w:val="16"/>
              </w:rPr>
              <w:t>输入：对象、时段及用户身份</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输出：排放或违章等记录</w:t>
            </w:r>
          </w:p>
        </w:tc>
        <w:tc>
          <w:tcPr>
            <w:tcW w:w="2000" w:type="dxa"/>
            <w:shd w:val="clear" w:color="auto" w:fill="FFFFFF"/>
            <w:vAlign w:val="center"/>
          </w:tcPr>
          <w:p w14:paraId="2F9618A5">
            <w:pPr>
              <w:spacing w:before="0" w:after="0" w:line="240" w:lineRule="auto"/>
              <w:ind w:left="0" w:right="0" w:firstLine="0" w:firstLineChars="0"/>
              <w:jc w:val="left"/>
            </w:pPr>
            <w:r>
              <w:rPr>
                <w:rFonts w:ascii="宋体" w:hAnsi="宋体" w:eastAsia="宋体" w:cs="宋体"/>
                <w:b w:val="0"/>
                <w:bCs w:val="0"/>
                <w:color w:val="000000"/>
                <w:sz w:val="16"/>
                <w:szCs w:val="16"/>
              </w:rPr>
              <w:t>经AI数据治理查询排放点、污染物指标、历史超标、当前处置情况及智能视频识别事件；涉及具体人员的记录按业务授权过滤。</w:t>
            </w:r>
          </w:p>
        </w:tc>
        <w:tc>
          <w:tcPr>
            <w:tcW w:w="1072" w:type="dxa"/>
            <w:shd w:val="clear" w:color="auto" w:fill="FFFFFF"/>
            <w:vAlign w:val="center"/>
          </w:tcPr>
          <w:p w14:paraId="27C12E25">
            <w:pPr>
              <w:spacing w:before="0" w:after="0" w:line="240" w:lineRule="auto"/>
              <w:ind w:left="0" w:right="0" w:firstLine="0" w:firstLineChars="0"/>
              <w:jc w:val="left"/>
            </w:pPr>
            <w:r>
              <w:rPr>
                <w:rFonts w:ascii="宋体" w:hAnsi="宋体" w:eastAsia="宋体" w:cs="宋体"/>
                <w:b w:val="0"/>
                <w:bCs w:val="0"/>
                <w:color w:val="000000"/>
                <w:sz w:val="16"/>
                <w:szCs w:val="16"/>
              </w:rPr>
              <w:t>权限不足→06；</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记录或状态→11</w:t>
            </w:r>
          </w:p>
        </w:tc>
        <w:tc>
          <w:tcPr>
            <w:tcW w:w="2000" w:type="dxa"/>
            <w:shd w:val="clear" w:color="auto" w:fill="FFFFFF"/>
            <w:vAlign w:val="center"/>
          </w:tcPr>
          <w:p w14:paraId="3F622C90">
            <w:pPr>
              <w:spacing w:before="0" w:after="0" w:line="240" w:lineRule="auto"/>
              <w:ind w:left="0" w:right="0" w:firstLine="0" w:firstLineChars="0"/>
              <w:jc w:val="left"/>
            </w:pPr>
            <w:r>
              <w:rPr>
                <w:rFonts w:ascii="宋体" w:hAnsi="宋体" w:eastAsia="宋体" w:cs="宋体"/>
                <w:b w:val="0"/>
                <w:bCs w:val="0"/>
                <w:color w:val="000000"/>
                <w:sz w:val="16"/>
                <w:szCs w:val="16"/>
              </w:rPr>
              <w:t>P-ZLTC-AI-ZNWS-101-08-001</w:t>
            </w:r>
          </w:p>
        </w:tc>
      </w:tr>
      <w:tr w14:paraId="548F67B4">
        <w:trPr>
          <w:cantSplit/>
          <w:jc w:val="center"/>
        </w:trPr>
        <w:tc>
          <w:tcPr>
            <w:tcW w:w="650" w:type="dxa"/>
            <w:shd w:val="clear" w:color="auto" w:fill="FFFFFF"/>
            <w:vAlign w:val="center"/>
          </w:tcPr>
          <w:p w14:paraId="38320A1E">
            <w:pPr>
              <w:spacing w:before="0" w:after="0" w:line="240" w:lineRule="auto"/>
              <w:ind w:left="0" w:right="0" w:firstLine="0" w:firstLineChars="0"/>
              <w:jc w:val="center"/>
            </w:pPr>
            <w:r>
              <w:rPr>
                <w:rFonts w:ascii="宋体" w:hAnsi="宋体" w:eastAsia="宋体" w:cs="宋体"/>
                <w:b w:val="0"/>
                <w:bCs w:val="0"/>
                <w:color w:val="000000"/>
                <w:sz w:val="16"/>
                <w:szCs w:val="16"/>
              </w:rPr>
              <w:t>11</w:t>
            </w:r>
          </w:p>
        </w:tc>
        <w:tc>
          <w:tcPr>
            <w:tcW w:w="1050" w:type="dxa"/>
            <w:shd w:val="clear" w:color="auto" w:fill="FFFFFF"/>
            <w:vAlign w:val="center"/>
          </w:tcPr>
          <w:p w14:paraId="79E65D99">
            <w:pPr>
              <w:spacing w:before="0" w:after="0" w:line="240" w:lineRule="auto"/>
              <w:ind w:left="0" w:right="0" w:firstLine="0" w:firstLineChars="0"/>
              <w:jc w:val="center"/>
            </w:pPr>
            <w:r>
              <w:rPr>
                <w:rFonts w:ascii="宋体" w:hAnsi="宋体" w:eastAsia="宋体" w:cs="宋体"/>
                <w:b w:val="0"/>
                <w:bCs w:val="0"/>
                <w:color w:val="000000"/>
                <w:sz w:val="16"/>
                <w:szCs w:val="16"/>
              </w:rPr>
              <w:t>呈现记录与统计结果</w:t>
            </w:r>
          </w:p>
        </w:tc>
        <w:tc>
          <w:tcPr>
            <w:tcW w:w="950" w:type="dxa"/>
            <w:shd w:val="clear" w:color="auto" w:fill="FFFFFF"/>
            <w:vAlign w:val="center"/>
          </w:tcPr>
          <w:p w14:paraId="5C1B1A7A">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041B3975">
            <w:pPr>
              <w:spacing w:before="0" w:after="0" w:line="240" w:lineRule="auto"/>
              <w:ind w:left="0" w:right="0" w:firstLine="0" w:firstLineChars="0"/>
              <w:jc w:val="left"/>
            </w:pPr>
            <w:r>
              <w:rPr>
                <w:rFonts w:ascii="宋体" w:hAnsi="宋体" w:eastAsia="宋体" w:cs="宋体"/>
                <w:b w:val="0"/>
                <w:bCs w:val="0"/>
                <w:color w:val="000000"/>
                <w:sz w:val="16"/>
                <w:szCs w:val="16"/>
              </w:rPr>
              <w:t>输入：记录或状态</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输出：带来源的问答或说明</w:t>
            </w:r>
          </w:p>
        </w:tc>
        <w:tc>
          <w:tcPr>
            <w:tcW w:w="2000" w:type="dxa"/>
            <w:shd w:val="clear" w:color="auto" w:fill="FFFFFF"/>
            <w:vAlign w:val="center"/>
          </w:tcPr>
          <w:p w14:paraId="35E08F13">
            <w:pPr>
              <w:spacing w:before="0" w:after="0" w:line="240" w:lineRule="auto"/>
              <w:ind w:left="0" w:right="0" w:firstLine="0" w:firstLineChars="0"/>
              <w:jc w:val="left"/>
            </w:pPr>
            <w:r>
              <w:rPr>
                <w:rFonts w:ascii="宋体" w:hAnsi="宋体" w:eastAsia="宋体" w:cs="宋体"/>
                <w:b w:val="0"/>
                <w:bCs w:val="0"/>
                <w:color w:val="000000"/>
                <w:sz w:val="16"/>
                <w:szCs w:val="16"/>
              </w:rPr>
              <w:t>呈现排放、超标、处置及违章记录与相应统计，标注来源和截止时间；智能视频监控模块提供视觉违章事件，无数据和执行失败分别说明。</w:t>
            </w:r>
          </w:p>
        </w:tc>
        <w:tc>
          <w:tcPr>
            <w:tcW w:w="1072" w:type="dxa"/>
            <w:shd w:val="clear" w:color="auto" w:fill="FFFFFF"/>
            <w:vAlign w:val="center"/>
          </w:tcPr>
          <w:p w14:paraId="5054EE78">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575F6D5D">
            <w:pPr>
              <w:spacing w:before="0" w:after="0" w:line="240" w:lineRule="auto"/>
              <w:ind w:left="0" w:right="0" w:firstLine="0" w:firstLineChars="0"/>
              <w:jc w:val="left"/>
            </w:pPr>
            <w:r>
              <w:rPr>
                <w:rFonts w:ascii="宋体" w:hAnsi="宋体" w:eastAsia="宋体" w:cs="宋体"/>
                <w:b w:val="0"/>
                <w:bCs w:val="0"/>
                <w:color w:val="000000"/>
                <w:sz w:val="16"/>
                <w:szCs w:val="16"/>
              </w:rPr>
              <w:t>P-ZLTC-AI-ZNWS-101-08-003</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P-ZLTC-AI-ZNWS-101-12-001</w:t>
            </w:r>
          </w:p>
        </w:tc>
      </w:tr>
      <w:tr w14:paraId="2E0B5E68">
        <w:trPr>
          <w:cantSplit/>
          <w:jc w:val="center"/>
        </w:trPr>
        <w:tc>
          <w:tcPr>
            <w:tcW w:w="650" w:type="dxa"/>
            <w:shd w:val="clear" w:color="auto" w:fill="FFFFFF"/>
            <w:vAlign w:val="center"/>
          </w:tcPr>
          <w:p w14:paraId="2C5016F2">
            <w:pPr>
              <w:spacing w:before="0" w:after="0" w:line="240" w:lineRule="auto"/>
              <w:ind w:left="0" w:right="0" w:firstLine="0" w:firstLineChars="0"/>
              <w:jc w:val="center"/>
            </w:pPr>
            <w:r>
              <w:rPr>
                <w:rFonts w:ascii="宋体" w:hAnsi="宋体" w:eastAsia="宋体" w:cs="宋体"/>
                <w:b w:val="0"/>
                <w:bCs w:val="0"/>
                <w:color w:val="000000"/>
                <w:sz w:val="16"/>
                <w:szCs w:val="16"/>
              </w:rPr>
              <w:t>12</w:t>
            </w:r>
          </w:p>
        </w:tc>
        <w:tc>
          <w:tcPr>
            <w:tcW w:w="1050" w:type="dxa"/>
            <w:shd w:val="clear" w:color="auto" w:fill="FFFFFF"/>
            <w:vAlign w:val="center"/>
          </w:tcPr>
          <w:p w14:paraId="4DF3D561">
            <w:pPr>
              <w:spacing w:before="0" w:after="0" w:line="240" w:lineRule="auto"/>
              <w:ind w:left="0" w:right="0" w:firstLine="0" w:firstLineChars="0"/>
              <w:jc w:val="center"/>
            </w:pPr>
            <w:r>
              <w:rPr>
                <w:rFonts w:ascii="宋体" w:hAnsi="宋体" w:eastAsia="宋体" w:cs="宋体"/>
                <w:b w:val="0"/>
                <w:bCs w:val="0"/>
                <w:color w:val="000000"/>
                <w:sz w:val="16"/>
                <w:szCs w:val="16"/>
              </w:rPr>
              <w:t>识别隐患并返回字段</w:t>
            </w:r>
          </w:p>
        </w:tc>
        <w:tc>
          <w:tcPr>
            <w:tcW w:w="950" w:type="dxa"/>
            <w:shd w:val="clear" w:color="auto" w:fill="FFFFFF"/>
            <w:vAlign w:val="center"/>
          </w:tcPr>
          <w:p w14:paraId="445B056A">
            <w:pPr>
              <w:spacing w:before="0" w:after="0" w:line="240" w:lineRule="auto"/>
              <w:ind w:left="0" w:right="0" w:firstLine="0" w:firstLineChars="0"/>
              <w:jc w:val="center"/>
            </w:pPr>
            <w:r>
              <w:rPr>
                <w:rFonts w:ascii="宋体" w:hAnsi="宋体" w:eastAsia="宋体" w:cs="宋体"/>
                <w:b w:val="0"/>
                <w:bCs w:val="0"/>
                <w:color w:val="000000"/>
                <w:sz w:val="16"/>
                <w:szCs w:val="16"/>
              </w:rPr>
              <w:t>场景子智能体</w:t>
            </w:r>
          </w:p>
        </w:tc>
        <w:tc>
          <w:tcPr>
            <w:tcW w:w="1350" w:type="dxa"/>
            <w:shd w:val="clear" w:color="auto" w:fill="FFFFFF"/>
            <w:vAlign w:val="center"/>
          </w:tcPr>
          <w:p w14:paraId="3E61CA54">
            <w:pPr>
              <w:spacing w:before="0" w:after="0" w:line="240" w:lineRule="auto"/>
              <w:ind w:left="0" w:right="0" w:firstLine="0" w:firstLineChars="0"/>
              <w:jc w:val="left"/>
            </w:pPr>
            <w:r>
              <w:rPr>
                <w:rFonts w:ascii="宋体" w:hAnsi="宋体" w:eastAsia="宋体" w:cs="宋体"/>
                <w:b w:val="0"/>
                <w:bCs w:val="0"/>
                <w:color w:val="000000"/>
                <w:sz w:val="16"/>
                <w:szCs w:val="16"/>
              </w:rPr>
              <w:t>输入：调用方图片、受控类型枚举及位置区域编码</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输出：隐患类型、位置、描述、置信度</w:t>
            </w:r>
          </w:p>
        </w:tc>
        <w:tc>
          <w:tcPr>
            <w:tcW w:w="2000" w:type="dxa"/>
            <w:shd w:val="clear" w:color="auto" w:fill="FFFFFF"/>
            <w:vAlign w:val="center"/>
          </w:tcPr>
          <w:p w14:paraId="7C64D229">
            <w:pPr>
              <w:spacing w:before="0" w:after="0" w:line="240" w:lineRule="auto"/>
              <w:ind w:left="0" w:right="0" w:firstLine="0" w:firstLineChars="0"/>
              <w:jc w:val="left"/>
            </w:pPr>
            <w:r>
              <w:rPr>
                <w:rFonts w:ascii="宋体" w:hAnsi="宋体" w:eastAsia="宋体" w:cs="宋体"/>
                <w:b w:val="0"/>
                <w:bCs w:val="0"/>
                <w:color w:val="000000"/>
                <w:sz w:val="16"/>
                <w:szCs w:val="16"/>
              </w:rPr>
              <w:t>依据受控隐患类型枚举及位置区域编码识别图片，返回隐患类型、位置、描述和置信度等预填字段；低置信度突出标注，供安全人员判定。</w:t>
            </w:r>
          </w:p>
        </w:tc>
        <w:tc>
          <w:tcPr>
            <w:tcW w:w="1072" w:type="dxa"/>
            <w:shd w:val="clear" w:color="auto" w:fill="FFFFFF"/>
            <w:vAlign w:val="center"/>
          </w:tcPr>
          <w:p w14:paraId="60C3F875">
            <w:pPr>
              <w:spacing w:before="0" w:after="0" w:line="240" w:lineRule="auto"/>
              <w:ind w:left="0" w:right="0" w:firstLine="0" w:firstLineChars="0"/>
              <w:jc w:val="left"/>
            </w:pPr>
            <w:r>
              <w:rPr>
                <w:rFonts w:ascii="宋体" w:hAnsi="宋体" w:eastAsia="宋体" w:cs="宋体"/>
                <w:b w:val="0"/>
                <w:bCs w:val="0"/>
                <w:color w:val="000000"/>
                <w:sz w:val="16"/>
                <w:szCs w:val="16"/>
              </w:rPr>
              <w:t>→13</w:t>
            </w:r>
          </w:p>
        </w:tc>
        <w:tc>
          <w:tcPr>
            <w:tcW w:w="2000" w:type="dxa"/>
            <w:shd w:val="clear" w:color="auto" w:fill="FFFFFF"/>
            <w:vAlign w:val="center"/>
          </w:tcPr>
          <w:p w14:paraId="47BF88B2">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0F56878D">
        <w:trPr>
          <w:cantSplit/>
          <w:jc w:val="center"/>
        </w:trPr>
        <w:tc>
          <w:tcPr>
            <w:tcW w:w="650" w:type="dxa"/>
            <w:shd w:val="clear" w:color="auto" w:fill="FFFFFF"/>
            <w:vAlign w:val="center"/>
          </w:tcPr>
          <w:p w14:paraId="2753E56B">
            <w:pPr>
              <w:spacing w:before="0" w:after="0" w:line="240" w:lineRule="auto"/>
              <w:ind w:left="0" w:right="0" w:firstLine="0" w:firstLineChars="0"/>
              <w:jc w:val="center"/>
            </w:pPr>
            <w:r>
              <w:rPr>
                <w:rFonts w:ascii="宋体" w:hAnsi="宋体" w:eastAsia="宋体" w:cs="宋体"/>
                <w:b w:val="0"/>
                <w:bCs w:val="0"/>
                <w:color w:val="000000"/>
                <w:sz w:val="16"/>
                <w:szCs w:val="16"/>
              </w:rPr>
              <w:t>13</w:t>
            </w:r>
          </w:p>
        </w:tc>
        <w:tc>
          <w:tcPr>
            <w:tcW w:w="1050" w:type="dxa"/>
            <w:shd w:val="clear" w:color="auto" w:fill="FFFFFF"/>
            <w:vAlign w:val="center"/>
          </w:tcPr>
          <w:p w14:paraId="1167170C">
            <w:pPr>
              <w:spacing w:before="0" w:after="0" w:line="240" w:lineRule="auto"/>
              <w:ind w:left="0" w:right="0" w:firstLine="0" w:firstLineChars="0"/>
              <w:jc w:val="center"/>
            </w:pPr>
            <w:r>
              <w:rPr>
                <w:rFonts w:ascii="宋体" w:hAnsi="宋体" w:eastAsia="宋体" w:cs="宋体"/>
                <w:b w:val="0"/>
                <w:bCs w:val="0"/>
                <w:color w:val="000000"/>
                <w:sz w:val="16"/>
                <w:szCs w:val="16"/>
              </w:rPr>
              <w:t>回传隐患识别字段</w:t>
            </w:r>
          </w:p>
        </w:tc>
        <w:tc>
          <w:tcPr>
            <w:tcW w:w="950" w:type="dxa"/>
            <w:shd w:val="clear" w:color="auto" w:fill="FFFFFF"/>
            <w:vAlign w:val="center"/>
          </w:tcPr>
          <w:p w14:paraId="7FDBCCF0">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6292A5EC">
            <w:pPr>
              <w:spacing w:before="0" w:after="0" w:line="240" w:lineRule="auto"/>
              <w:ind w:left="0" w:right="0" w:firstLine="0" w:firstLineChars="0"/>
              <w:jc w:val="left"/>
            </w:pPr>
            <w:r>
              <w:rPr>
                <w:rFonts w:ascii="宋体" w:hAnsi="宋体" w:eastAsia="宋体" w:cs="宋体"/>
                <w:b w:val="0"/>
                <w:bCs w:val="0"/>
                <w:color w:val="000000"/>
                <w:sz w:val="16"/>
                <w:szCs w:val="16"/>
              </w:rPr>
              <w:t>输入：识别字段</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输出：调用方收到的预填结果</w:t>
            </w:r>
          </w:p>
        </w:tc>
        <w:tc>
          <w:tcPr>
            <w:tcW w:w="2000" w:type="dxa"/>
            <w:shd w:val="clear" w:color="auto" w:fill="FFFFFF"/>
            <w:vAlign w:val="center"/>
          </w:tcPr>
          <w:p w14:paraId="26264D13">
            <w:pPr>
              <w:spacing w:before="0" w:after="0" w:line="240" w:lineRule="auto"/>
              <w:ind w:left="0" w:right="0" w:firstLine="0" w:firstLineChars="0"/>
              <w:jc w:val="left"/>
            </w:pPr>
            <w:r>
              <w:rPr>
                <w:rFonts w:ascii="宋体" w:hAnsi="宋体" w:eastAsia="宋体" w:cs="宋体"/>
                <w:b w:val="0"/>
                <w:bCs w:val="0"/>
                <w:color w:val="000000"/>
                <w:sz w:val="16"/>
                <w:szCs w:val="16"/>
              </w:rPr>
              <w:t>通过接口将隐患类型、位置、描述和置信度等字段回传安全业务系统，关联本次识别请求，供上报流程使用。</w:t>
            </w:r>
          </w:p>
        </w:tc>
        <w:tc>
          <w:tcPr>
            <w:tcW w:w="1072" w:type="dxa"/>
            <w:shd w:val="clear" w:color="auto" w:fill="FFFFFF"/>
            <w:vAlign w:val="center"/>
          </w:tcPr>
          <w:p w14:paraId="3BE59C69">
            <w:pPr>
              <w:spacing w:before="0" w:after="0" w:line="240" w:lineRule="auto"/>
              <w:ind w:left="0" w:right="0" w:firstLine="0" w:firstLineChars="0"/>
              <w:jc w:val="left"/>
            </w:pPr>
            <w:r>
              <w:rPr>
                <w:rFonts w:ascii="宋体" w:hAnsi="宋体" w:eastAsia="宋体" w:cs="宋体"/>
                <w:b w:val="0"/>
                <w:bCs w:val="0"/>
                <w:color w:val="000000"/>
                <w:sz w:val="16"/>
                <w:szCs w:val="16"/>
              </w:rPr>
              <w:t>→14</w:t>
            </w:r>
          </w:p>
        </w:tc>
        <w:tc>
          <w:tcPr>
            <w:tcW w:w="2000" w:type="dxa"/>
            <w:shd w:val="clear" w:color="auto" w:fill="FFFFFF"/>
            <w:vAlign w:val="center"/>
          </w:tcPr>
          <w:p w14:paraId="4828F591">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1905D634">
        <w:trPr>
          <w:cantSplit/>
          <w:jc w:val="center"/>
        </w:trPr>
        <w:tc>
          <w:tcPr>
            <w:tcW w:w="650" w:type="dxa"/>
            <w:shd w:val="clear" w:color="auto" w:fill="FFFFFF"/>
            <w:vAlign w:val="center"/>
          </w:tcPr>
          <w:p w14:paraId="585BFE20">
            <w:pPr>
              <w:spacing w:before="0" w:after="0" w:line="240" w:lineRule="auto"/>
              <w:ind w:left="0" w:right="0" w:firstLine="0" w:firstLineChars="0"/>
              <w:jc w:val="center"/>
            </w:pPr>
            <w:r>
              <w:rPr>
                <w:rFonts w:ascii="宋体" w:hAnsi="宋体" w:eastAsia="宋体" w:cs="宋体"/>
                <w:b w:val="0"/>
                <w:bCs w:val="0"/>
                <w:color w:val="000000"/>
                <w:sz w:val="16"/>
                <w:szCs w:val="16"/>
              </w:rPr>
              <w:t>14</w:t>
            </w:r>
          </w:p>
        </w:tc>
        <w:tc>
          <w:tcPr>
            <w:tcW w:w="1050" w:type="dxa"/>
            <w:shd w:val="clear" w:color="auto" w:fill="FFFFFF"/>
            <w:vAlign w:val="center"/>
          </w:tcPr>
          <w:p w14:paraId="33FD870F">
            <w:pPr>
              <w:spacing w:before="0" w:after="0" w:line="240" w:lineRule="auto"/>
              <w:ind w:left="0" w:right="0" w:firstLine="0" w:firstLineChars="0"/>
              <w:jc w:val="center"/>
            </w:pPr>
            <w:r>
              <w:rPr>
                <w:rFonts w:ascii="宋体" w:hAnsi="宋体" w:eastAsia="宋体" w:cs="宋体"/>
                <w:b w:val="0"/>
                <w:bCs w:val="0"/>
                <w:color w:val="000000"/>
                <w:sz w:val="16"/>
                <w:szCs w:val="16"/>
              </w:rPr>
              <w:t>人工判定与业务流转</w:t>
            </w:r>
          </w:p>
        </w:tc>
        <w:tc>
          <w:tcPr>
            <w:tcW w:w="950" w:type="dxa"/>
            <w:shd w:val="clear" w:color="auto" w:fill="FFFFFF"/>
            <w:vAlign w:val="center"/>
          </w:tcPr>
          <w:p w14:paraId="1EF63F1A">
            <w:pPr>
              <w:spacing w:before="0" w:after="0" w:line="240" w:lineRule="auto"/>
              <w:ind w:left="0" w:right="0" w:firstLine="0" w:firstLineChars="0"/>
              <w:jc w:val="center"/>
            </w:pPr>
            <w:r>
              <w:rPr>
                <w:rFonts w:ascii="宋体" w:hAnsi="宋体" w:eastAsia="宋体" w:cs="宋体"/>
                <w:b w:val="0"/>
                <w:bCs w:val="0"/>
                <w:color w:val="000000"/>
                <w:sz w:val="16"/>
                <w:szCs w:val="16"/>
              </w:rPr>
              <w:t>安全业务人员</w:t>
            </w:r>
          </w:p>
        </w:tc>
        <w:tc>
          <w:tcPr>
            <w:tcW w:w="1350" w:type="dxa"/>
            <w:shd w:val="clear" w:color="auto" w:fill="FFFFFF"/>
            <w:vAlign w:val="center"/>
          </w:tcPr>
          <w:p w14:paraId="5F1F49D1">
            <w:pPr>
              <w:spacing w:before="0" w:after="0" w:line="240" w:lineRule="auto"/>
              <w:ind w:left="0" w:right="0" w:firstLine="0" w:firstLineChars="0"/>
              <w:jc w:val="left"/>
            </w:pPr>
            <w:r>
              <w:rPr>
                <w:rFonts w:ascii="宋体" w:hAnsi="宋体" w:eastAsia="宋体" w:cs="宋体"/>
                <w:b w:val="0"/>
                <w:bCs w:val="0"/>
                <w:color w:val="000000"/>
                <w:sz w:val="16"/>
                <w:szCs w:val="16"/>
              </w:rPr>
              <w:t>输入：预填字段</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输出：人工判定及业务流转</w:t>
            </w:r>
          </w:p>
        </w:tc>
        <w:tc>
          <w:tcPr>
            <w:tcW w:w="2000" w:type="dxa"/>
            <w:shd w:val="clear" w:color="auto" w:fill="FFFFFF"/>
            <w:vAlign w:val="center"/>
          </w:tcPr>
          <w:p w14:paraId="70554618">
            <w:pPr>
              <w:spacing w:before="0" w:after="0" w:line="240" w:lineRule="auto"/>
              <w:ind w:left="0" w:right="0" w:firstLine="0" w:firstLineChars="0"/>
              <w:jc w:val="left"/>
            </w:pPr>
            <w:r>
              <w:rPr>
                <w:rFonts w:ascii="宋体" w:hAnsi="宋体" w:eastAsia="宋体" w:cs="宋体"/>
                <w:b w:val="0"/>
                <w:bCs w:val="0"/>
                <w:color w:val="000000"/>
                <w:sz w:val="16"/>
                <w:szCs w:val="16"/>
              </w:rPr>
              <w:t>安全人员结合原图及识别字段确认隐患，在安全管理系统完成上报、工单流转和整改办理，保留人工判定与业务处理记录。</w:t>
            </w:r>
          </w:p>
        </w:tc>
        <w:tc>
          <w:tcPr>
            <w:tcW w:w="1072" w:type="dxa"/>
            <w:shd w:val="clear" w:color="auto" w:fill="FFFFFF"/>
            <w:vAlign w:val="center"/>
          </w:tcPr>
          <w:p w14:paraId="570CBA19">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4D10D291">
            <w:pPr>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39666326">
        <w:trPr>
          <w:cantSplit/>
          <w:jc w:val="center"/>
        </w:trPr>
        <w:tc>
          <w:tcPr>
            <w:tcW w:w="650" w:type="dxa"/>
            <w:shd w:val="clear" w:color="auto" w:fill="FFFFFF"/>
            <w:vAlign w:val="center"/>
          </w:tcPr>
          <w:p w14:paraId="038E5105">
            <w:pPr>
              <w:spacing w:before="0" w:after="0" w:line="240" w:lineRule="auto"/>
              <w:ind w:left="0" w:right="0" w:firstLine="0" w:firstLineChars="0"/>
              <w:jc w:val="center"/>
            </w:pPr>
            <w:r>
              <w:rPr>
                <w:rFonts w:ascii="宋体" w:hAnsi="宋体" w:eastAsia="宋体" w:cs="宋体"/>
                <w:b w:val="0"/>
                <w:bCs w:val="0"/>
                <w:color w:val="000000"/>
                <w:sz w:val="16"/>
                <w:szCs w:val="16"/>
              </w:rPr>
              <w:t>15</w:t>
            </w:r>
          </w:p>
        </w:tc>
        <w:tc>
          <w:tcPr>
            <w:tcW w:w="1050" w:type="dxa"/>
            <w:shd w:val="clear" w:color="auto" w:fill="FFFFFF"/>
            <w:vAlign w:val="center"/>
          </w:tcPr>
          <w:p w14:paraId="77609D25">
            <w:pPr>
              <w:spacing w:before="0" w:after="0" w:line="240" w:lineRule="auto"/>
              <w:ind w:left="0" w:right="0" w:firstLine="0" w:firstLineChars="0"/>
              <w:jc w:val="center"/>
            </w:pPr>
            <w:r>
              <w:rPr>
                <w:rFonts w:ascii="宋体" w:hAnsi="宋体" w:eastAsia="宋体" w:cs="宋体"/>
                <w:b w:val="0"/>
                <w:bCs w:val="0"/>
                <w:color w:val="000000"/>
                <w:sz w:val="16"/>
                <w:szCs w:val="16"/>
              </w:rPr>
              <w:t>按授权推送违章事件</w:t>
            </w:r>
          </w:p>
        </w:tc>
        <w:tc>
          <w:tcPr>
            <w:tcW w:w="950" w:type="dxa"/>
            <w:shd w:val="clear" w:color="auto" w:fill="FFFFFF"/>
            <w:vAlign w:val="center"/>
          </w:tcPr>
          <w:p w14:paraId="5E35CD5E">
            <w:pPr>
              <w:spacing w:before="0" w:after="0" w:line="240" w:lineRule="auto"/>
              <w:ind w:left="0" w:right="0" w:firstLine="0" w:firstLineChars="0"/>
              <w:jc w:val="center"/>
            </w:pPr>
            <w:r>
              <w:rPr>
                <w:rFonts w:ascii="宋体" w:hAnsi="宋体" w:eastAsia="宋体" w:cs="宋体"/>
                <w:b w:val="0"/>
                <w:bCs w:val="0"/>
                <w:color w:val="000000"/>
                <w:sz w:val="16"/>
                <w:szCs w:val="16"/>
              </w:rPr>
              <w:t>平台门户</w:t>
            </w:r>
          </w:p>
        </w:tc>
        <w:tc>
          <w:tcPr>
            <w:tcW w:w="1350" w:type="dxa"/>
            <w:shd w:val="clear" w:color="auto" w:fill="FFFFFF"/>
            <w:vAlign w:val="center"/>
          </w:tcPr>
          <w:p w14:paraId="6EEE991B">
            <w:pPr>
              <w:spacing w:before="0" w:after="0" w:line="240" w:lineRule="auto"/>
              <w:ind w:left="0" w:right="0" w:firstLine="0" w:firstLineChars="0"/>
              <w:jc w:val="left"/>
            </w:pPr>
            <w:r>
              <w:rPr>
                <w:rFonts w:ascii="宋体" w:hAnsi="宋体" w:eastAsia="宋体" w:cs="宋体"/>
                <w:b w:val="0"/>
                <w:bCs w:val="0"/>
                <w:color w:val="000000"/>
                <w:sz w:val="16"/>
                <w:szCs w:val="16"/>
              </w:rPr>
              <w:t>输入：已登记事件、订阅关系与授权</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输出：事件通知</w:t>
            </w:r>
          </w:p>
        </w:tc>
        <w:tc>
          <w:tcPr>
            <w:tcW w:w="2000" w:type="dxa"/>
            <w:shd w:val="clear" w:color="auto" w:fill="FFFFFF"/>
            <w:vAlign w:val="center"/>
          </w:tcPr>
          <w:p w14:paraId="1F658C64">
            <w:pPr>
              <w:spacing w:before="0" w:after="0" w:line="240" w:lineRule="auto"/>
              <w:ind w:left="0" w:right="0" w:firstLine="0" w:firstLineChars="0"/>
              <w:jc w:val="left"/>
            </w:pPr>
            <w:r>
              <w:rPr>
                <w:rFonts w:ascii="宋体" w:hAnsi="宋体" w:eastAsia="宋体" w:cs="宋体"/>
                <w:b w:val="0"/>
                <w:bCs w:val="0"/>
                <w:color w:val="000000"/>
                <w:sz w:val="16"/>
                <w:szCs w:val="16"/>
              </w:rPr>
              <w:t>向授权安全管理员等订阅人推送已有违章事件，保留来源；涉及人员的记录按业务授权控制。</w:t>
            </w:r>
          </w:p>
        </w:tc>
        <w:tc>
          <w:tcPr>
            <w:tcW w:w="1072" w:type="dxa"/>
            <w:shd w:val="clear" w:color="auto" w:fill="FFFFFF"/>
            <w:vAlign w:val="center"/>
          </w:tcPr>
          <w:p w14:paraId="282898E1">
            <w:pPr>
              <w:spacing w:before="0" w:after="0" w:line="240" w:lineRule="auto"/>
              <w:ind w:left="0" w:right="0" w:firstLine="0" w:firstLineChars="0"/>
              <w:jc w:val="left"/>
            </w:pPr>
            <w:r>
              <w:rPr>
                <w:rFonts w:ascii="宋体" w:hAnsi="宋体" w:eastAsia="宋体" w:cs="宋体"/>
                <w:b w:val="0"/>
                <w:bCs w:val="0"/>
                <w:color w:val="000000"/>
                <w:sz w:val="16"/>
                <w:szCs w:val="16"/>
              </w:rPr>
              <w:t>完成本次处理。</w:t>
            </w:r>
          </w:p>
        </w:tc>
        <w:tc>
          <w:tcPr>
            <w:tcW w:w="2000" w:type="dxa"/>
            <w:shd w:val="clear" w:color="auto" w:fill="FFFFFF"/>
            <w:vAlign w:val="center"/>
          </w:tcPr>
          <w:p w14:paraId="721DD78E">
            <w:pPr>
              <w:spacing w:before="0" w:after="0" w:line="240" w:lineRule="auto"/>
              <w:ind w:left="0" w:right="0" w:firstLine="0" w:firstLineChars="0"/>
              <w:jc w:val="left"/>
            </w:pPr>
            <w:r>
              <w:rPr>
                <w:rFonts w:ascii="宋体" w:hAnsi="宋体" w:eastAsia="宋体" w:cs="宋体"/>
                <w:b w:val="0"/>
                <w:bCs w:val="0"/>
                <w:color w:val="000000"/>
                <w:sz w:val="16"/>
                <w:szCs w:val="16"/>
              </w:rPr>
              <w:t>P-ZLTC-AI-ZNWS-101-12-001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P-ZLTC-AI-WLPHGY-102-11-001</w:t>
            </w:r>
            <w:r>
              <w:rPr>
                <w:rFonts w:ascii="宋体" w:hAnsi="宋体" w:eastAsia="宋体" w:cs="宋体"/>
                <w:b w:val="0"/>
                <w:bCs w:val="0"/>
                <w:color w:val="000000"/>
                <w:sz w:val="16"/>
                <w:szCs w:val="16"/>
              </w:rPr>
              <w:br w:type="textWrapping"/>
            </w:r>
            <w:r>
              <w:rPr>
                <w:rFonts w:ascii="宋体" w:hAnsi="宋体" w:eastAsia="宋体" w:cs="宋体"/>
                <w:b w:val="0"/>
                <w:bCs w:val="0"/>
                <w:color w:val="000000"/>
                <w:sz w:val="16"/>
                <w:szCs w:val="16"/>
              </w:rPr>
              <w:t>P-ZLTC-AI-ZNWS-101-08-001</w:t>
            </w:r>
          </w:p>
        </w:tc>
      </w:tr>
    </w:tbl>
    <w:p w14:paraId="3875ACD8">
      <w:pPr>
        <w:pStyle w:val="2"/>
        <w:bidi w:val="0"/>
      </w:pPr>
      <w:bookmarkStart w:id="34" w:name="s4"/>
      <w:r>
        <w:t>4　数据层：数据来源与系统对接</w:t>
      </w:r>
      <w:bookmarkEnd w:id="34"/>
    </w:p>
    <w:p w14:paraId="17D51DC7">
      <w:pPr>
        <w:pStyle w:val="3"/>
        <w:snapToGrid w:val="0"/>
      </w:pPr>
      <w:bookmarkStart w:id="35" w:name="s4_1"/>
      <w:r>
        <w:rPr>
          <w:rFonts w:ascii="黑体" w:hAnsi="黑体" w:eastAsia="黑体" w:cs="黑体"/>
          <w:b/>
          <w:color w:val="000000"/>
        </w:rPr>
        <w:t>4.1　取数原则与数据类型</w:t>
      </w:r>
      <w:bookmarkEnd w:id="35"/>
    </w:p>
    <w:p w14:paraId="7EB5779D">
      <w:pPr>
        <w:ind w:firstLineChars="200"/>
        <w:rPr>
          <w:rFonts w:ascii="宋体" w:hAnsi="宋体" w:eastAsia="宋体"/>
          <w:b w:val="0"/>
          <w:color w:val="auto"/>
        </w:rPr>
      </w:pPr>
      <w:r>
        <w:rPr>
          <w:rFonts w:ascii="宋体" w:hAnsi="宋体" w:eastAsia="宋体"/>
          <w:b w:val="0"/>
          <w:color w:val="auto"/>
        </w:rPr>
        <w:t>平台围绕具体场景组织数据需求，统一业务对象、指标口径、时间范围和数据来源。跨业务查询使用治理后的业务数据与统一数据服务，DCS侧高级报警提供的数据及专业诊断应用数据一并纳入项目的数据关联与管理，形成从现场到业务结果的可追溯链路。</w:t>
      </w:r>
    </w:p>
    <w:p w14:paraId="5DBBFD69">
      <w:pPr>
        <w:ind w:firstLineChars="200"/>
        <w:rPr>
          <w:rFonts w:ascii="宋体" w:hAnsi="宋体" w:eastAsia="宋体"/>
          <w:b w:val="0"/>
          <w:color w:val="auto"/>
        </w:rPr>
      </w:pPr>
    </w:p>
    <w:p w14:paraId="28F803F8">
      <w:pPr>
        <w:pStyle w:val="15"/>
        <w:snapToGrid w:val="0"/>
        <w:jc w:val="center"/>
      </w:pPr>
      <w:r>
        <w:t>表4-1　场景使用的数据类型</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612"/>
        <w:gridCol w:w="4536"/>
        <w:gridCol w:w="2924"/>
      </w:tblGrid>
      <w:tr w14:paraId="2EE33C98">
        <w:trPr>
          <w:cantSplit/>
          <w:tblHeader/>
        </w:trPr>
        <w:tc>
          <w:tcPr>
            <w:tcW w:w="1612" w:type="dxa"/>
            <w:vAlign w:val="center"/>
          </w:tcPr>
          <w:p w14:paraId="05606016">
            <w:pPr>
              <w:pStyle w:val="14"/>
              <w:snapToGrid w:val="0"/>
              <w:jc w:val="center"/>
            </w:pPr>
            <w:r>
              <w:rPr>
                <w:b/>
              </w:rPr>
              <w:t>数据类别</w:t>
            </w:r>
          </w:p>
        </w:tc>
        <w:tc>
          <w:tcPr>
            <w:tcW w:w="4536" w:type="dxa"/>
            <w:vAlign w:val="center"/>
          </w:tcPr>
          <w:p w14:paraId="67EFE50F">
            <w:pPr>
              <w:pStyle w:val="14"/>
              <w:snapToGrid w:val="0"/>
              <w:jc w:val="center"/>
            </w:pPr>
            <w:r>
              <w:rPr>
                <w:b/>
              </w:rPr>
              <w:t>主要内容</w:t>
            </w:r>
          </w:p>
        </w:tc>
        <w:tc>
          <w:tcPr>
            <w:tcW w:w="2924" w:type="dxa"/>
            <w:vAlign w:val="center"/>
          </w:tcPr>
          <w:p w14:paraId="3BFC4046">
            <w:pPr>
              <w:pStyle w:val="14"/>
              <w:snapToGrid w:val="0"/>
              <w:jc w:val="center"/>
            </w:pPr>
            <w:r>
              <w:rPr>
                <w:b/>
              </w:rPr>
              <w:t>服务用途</w:t>
            </w:r>
          </w:p>
        </w:tc>
      </w:tr>
      <w:tr w14:paraId="4CDD8788">
        <w:trPr>
          <w:cantSplit/>
        </w:trPr>
        <w:tc>
          <w:tcPr>
            <w:tcW w:w="1612" w:type="dxa"/>
            <w:vAlign w:val="center"/>
          </w:tcPr>
          <w:p w14:paraId="3278BC84">
            <w:pPr>
              <w:pStyle w:val="14"/>
              <w:snapToGrid w:val="0"/>
              <w:jc w:val="center"/>
            </w:pPr>
            <w:r>
              <w:t>业务记录</w:t>
            </w:r>
          </w:p>
        </w:tc>
        <w:tc>
          <w:tcPr>
            <w:tcW w:w="4536" w:type="dxa"/>
            <w:vAlign w:val="center"/>
          </w:tcPr>
          <w:p w14:paraId="326ECF6C">
            <w:pPr>
              <w:pStyle w:val="14"/>
              <w:snapToGrid w:val="0"/>
              <w:jc w:val="left"/>
            </w:pPr>
            <w:r>
              <w:t>工单、批次、检验、维修、库存、发运及处置记录</w:t>
            </w:r>
          </w:p>
        </w:tc>
        <w:tc>
          <w:tcPr>
            <w:tcW w:w="2924" w:type="dxa"/>
            <w:vAlign w:val="center"/>
          </w:tcPr>
          <w:p w14:paraId="1EBD3D13">
            <w:pPr>
              <w:pStyle w:val="14"/>
              <w:snapToGrid w:val="0"/>
              <w:jc w:val="left"/>
            </w:pPr>
            <w:r>
              <w:t>查询、批次追溯与多源取证</w:t>
            </w:r>
          </w:p>
        </w:tc>
      </w:tr>
      <w:tr w14:paraId="4E26773F">
        <w:trPr>
          <w:cantSplit/>
        </w:trPr>
        <w:tc>
          <w:tcPr>
            <w:tcW w:w="1612" w:type="dxa"/>
            <w:vAlign w:val="center"/>
          </w:tcPr>
          <w:p w14:paraId="2A0346E2">
            <w:pPr>
              <w:pStyle w:val="14"/>
              <w:snapToGrid w:val="0"/>
              <w:jc w:val="center"/>
            </w:pPr>
            <w:r>
              <w:t>实时与时序</w:t>
            </w:r>
          </w:p>
        </w:tc>
        <w:tc>
          <w:tcPr>
            <w:tcW w:w="4536" w:type="dxa"/>
            <w:vAlign w:val="center"/>
          </w:tcPr>
          <w:p w14:paraId="187181CA">
            <w:pPr>
              <w:pStyle w:val="14"/>
              <w:snapToGrid w:val="0"/>
              <w:jc w:val="left"/>
            </w:pPr>
            <w:r>
              <w:t>测点值、报警、运行状态、工况变化及能耗计量</w:t>
            </w:r>
          </w:p>
        </w:tc>
        <w:tc>
          <w:tcPr>
            <w:tcW w:w="2924" w:type="dxa"/>
            <w:vAlign w:val="center"/>
          </w:tcPr>
          <w:p w14:paraId="10329594">
            <w:pPr>
              <w:pStyle w:val="14"/>
              <w:snapToGrid w:val="0"/>
              <w:jc w:val="left"/>
            </w:pPr>
            <w:r>
              <w:t>趋势分析、工况诊断和核算</w:t>
            </w:r>
          </w:p>
        </w:tc>
      </w:tr>
      <w:tr w14:paraId="64ACEE01">
        <w:trPr>
          <w:cantSplit/>
        </w:trPr>
        <w:tc>
          <w:tcPr>
            <w:tcW w:w="1612" w:type="dxa"/>
            <w:vAlign w:val="center"/>
          </w:tcPr>
          <w:p w14:paraId="2AF2D788">
            <w:pPr>
              <w:pStyle w:val="14"/>
              <w:snapToGrid w:val="0"/>
              <w:jc w:val="center"/>
            </w:pPr>
            <w:r>
              <w:t>主数据与基准</w:t>
            </w:r>
          </w:p>
        </w:tc>
        <w:tc>
          <w:tcPr>
            <w:tcW w:w="4536" w:type="dxa"/>
            <w:vAlign w:val="center"/>
          </w:tcPr>
          <w:p w14:paraId="1C6F233E">
            <w:pPr>
              <w:pStyle w:val="14"/>
              <w:snapToGrid w:val="0"/>
              <w:jc w:val="left"/>
            </w:pPr>
            <w:r>
              <w:t>设备、测点、物料、组织、规格限与工艺参数</w:t>
            </w:r>
          </w:p>
        </w:tc>
        <w:tc>
          <w:tcPr>
            <w:tcW w:w="2924" w:type="dxa"/>
            <w:vAlign w:val="center"/>
          </w:tcPr>
          <w:p w14:paraId="1447C9C4">
            <w:pPr>
              <w:pStyle w:val="14"/>
              <w:snapToGrid w:val="0"/>
              <w:jc w:val="left"/>
            </w:pPr>
            <w:r>
              <w:t>对象统一、结果比较与方案校验</w:t>
            </w:r>
          </w:p>
        </w:tc>
      </w:tr>
      <w:tr w14:paraId="0BBDA60E">
        <w:trPr>
          <w:cantSplit/>
        </w:trPr>
        <w:tc>
          <w:tcPr>
            <w:tcW w:w="1612" w:type="dxa"/>
            <w:vAlign w:val="center"/>
          </w:tcPr>
          <w:p w14:paraId="6CC1ABEC">
            <w:pPr>
              <w:pStyle w:val="14"/>
              <w:snapToGrid w:val="0"/>
              <w:jc w:val="center"/>
            </w:pPr>
            <w:r>
              <w:t>专业分析结果</w:t>
            </w:r>
          </w:p>
        </w:tc>
        <w:tc>
          <w:tcPr>
            <w:tcW w:w="4536" w:type="dxa"/>
            <w:vAlign w:val="center"/>
          </w:tcPr>
          <w:p w14:paraId="4FE140A1">
            <w:pPr>
              <w:pStyle w:val="14"/>
              <w:snapToGrid w:val="0"/>
              <w:jc w:val="left"/>
            </w:pPr>
            <w:r>
              <w:t>预警、根因、风险评分、优化方案、供应链结果</w:t>
            </w:r>
          </w:p>
        </w:tc>
        <w:tc>
          <w:tcPr>
            <w:tcW w:w="2924" w:type="dxa"/>
            <w:vAlign w:val="center"/>
          </w:tcPr>
          <w:p w14:paraId="42C72F8E">
            <w:pPr>
              <w:pStyle w:val="14"/>
              <w:snapToGrid w:val="0"/>
              <w:jc w:val="left"/>
            </w:pPr>
            <w:r>
              <w:t>解释、推送、方案确认及运行复核</w:t>
            </w:r>
          </w:p>
        </w:tc>
      </w:tr>
      <w:tr w14:paraId="319D6487">
        <w:trPr>
          <w:cantSplit/>
        </w:trPr>
        <w:tc>
          <w:tcPr>
            <w:tcW w:w="1612" w:type="dxa"/>
            <w:vAlign w:val="center"/>
          </w:tcPr>
          <w:p w14:paraId="49100DDE">
            <w:pPr>
              <w:pStyle w:val="14"/>
              <w:snapToGrid w:val="0"/>
              <w:jc w:val="center"/>
            </w:pPr>
            <w:r>
              <w:t>知识资料</w:t>
            </w:r>
          </w:p>
        </w:tc>
        <w:tc>
          <w:tcPr>
            <w:tcW w:w="4536" w:type="dxa"/>
            <w:vAlign w:val="center"/>
          </w:tcPr>
          <w:p w14:paraId="75D27DAE">
            <w:pPr>
              <w:pStyle w:val="14"/>
              <w:snapToGrid w:val="0"/>
              <w:jc w:val="left"/>
            </w:pPr>
            <w:r>
              <w:t>工艺规程、HAZOP、FMEA、制度和确认案例</w:t>
            </w:r>
          </w:p>
        </w:tc>
        <w:tc>
          <w:tcPr>
            <w:tcW w:w="2924" w:type="dxa"/>
            <w:vAlign w:val="center"/>
          </w:tcPr>
          <w:p w14:paraId="07016201">
            <w:pPr>
              <w:pStyle w:val="14"/>
              <w:snapToGrid w:val="0"/>
              <w:jc w:val="left"/>
            </w:pPr>
            <w:r>
              <w:t>知识问答、因果分析和业务解释</w:t>
            </w:r>
          </w:p>
        </w:tc>
      </w:tr>
    </w:tbl>
    <w:p w14:paraId="5C0F9DA1">
      <w:pPr>
        <w:pStyle w:val="12"/>
        <w:snapToGrid w:val="0"/>
        <w:spacing w:after="25"/>
      </w:pPr>
    </w:p>
    <w:p w14:paraId="2698F5F5">
      <w:pPr>
        <w:pStyle w:val="3"/>
        <w:snapToGrid w:val="0"/>
      </w:pPr>
      <w:bookmarkStart w:id="36" w:name="s4_2"/>
      <w:r>
        <w:rPr>
          <w:rFonts w:ascii="黑体" w:hAnsi="黑体" w:eastAsia="黑体" w:cs="黑体"/>
          <w:b/>
          <w:color w:val="000000"/>
        </w:rPr>
        <w:t>4.2　数据订阅与事件登记</w:t>
      </w:r>
      <w:bookmarkEnd w:id="36"/>
    </w:p>
    <w:p w14:paraId="3ED87980">
      <w:pPr>
        <w:pStyle w:val="4"/>
        <w:snapToGrid w:val="0"/>
      </w:pPr>
      <w:bookmarkStart w:id="37" w:name="s4_2_1"/>
      <w:r>
        <w:rPr>
          <w:rFonts w:ascii="黑体" w:hAnsi="黑体" w:eastAsia="黑体" w:cs="黑体"/>
          <w:b/>
          <w:color w:val="000000"/>
        </w:rPr>
        <w:t>4.2.1　数据订阅管理</w:t>
      </w:r>
      <w:bookmarkEnd w:id="37"/>
    </w:p>
    <w:p w14:paraId="7BAB1730">
      <w:pPr>
        <w:ind w:firstLineChars="200"/>
        <w:rPr>
          <w:rFonts w:ascii="宋体" w:hAnsi="宋体" w:eastAsia="宋体"/>
          <w:b w:val="0"/>
          <w:color w:val="auto"/>
        </w:rPr>
      </w:pPr>
      <w:r>
        <w:rPr>
          <w:rFonts w:ascii="宋体" w:hAnsi="宋体" w:eastAsia="宋体"/>
          <w:b w:val="0"/>
          <w:color w:val="auto"/>
        </w:rPr>
        <w:t>按系统、对象和数据类型维护订阅内容、更新节奏及触发条件，记录接收时间、来源、版本和处理状态。发生中断、数据丢失、超时或格式问题时，自动告警并发起重传，重试次数与间隔可配置；记录重试结果并完成补齐复核。重试后仍未恢复的异常进入运维处理，使业务场景能够识别当前可用数据及其截止时间。</w:t>
      </w:r>
    </w:p>
    <w:p w14:paraId="6439AED7">
      <w:pPr>
        <w:pStyle w:val="4"/>
        <w:snapToGrid w:val="0"/>
      </w:pPr>
      <w:bookmarkStart w:id="38" w:name="s4_2_2"/>
      <w:r>
        <w:rPr>
          <w:rFonts w:ascii="黑体" w:hAnsi="黑体" w:eastAsia="黑体" w:cs="黑体"/>
          <w:b/>
          <w:color w:val="000000"/>
        </w:rPr>
        <w:t>4.2.2　业务事件登记</w:t>
      </w:r>
      <w:bookmarkEnd w:id="38"/>
    </w:p>
    <w:p w14:paraId="17DBAD44">
      <w:pPr>
        <w:pStyle w:val="15"/>
        <w:snapToGrid w:val="0"/>
        <w:jc w:val="center"/>
      </w:pPr>
      <w:r>
        <w:t>表4-2　事件登记与业务响应</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814"/>
        <w:gridCol w:w="4132"/>
        <w:gridCol w:w="3126"/>
      </w:tblGrid>
      <w:tr w14:paraId="3E0D64D5">
        <w:trPr>
          <w:cantSplit/>
          <w:tblHeader/>
        </w:trPr>
        <w:tc>
          <w:tcPr>
            <w:tcW w:w="1814" w:type="dxa"/>
            <w:vAlign w:val="center"/>
          </w:tcPr>
          <w:p w14:paraId="3947104F">
            <w:pPr>
              <w:pStyle w:val="14"/>
              <w:snapToGrid w:val="0"/>
              <w:jc w:val="center"/>
            </w:pPr>
            <w:r>
              <w:rPr>
                <w:b/>
              </w:rPr>
              <w:t>事件</w:t>
            </w:r>
          </w:p>
        </w:tc>
        <w:tc>
          <w:tcPr>
            <w:tcW w:w="4132" w:type="dxa"/>
            <w:vAlign w:val="center"/>
          </w:tcPr>
          <w:p w14:paraId="49308587">
            <w:pPr>
              <w:pStyle w:val="14"/>
              <w:snapToGrid w:val="0"/>
              <w:jc w:val="center"/>
            </w:pPr>
            <w:r>
              <w:rPr>
                <w:b/>
              </w:rPr>
              <w:t>关联信息</w:t>
            </w:r>
          </w:p>
        </w:tc>
        <w:tc>
          <w:tcPr>
            <w:tcW w:w="3126" w:type="dxa"/>
            <w:vAlign w:val="center"/>
          </w:tcPr>
          <w:p w14:paraId="69ACCB24">
            <w:pPr>
              <w:pStyle w:val="14"/>
              <w:snapToGrid w:val="0"/>
              <w:jc w:val="center"/>
            </w:pPr>
            <w:r>
              <w:rPr>
                <w:b/>
              </w:rPr>
              <w:t>后续业务动作</w:t>
            </w:r>
          </w:p>
        </w:tc>
      </w:tr>
      <w:tr w14:paraId="1B34FAC8">
        <w:trPr>
          <w:cantSplit/>
        </w:trPr>
        <w:tc>
          <w:tcPr>
            <w:tcW w:w="1814" w:type="dxa"/>
            <w:vAlign w:val="center"/>
          </w:tcPr>
          <w:p w14:paraId="149DBF15">
            <w:pPr>
              <w:pStyle w:val="14"/>
              <w:snapToGrid w:val="0"/>
              <w:jc w:val="center"/>
            </w:pPr>
            <w:r>
              <w:t>设备故障预警</w:t>
            </w:r>
          </w:p>
        </w:tc>
        <w:tc>
          <w:tcPr>
            <w:tcW w:w="4132" w:type="dxa"/>
            <w:vAlign w:val="center"/>
          </w:tcPr>
          <w:p w14:paraId="49EFB998">
            <w:pPr>
              <w:pStyle w:val="14"/>
              <w:snapToGrid w:val="0"/>
              <w:jc w:val="left"/>
            </w:pPr>
            <w:r>
              <w:t>设备、测点、故障模式、预警等级及责任岗位</w:t>
            </w:r>
          </w:p>
        </w:tc>
        <w:tc>
          <w:tcPr>
            <w:tcW w:w="3126" w:type="dxa"/>
            <w:vAlign w:val="center"/>
          </w:tcPr>
          <w:p w14:paraId="084B9DDA">
            <w:pPr>
              <w:pStyle w:val="14"/>
              <w:snapToGrid w:val="0"/>
              <w:jc w:val="left"/>
            </w:pPr>
            <w:r>
              <w:t>关联维修与备件资料并推送设备人员</w:t>
            </w:r>
          </w:p>
        </w:tc>
      </w:tr>
      <w:tr w14:paraId="79A0E18A">
        <w:trPr>
          <w:cantSplit/>
        </w:trPr>
        <w:tc>
          <w:tcPr>
            <w:tcW w:w="1814" w:type="dxa"/>
            <w:vAlign w:val="center"/>
          </w:tcPr>
          <w:p w14:paraId="6C98C205">
            <w:pPr>
              <w:pStyle w:val="14"/>
              <w:snapToGrid w:val="0"/>
              <w:jc w:val="center"/>
            </w:pPr>
            <w:r>
              <w:t>能耗或衡算偏差</w:t>
            </w:r>
          </w:p>
        </w:tc>
        <w:tc>
          <w:tcPr>
            <w:tcW w:w="4132" w:type="dxa"/>
            <w:vAlign w:val="center"/>
          </w:tcPr>
          <w:p w14:paraId="2F93A54D">
            <w:pPr>
              <w:pStyle w:val="14"/>
              <w:snapToGrid w:val="0"/>
              <w:jc w:val="left"/>
            </w:pPr>
            <w:r>
              <w:t>工序、时段、指标、偏差及计量状态</w:t>
            </w:r>
          </w:p>
        </w:tc>
        <w:tc>
          <w:tcPr>
            <w:tcW w:w="3126" w:type="dxa"/>
            <w:vAlign w:val="center"/>
          </w:tcPr>
          <w:p w14:paraId="4D60AE82">
            <w:pPr>
              <w:pStyle w:val="14"/>
              <w:snapToGrid w:val="0"/>
              <w:jc w:val="left"/>
            </w:pPr>
            <w:r>
              <w:t>触发原因分析与节能建议</w:t>
            </w:r>
          </w:p>
        </w:tc>
      </w:tr>
      <w:tr w14:paraId="491EEF1B">
        <w:trPr>
          <w:cantSplit/>
        </w:trPr>
        <w:tc>
          <w:tcPr>
            <w:tcW w:w="1814" w:type="dxa"/>
            <w:vAlign w:val="center"/>
          </w:tcPr>
          <w:p w14:paraId="6B2AFF76">
            <w:pPr>
              <w:pStyle w:val="14"/>
              <w:snapToGrid w:val="0"/>
              <w:jc w:val="center"/>
            </w:pPr>
            <w:r>
              <w:t>报警及工况异常</w:t>
            </w:r>
          </w:p>
        </w:tc>
        <w:tc>
          <w:tcPr>
            <w:tcW w:w="4132" w:type="dxa"/>
            <w:vAlign w:val="center"/>
          </w:tcPr>
          <w:p w14:paraId="4E2988EE">
            <w:pPr>
              <w:pStyle w:val="14"/>
              <w:snapToGrid w:val="0"/>
              <w:jc w:val="left"/>
            </w:pPr>
            <w:r>
              <w:t>报警对象、工况、关联事故链及处置状态</w:t>
            </w:r>
          </w:p>
        </w:tc>
        <w:tc>
          <w:tcPr>
            <w:tcW w:w="3126" w:type="dxa"/>
            <w:vAlign w:val="center"/>
          </w:tcPr>
          <w:p w14:paraId="09ECF943">
            <w:pPr>
              <w:pStyle w:val="14"/>
              <w:snapToGrid w:val="0"/>
              <w:jc w:val="left"/>
            </w:pPr>
            <w:r>
              <w:t>DCS侧高级报警与工况异常识别联动</w:t>
            </w:r>
          </w:p>
        </w:tc>
      </w:tr>
      <w:tr w14:paraId="36F3CDD8">
        <w:trPr>
          <w:cantSplit/>
        </w:trPr>
        <w:tc>
          <w:tcPr>
            <w:tcW w:w="1814" w:type="dxa"/>
            <w:vAlign w:val="center"/>
          </w:tcPr>
          <w:p w14:paraId="60DB1F81">
            <w:pPr>
              <w:pStyle w:val="14"/>
              <w:snapToGrid w:val="0"/>
              <w:jc w:val="center"/>
            </w:pPr>
            <w:r>
              <w:t>质量异常</w:t>
            </w:r>
          </w:p>
        </w:tc>
        <w:tc>
          <w:tcPr>
            <w:tcW w:w="4132" w:type="dxa"/>
            <w:vAlign w:val="center"/>
          </w:tcPr>
          <w:p w14:paraId="3E6D4C2C">
            <w:pPr>
              <w:pStyle w:val="14"/>
              <w:snapToGrid w:val="0"/>
              <w:jc w:val="left"/>
            </w:pPr>
            <w:r>
              <w:t>批次、指标、规格、工艺及检验时间</w:t>
            </w:r>
          </w:p>
        </w:tc>
        <w:tc>
          <w:tcPr>
            <w:tcW w:w="3126" w:type="dxa"/>
            <w:vAlign w:val="center"/>
          </w:tcPr>
          <w:p w14:paraId="36DE0C2A">
            <w:pPr>
              <w:pStyle w:val="14"/>
              <w:snapToGrid w:val="0"/>
              <w:jc w:val="left"/>
            </w:pPr>
            <w:r>
              <w:t>质量根因分析与批次追溯</w:t>
            </w:r>
          </w:p>
        </w:tc>
      </w:tr>
      <w:tr w14:paraId="57D3DEAC">
        <w:trPr>
          <w:cantSplit/>
        </w:trPr>
        <w:tc>
          <w:tcPr>
            <w:tcW w:w="1814" w:type="dxa"/>
            <w:vAlign w:val="center"/>
          </w:tcPr>
          <w:p w14:paraId="7EFC6C91">
            <w:pPr>
              <w:pStyle w:val="14"/>
              <w:snapToGrid w:val="0"/>
              <w:jc w:val="center"/>
            </w:pPr>
            <w:r>
              <w:t>库存及发运预警</w:t>
            </w:r>
          </w:p>
        </w:tc>
        <w:tc>
          <w:tcPr>
            <w:tcW w:w="4132" w:type="dxa"/>
            <w:vAlign w:val="center"/>
          </w:tcPr>
          <w:p w14:paraId="049A2002">
            <w:pPr>
              <w:pStyle w:val="14"/>
              <w:snapToGrid w:val="0"/>
              <w:jc w:val="left"/>
            </w:pPr>
            <w:r>
              <w:t>物料、库存、在途及发运状态</w:t>
            </w:r>
          </w:p>
        </w:tc>
        <w:tc>
          <w:tcPr>
            <w:tcW w:w="3126" w:type="dxa"/>
            <w:vAlign w:val="center"/>
          </w:tcPr>
          <w:p w14:paraId="16ECE9F0">
            <w:pPr>
              <w:pStyle w:val="14"/>
              <w:snapToGrid w:val="0"/>
              <w:jc w:val="left"/>
            </w:pPr>
            <w:r>
              <w:t>推送计划和采购岗位</w:t>
            </w:r>
          </w:p>
        </w:tc>
      </w:tr>
      <w:tr w14:paraId="40CEA59E">
        <w:trPr>
          <w:cantSplit/>
        </w:trPr>
        <w:tc>
          <w:tcPr>
            <w:tcW w:w="1814" w:type="dxa"/>
            <w:vAlign w:val="center"/>
          </w:tcPr>
          <w:p w14:paraId="1C135B40">
            <w:pPr>
              <w:pStyle w:val="14"/>
              <w:snapToGrid w:val="0"/>
              <w:jc w:val="center"/>
            </w:pPr>
            <w:r>
              <w:t>安全事件</w:t>
            </w:r>
          </w:p>
        </w:tc>
        <w:tc>
          <w:tcPr>
            <w:tcW w:w="4132" w:type="dxa"/>
            <w:vAlign w:val="center"/>
          </w:tcPr>
          <w:p w14:paraId="010BF57B">
            <w:pPr>
              <w:pStyle w:val="14"/>
              <w:snapToGrid w:val="0"/>
              <w:jc w:val="left"/>
            </w:pPr>
            <w:r>
              <w:t>识别对象、位置、时间和关联记录</w:t>
            </w:r>
          </w:p>
        </w:tc>
        <w:tc>
          <w:tcPr>
            <w:tcW w:w="3126" w:type="dxa"/>
            <w:vAlign w:val="center"/>
          </w:tcPr>
          <w:p w14:paraId="1C6DF4A6">
            <w:pPr>
              <w:pStyle w:val="14"/>
              <w:snapToGrid w:val="0"/>
              <w:jc w:val="left"/>
            </w:pPr>
            <w:r>
              <w:t>按业务授权通知相关岗位</w:t>
            </w:r>
          </w:p>
        </w:tc>
      </w:tr>
      <w:tr w14:paraId="37422AF2">
        <w:trPr>
          <w:cantSplit/>
        </w:trPr>
        <w:tc>
          <w:tcPr>
            <w:tcW w:w="1814" w:type="dxa"/>
            <w:vAlign w:val="center"/>
          </w:tcPr>
          <w:p w14:paraId="1FE34AF4">
            <w:pPr>
              <w:pStyle w:val="14"/>
              <w:snapToGrid w:val="0"/>
              <w:jc w:val="center"/>
            </w:pPr>
            <w:r>
              <w:t>分析或方案更新</w:t>
            </w:r>
          </w:p>
        </w:tc>
        <w:tc>
          <w:tcPr>
            <w:tcW w:w="4132" w:type="dxa"/>
            <w:vAlign w:val="center"/>
          </w:tcPr>
          <w:p w14:paraId="3A0836F4">
            <w:pPr>
              <w:pStyle w:val="14"/>
              <w:snapToGrid w:val="0"/>
              <w:jc w:val="left"/>
            </w:pPr>
            <w:r>
              <w:t>对象、事件编号、结果版本及复核状态</w:t>
            </w:r>
          </w:p>
        </w:tc>
        <w:tc>
          <w:tcPr>
            <w:tcW w:w="3126" w:type="dxa"/>
            <w:vAlign w:val="center"/>
          </w:tcPr>
          <w:p w14:paraId="1E19AD06">
            <w:pPr>
              <w:pStyle w:val="14"/>
              <w:snapToGrid w:val="0"/>
              <w:jc w:val="left"/>
            </w:pPr>
            <w:r>
              <w:t>更新报告、消息及业务查询结果</w:t>
            </w:r>
          </w:p>
        </w:tc>
      </w:tr>
    </w:tbl>
    <w:p w14:paraId="7A46C9ED">
      <w:pPr>
        <w:pStyle w:val="12"/>
        <w:snapToGrid w:val="0"/>
        <w:spacing w:after="25"/>
      </w:pPr>
    </w:p>
    <w:p w14:paraId="0595D429">
      <w:pPr>
        <w:pStyle w:val="3"/>
        <w:snapToGrid w:val="0"/>
      </w:pPr>
      <w:bookmarkStart w:id="39" w:name="s4_3"/>
      <w:r>
        <w:rPr>
          <w:rFonts w:ascii="黑体" w:hAnsi="黑体" w:eastAsia="黑体" w:cs="黑体"/>
          <w:b/>
          <w:color w:val="000000"/>
        </w:rPr>
        <w:t>4.3　平台数据流转全链路</w:t>
      </w:r>
      <w:bookmarkEnd w:id="39"/>
    </w:p>
    <w:p w14:paraId="505153F4">
      <w:pPr>
        <w:pStyle w:val="12"/>
        <w:keepNext/>
        <w:snapToGrid w:val="0"/>
        <w:spacing w:before="0" w:after="40" w:line="240" w:lineRule="auto"/>
        <w:ind w:left="0" w:right="0" w:firstLine="0" w:firstLineChars="0"/>
        <w:jc w:val="center"/>
      </w:pPr>
      <w:r>
        <w:drawing>
          <wp:inline distT="0" distB="0" distL="0" distR="0">
            <wp:extent cx="5759450" cy="6335395"/>
            <wp:effectExtent l="0" t="0" r="0" b="0"/>
            <wp:docPr id="23" name="4.3　平台数据流转全链路" descr="4.3　平台数据流转全链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4.3　平台数据流转全链路" descr="4.3　平台数据流转全链路"/>
                    <pic:cNvPicPr>
                      <a:picLocks noChangeAspect="1"/>
                    </pic:cNvPicPr>
                  </pic:nvPicPr>
                  <pic:blipFill>
                    <a:blip r:embed="rId30"/>
                    <a:stretch>
                      <a:fillRect/>
                    </a:stretch>
                  </pic:blipFill>
                  <pic:spPr>
                    <a:xfrm>
                      <a:off x="0" y="0"/>
                      <a:ext cx="5759450" cy="6335395"/>
                    </a:xfrm>
                    <a:prstGeom prst="rect">
                      <a:avLst/>
                    </a:prstGeom>
                  </pic:spPr>
                </pic:pic>
              </a:graphicData>
            </a:graphic>
          </wp:inline>
        </w:drawing>
      </w:r>
    </w:p>
    <w:p w14:paraId="588246DD">
      <w:pPr>
        <w:pStyle w:val="15"/>
        <w:keepNext w:val="0"/>
        <w:snapToGrid w:val="0"/>
        <w:jc w:val="center"/>
      </w:pPr>
      <w:r>
        <w:t>图4-1　数据进入业务应用的全链路</w:t>
      </w:r>
    </w:p>
    <w:p w14:paraId="6A10F68B">
      <w:pPr>
        <w:pStyle w:val="3"/>
        <w:snapToGrid w:val="0"/>
      </w:pPr>
      <w:bookmarkStart w:id="40" w:name="s4_4"/>
      <w:r>
        <w:rPr>
          <w:rFonts w:ascii="黑体" w:hAnsi="黑体" w:eastAsia="黑体" w:cs="黑体"/>
          <w:b/>
          <w:color w:val="000000"/>
        </w:rPr>
        <w:t>4.4　与全厂系统的对接</w:t>
      </w:r>
      <w:bookmarkEnd w:id="40"/>
    </w:p>
    <w:p w14:paraId="5CA2EA32">
      <w:pPr>
        <w:pStyle w:val="4"/>
        <w:snapToGrid w:val="0"/>
      </w:pPr>
      <w:bookmarkStart w:id="41" w:name="s4_4_1"/>
      <w:r>
        <w:rPr>
          <w:rFonts w:ascii="黑体" w:hAnsi="黑体" w:eastAsia="黑体" w:cs="黑体"/>
          <w:b/>
          <w:color w:val="000000"/>
        </w:rPr>
        <w:t>4.4.1　对接业务要求</w:t>
      </w:r>
      <w:bookmarkEnd w:id="41"/>
    </w:p>
    <w:p w14:paraId="70ECFCF4">
      <w:pPr>
        <w:ind w:firstLineChars="200"/>
        <w:rPr>
          <w:rFonts w:ascii="宋体" w:hAnsi="宋体" w:eastAsia="宋体"/>
          <w:b w:val="0"/>
          <w:color w:val="auto"/>
        </w:rPr>
      </w:pPr>
      <w:r>
        <w:rPr>
          <w:rFonts w:ascii="宋体" w:hAnsi="宋体" w:eastAsia="宋体"/>
          <w:b w:val="0"/>
          <w:color w:val="auto"/>
        </w:rPr>
        <w:t>系统对接按业务对象和数据用途建立清单，记录数据提供方式、字段含义、对象编码、更新方式及结果使用位置。专业结果保留对应模型版本、时间窗口和复核状态，跨系统记录通过对象、批次、工单、事件和时间关联。</w:t>
      </w:r>
    </w:p>
    <w:p w14:paraId="6D09D963">
      <w:pPr>
        <w:pStyle w:val="4"/>
        <w:snapToGrid w:val="0"/>
      </w:pPr>
      <w:bookmarkStart w:id="42" w:name="s4_4_2"/>
      <w:r>
        <w:rPr>
          <w:rFonts w:ascii="黑体" w:hAnsi="黑体" w:eastAsia="黑体" w:cs="黑体"/>
          <w:b/>
          <w:color w:val="000000"/>
        </w:rPr>
        <w:t>4.4.2　对接集成清单</w:t>
      </w:r>
      <w:bookmarkEnd w:id="42"/>
    </w:p>
    <w:p w14:paraId="2F31A7A9">
      <w:pPr>
        <w:pStyle w:val="15"/>
        <w:snapToGrid w:val="0"/>
        <w:jc w:val="center"/>
      </w:pPr>
      <w:r>
        <w:t>表4-3　系统对接与应用位置</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016"/>
        <w:gridCol w:w="4838"/>
        <w:gridCol w:w="2218"/>
      </w:tblGrid>
      <w:tr w14:paraId="5F110E16">
        <w:trPr>
          <w:cantSplit/>
          <w:tblHeader/>
        </w:trPr>
        <w:tc>
          <w:tcPr>
            <w:tcW w:w="2016" w:type="dxa"/>
            <w:vAlign w:val="center"/>
          </w:tcPr>
          <w:p w14:paraId="2B76B9C7">
            <w:pPr>
              <w:pStyle w:val="14"/>
              <w:snapToGrid w:val="0"/>
              <w:jc w:val="center"/>
            </w:pPr>
            <w:r>
              <w:rPr>
                <w:b/>
              </w:rPr>
              <w:t>数据或服务</w:t>
            </w:r>
          </w:p>
        </w:tc>
        <w:tc>
          <w:tcPr>
            <w:tcW w:w="4838" w:type="dxa"/>
            <w:vAlign w:val="center"/>
          </w:tcPr>
          <w:p w14:paraId="1289B398">
            <w:pPr>
              <w:pStyle w:val="14"/>
              <w:snapToGrid w:val="0"/>
              <w:jc w:val="center"/>
            </w:pPr>
            <w:r>
              <w:rPr>
                <w:b/>
              </w:rPr>
              <w:t>对接内容</w:t>
            </w:r>
          </w:p>
        </w:tc>
        <w:tc>
          <w:tcPr>
            <w:tcW w:w="2218" w:type="dxa"/>
            <w:vAlign w:val="center"/>
          </w:tcPr>
          <w:p w14:paraId="309294C3">
            <w:pPr>
              <w:pStyle w:val="14"/>
              <w:snapToGrid w:val="0"/>
              <w:jc w:val="center"/>
            </w:pPr>
            <w:r>
              <w:rPr>
                <w:b/>
              </w:rPr>
              <w:t>使用位置</w:t>
            </w:r>
          </w:p>
        </w:tc>
      </w:tr>
      <w:tr w14:paraId="0D14B423">
        <w:trPr>
          <w:cantSplit/>
        </w:trPr>
        <w:tc>
          <w:tcPr>
            <w:tcW w:w="2016" w:type="dxa"/>
            <w:vAlign w:val="center"/>
          </w:tcPr>
          <w:p w14:paraId="0AB09200">
            <w:pPr>
              <w:pStyle w:val="14"/>
              <w:snapToGrid w:val="0"/>
              <w:jc w:val="left"/>
            </w:pPr>
            <w:r>
              <w:t>统一门户与身份服务</w:t>
            </w:r>
          </w:p>
        </w:tc>
        <w:tc>
          <w:tcPr>
            <w:tcW w:w="4838" w:type="dxa"/>
            <w:vAlign w:val="center"/>
          </w:tcPr>
          <w:p w14:paraId="0B2B5991">
            <w:pPr>
              <w:pStyle w:val="14"/>
              <w:snapToGrid w:val="0"/>
              <w:jc w:val="left"/>
            </w:pPr>
            <w:r>
              <w:t>业务身份、入口、消息展示和会话使用</w:t>
            </w:r>
          </w:p>
        </w:tc>
        <w:tc>
          <w:tcPr>
            <w:tcW w:w="2218" w:type="dxa"/>
            <w:vAlign w:val="center"/>
          </w:tcPr>
          <w:p w14:paraId="16A80606">
            <w:pPr>
              <w:pStyle w:val="14"/>
              <w:snapToGrid w:val="0"/>
              <w:jc w:val="left"/>
            </w:pPr>
            <w:r>
              <w:t>平台门户、问答、报告与通知</w:t>
            </w:r>
          </w:p>
        </w:tc>
      </w:tr>
      <w:tr w14:paraId="47F69EE3">
        <w:trPr>
          <w:cantSplit/>
        </w:trPr>
        <w:tc>
          <w:tcPr>
            <w:tcW w:w="2016" w:type="dxa"/>
            <w:vAlign w:val="center"/>
          </w:tcPr>
          <w:p w14:paraId="3D029F41">
            <w:pPr>
              <w:pStyle w:val="14"/>
              <w:snapToGrid w:val="0"/>
              <w:jc w:val="left"/>
            </w:pPr>
            <w:r>
              <w:t>统一数据服务与AI数据治理</w:t>
            </w:r>
          </w:p>
        </w:tc>
        <w:tc>
          <w:tcPr>
            <w:tcW w:w="4838" w:type="dxa"/>
            <w:vAlign w:val="center"/>
          </w:tcPr>
          <w:p w14:paraId="22C76F6C">
            <w:pPr>
              <w:pStyle w:val="14"/>
              <w:snapToGrid w:val="0"/>
              <w:jc w:val="left"/>
            </w:pPr>
            <w:r>
              <w:t>场景数据、对象映射、指标口径、授权同步和取数校验</w:t>
            </w:r>
          </w:p>
        </w:tc>
        <w:tc>
          <w:tcPr>
            <w:tcW w:w="2218" w:type="dxa"/>
            <w:vAlign w:val="center"/>
          </w:tcPr>
          <w:p w14:paraId="0D7AF0FB">
            <w:pPr>
              <w:pStyle w:val="14"/>
              <w:snapToGrid w:val="0"/>
              <w:jc w:val="left"/>
            </w:pPr>
            <w:r>
              <w:t>全部数据查询与分析场景</w:t>
            </w:r>
          </w:p>
        </w:tc>
      </w:tr>
      <w:tr w14:paraId="35BE132F">
        <w:trPr>
          <w:cantSplit/>
        </w:trPr>
        <w:tc>
          <w:tcPr>
            <w:tcW w:w="2016" w:type="dxa"/>
            <w:vAlign w:val="center"/>
          </w:tcPr>
          <w:p w14:paraId="74616E63">
            <w:pPr>
              <w:pStyle w:val="14"/>
              <w:snapToGrid w:val="0"/>
              <w:jc w:val="left"/>
            </w:pPr>
            <w:r>
              <w:t>现场控制与实时数据</w:t>
            </w:r>
          </w:p>
        </w:tc>
        <w:tc>
          <w:tcPr>
            <w:tcW w:w="4838" w:type="dxa"/>
            <w:vAlign w:val="center"/>
          </w:tcPr>
          <w:p w14:paraId="73D8F261">
            <w:pPr>
              <w:pStyle w:val="14"/>
              <w:snapToGrid w:val="0"/>
              <w:jc w:val="left"/>
            </w:pPr>
            <w:r>
              <w:t>DCS／SIS／GDS／PLC报警及工艺测点；DCS侧高级报警提供的状态及相关记录；实时与历史运行信息</w:t>
            </w:r>
          </w:p>
        </w:tc>
        <w:tc>
          <w:tcPr>
            <w:tcW w:w="2218" w:type="dxa"/>
            <w:vAlign w:val="center"/>
          </w:tcPr>
          <w:p w14:paraId="4AAD354C">
            <w:pPr>
              <w:pStyle w:val="14"/>
              <w:snapToGrid w:val="0"/>
              <w:jc w:val="left"/>
            </w:pPr>
            <w:r>
              <w:t>DCS侧高级报警联动、工况与质量诊断、运行复核</w:t>
            </w:r>
          </w:p>
        </w:tc>
      </w:tr>
      <w:tr w14:paraId="46F92EC1">
        <w:trPr>
          <w:cantSplit/>
        </w:trPr>
        <w:tc>
          <w:tcPr>
            <w:tcW w:w="2016" w:type="dxa"/>
            <w:vAlign w:val="center"/>
          </w:tcPr>
          <w:p w14:paraId="13D093DF">
            <w:pPr>
              <w:pStyle w:val="14"/>
              <w:snapToGrid w:val="0"/>
              <w:jc w:val="left"/>
            </w:pPr>
            <w:r>
              <w:t>MES／QMS／LIMS及实验室信息</w:t>
            </w:r>
          </w:p>
        </w:tc>
        <w:tc>
          <w:tcPr>
            <w:tcW w:w="4838" w:type="dxa"/>
            <w:vAlign w:val="center"/>
          </w:tcPr>
          <w:p w14:paraId="7ECE4B60">
            <w:pPr>
              <w:pStyle w:val="14"/>
              <w:snapToGrid w:val="0"/>
              <w:jc w:val="left"/>
            </w:pPr>
            <w:r>
              <w:t>工单、批次谱系、检测结果、规格及质量事件</w:t>
            </w:r>
          </w:p>
        </w:tc>
        <w:tc>
          <w:tcPr>
            <w:tcW w:w="2218" w:type="dxa"/>
            <w:vAlign w:val="center"/>
          </w:tcPr>
          <w:p w14:paraId="560BF830">
            <w:pPr>
              <w:pStyle w:val="14"/>
              <w:snapToGrid w:val="0"/>
              <w:jc w:val="left"/>
            </w:pPr>
            <w:r>
              <w:t>质量追溯、质量根因与过程分析</w:t>
            </w:r>
          </w:p>
        </w:tc>
      </w:tr>
      <w:tr w14:paraId="288F8DBD">
        <w:trPr>
          <w:cantSplit/>
        </w:trPr>
        <w:tc>
          <w:tcPr>
            <w:tcW w:w="2016" w:type="dxa"/>
            <w:vAlign w:val="center"/>
          </w:tcPr>
          <w:p w14:paraId="121B6D4C">
            <w:pPr>
              <w:pStyle w:val="14"/>
              <w:snapToGrid w:val="0"/>
              <w:jc w:val="left"/>
            </w:pPr>
            <w:r>
              <w:t>EAM／PHM／EMS／CMS</w:t>
            </w:r>
          </w:p>
        </w:tc>
        <w:tc>
          <w:tcPr>
            <w:tcW w:w="4838" w:type="dxa"/>
            <w:vAlign w:val="center"/>
          </w:tcPr>
          <w:p w14:paraId="36F3C06F">
            <w:pPr>
              <w:pStyle w:val="14"/>
              <w:snapToGrid w:val="0"/>
              <w:jc w:val="left"/>
            </w:pPr>
            <w:r>
              <w:t>设备档案、检修、预警、能源计量及能碳数据</w:t>
            </w:r>
          </w:p>
        </w:tc>
        <w:tc>
          <w:tcPr>
            <w:tcW w:w="2218" w:type="dxa"/>
            <w:vAlign w:val="center"/>
          </w:tcPr>
          <w:p w14:paraId="0AB11659">
            <w:pPr>
              <w:pStyle w:val="14"/>
              <w:snapToGrid w:val="0"/>
              <w:jc w:val="left"/>
            </w:pPr>
            <w:r>
              <w:t>设备、物料能源平衡和成本分析</w:t>
            </w:r>
          </w:p>
        </w:tc>
      </w:tr>
      <w:tr w14:paraId="045D624F">
        <w:trPr>
          <w:cantSplit/>
        </w:trPr>
        <w:tc>
          <w:tcPr>
            <w:tcW w:w="2016" w:type="dxa"/>
            <w:vAlign w:val="center"/>
          </w:tcPr>
          <w:p w14:paraId="618A5191">
            <w:pPr>
              <w:pStyle w:val="14"/>
              <w:snapToGrid w:val="0"/>
              <w:jc w:val="left"/>
            </w:pPr>
            <w:r>
              <w:t>WMS／TMS／SCOS</w:t>
            </w:r>
          </w:p>
        </w:tc>
        <w:tc>
          <w:tcPr>
            <w:tcW w:w="4838" w:type="dxa"/>
            <w:vAlign w:val="center"/>
          </w:tcPr>
          <w:p w14:paraId="0D855015">
            <w:pPr>
              <w:pStyle w:val="14"/>
              <w:snapToGrid w:val="0"/>
              <w:jc w:val="left"/>
            </w:pPr>
            <w:r>
              <w:t>库存、仓储批次、在途、发运和六类供应链分析结果</w:t>
            </w:r>
          </w:p>
        </w:tc>
        <w:tc>
          <w:tcPr>
            <w:tcW w:w="2218" w:type="dxa"/>
            <w:vAlign w:val="center"/>
          </w:tcPr>
          <w:p w14:paraId="67BB1BA8">
            <w:pPr>
              <w:pStyle w:val="14"/>
              <w:snapToGrid w:val="0"/>
              <w:jc w:val="left"/>
            </w:pPr>
            <w:r>
              <w:t>供应链结果输出与物流优化</w:t>
            </w:r>
          </w:p>
        </w:tc>
      </w:tr>
      <w:tr w14:paraId="11A91D91">
        <w:trPr>
          <w:cantSplit/>
        </w:trPr>
        <w:tc>
          <w:tcPr>
            <w:tcW w:w="2016" w:type="dxa"/>
            <w:vAlign w:val="center"/>
          </w:tcPr>
          <w:p w14:paraId="00230200">
            <w:pPr>
              <w:pStyle w:val="14"/>
              <w:snapToGrid w:val="0"/>
              <w:jc w:val="left"/>
            </w:pPr>
            <w:r>
              <w:t>实时工艺智能控制平台等专业分析服务</w:t>
            </w:r>
          </w:p>
        </w:tc>
        <w:tc>
          <w:tcPr>
            <w:tcW w:w="4838" w:type="dxa"/>
            <w:vAlign w:val="center"/>
          </w:tcPr>
          <w:p w14:paraId="219BF159">
            <w:pPr>
              <w:pStyle w:val="14"/>
              <w:snapToGrid w:val="0"/>
              <w:jc w:val="left"/>
            </w:pPr>
            <w:r>
              <w:t>工况分类、诊断结论及相关运行记录</w:t>
            </w:r>
          </w:p>
        </w:tc>
        <w:tc>
          <w:tcPr>
            <w:tcW w:w="2218" w:type="dxa"/>
            <w:vAlign w:val="center"/>
          </w:tcPr>
          <w:p w14:paraId="6D3697E5">
            <w:pPr>
              <w:pStyle w:val="14"/>
              <w:snapToGrid w:val="0"/>
              <w:jc w:val="left"/>
            </w:pPr>
            <w:r>
              <w:t>问答报告、专业诊断与结果复核</w:t>
            </w:r>
          </w:p>
        </w:tc>
      </w:tr>
      <w:tr w14:paraId="187652D2">
        <w:trPr>
          <w:cantSplit/>
        </w:trPr>
        <w:tc>
          <w:tcPr>
            <w:tcW w:w="2016" w:type="dxa"/>
            <w:vAlign w:val="center"/>
          </w:tcPr>
          <w:p w14:paraId="6FC76CFE">
            <w:pPr>
              <w:pStyle w:val="14"/>
              <w:snapToGrid w:val="0"/>
              <w:jc w:val="left"/>
            </w:pPr>
            <w:r>
              <w:t>数字孪生与展厅展示</w:t>
            </w:r>
          </w:p>
        </w:tc>
        <w:tc>
          <w:tcPr>
            <w:tcW w:w="4838" w:type="dxa"/>
            <w:vAlign w:val="center"/>
          </w:tcPr>
          <w:p w14:paraId="2F3B2944">
            <w:pPr>
              <w:pStyle w:val="14"/>
              <w:snapToGrid w:val="0"/>
              <w:jc w:val="left"/>
            </w:pPr>
            <w:r>
              <w:t>数字人语音、形象口型及展示对象联动</w:t>
            </w:r>
          </w:p>
        </w:tc>
        <w:tc>
          <w:tcPr>
            <w:tcW w:w="2218" w:type="dxa"/>
            <w:vAlign w:val="center"/>
          </w:tcPr>
          <w:p w14:paraId="72B1E286">
            <w:pPr>
              <w:pStyle w:val="14"/>
              <w:snapToGrid w:val="0"/>
              <w:jc w:val="left"/>
            </w:pPr>
            <w:r>
              <w:t>展厅智能问答和大屏展示</w:t>
            </w:r>
          </w:p>
        </w:tc>
      </w:tr>
    </w:tbl>
    <w:p w14:paraId="3DF4C86E">
      <w:pPr>
        <w:pStyle w:val="12"/>
        <w:snapToGrid w:val="0"/>
        <w:spacing w:after="25"/>
      </w:pPr>
    </w:p>
    <w:p w14:paraId="26464DBB">
      <w:pPr>
        <w:pStyle w:val="4"/>
        <w:snapToGrid w:val="0"/>
      </w:pPr>
      <w:bookmarkStart w:id="43" w:name="s4_4_3"/>
      <w:r>
        <w:rPr>
          <w:rFonts w:ascii="黑体" w:hAnsi="黑体" w:eastAsia="黑体" w:cs="黑体"/>
          <w:b/>
          <w:color w:val="000000"/>
        </w:rPr>
        <w:t>4.4.3　数据订阅与结果推送映射</w:t>
      </w:r>
      <w:bookmarkEnd w:id="43"/>
    </w:p>
    <w:p w14:paraId="46109F27">
      <w:pPr>
        <w:pStyle w:val="15"/>
        <w:snapToGrid w:val="0"/>
        <w:jc w:val="center"/>
      </w:pPr>
      <w:r>
        <w:t>表4-4　数据订阅与结果使用关系</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3124"/>
        <w:gridCol w:w="3830"/>
        <w:gridCol w:w="2118"/>
      </w:tblGrid>
      <w:tr w14:paraId="185ACF74">
        <w:trPr>
          <w:cantSplit/>
          <w:tblHeader/>
        </w:trPr>
        <w:tc>
          <w:tcPr>
            <w:tcW w:w="3124" w:type="dxa"/>
            <w:vAlign w:val="center"/>
          </w:tcPr>
          <w:p w14:paraId="4910CED2">
            <w:pPr>
              <w:pStyle w:val="14"/>
              <w:snapToGrid w:val="0"/>
              <w:jc w:val="center"/>
            </w:pPr>
            <w:r>
              <w:rPr>
                <w:b/>
              </w:rPr>
              <w:t>订阅内容</w:t>
            </w:r>
          </w:p>
        </w:tc>
        <w:tc>
          <w:tcPr>
            <w:tcW w:w="3830" w:type="dxa"/>
            <w:vAlign w:val="center"/>
          </w:tcPr>
          <w:p w14:paraId="05C4CA7A">
            <w:pPr>
              <w:pStyle w:val="14"/>
              <w:snapToGrid w:val="0"/>
              <w:jc w:val="center"/>
            </w:pPr>
            <w:r>
              <w:rPr>
                <w:b/>
              </w:rPr>
              <w:t>分析或业务应用</w:t>
            </w:r>
          </w:p>
        </w:tc>
        <w:tc>
          <w:tcPr>
            <w:tcW w:w="2118" w:type="dxa"/>
            <w:vAlign w:val="center"/>
          </w:tcPr>
          <w:p w14:paraId="0C0B6FA9">
            <w:pPr>
              <w:pStyle w:val="14"/>
              <w:snapToGrid w:val="0"/>
              <w:jc w:val="center"/>
            </w:pPr>
            <w:r>
              <w:rPr>
                <w:b/>
              </w:rPr>
              <w:t>结果接收角色</w:t>
            </w:r>
          </w:p>
        </w:tc>
      </w:tr>
      <w:tr w14:paraId="03E2993F">
        <w:trPr>
          <w:cantSplit/>
        </w:trPr>
        <w:tc>
          <w:tcPr>
            <w:tcW w:w="3124" w:type="dxa"/>
            <w:vAlign w:val="center"/>
          </w:tcPr>
          <w:p w14:paraId="50A71EF4">
            <w:pPr>
              <w:pStyle w:val="14"/>
              <w:snapToGrid w:val="0"/>
              <w:jc w:val="left"/>
            </w:pPr>
            <w:r>
              <w:t>设备预警、档案与维修记录</w:t>
            </w:r>
          </w:p>
        </w:tc>
        <w:tc>
          <w:tcPr>
            <w:tcW w:w="3830" w:type="dxa"/>
            <w:vAlign w:val="center"/>
          </w:tcPr>
          <w:p w14:paraId="46CA80D1">
            <w:pPr>
              <w:pStyle w:val="14"/>
              <w:snapToGrid w:val="0"/>
              <w:jc w:val="left"/>
            </w:pPr>
            <w:r>
              <w:t>动设备故障预警与管理</w:t>
            </w:r>
          </w:p>
        </w:tc>
        <w:tc>
          <w:tcPr>
            <w:tcW w:w="2118" w:type="dxa"/>
            <w:vAlign w:val="center"/>
          </w:tcPr>
          <w:p w14:paraId="77F70AFA">
            <w:pPr>
              <w:pStyle w:val="14"/>
              <w:snapToGrid w:val="0"/>
              <w:jc w:val="left"/>
            </w:pPr>
            <w:r>
              <w:t>设备工程师、检修人员</w:t>
            </w:r>
          </w:p>
        </w:tc>
      </w:tr>
      <w:tr w14:paraId="678448A3">
        <w:trPr>
          <w:cantSplit/>
        </w:trPr>
        <w:tc>
          <w:tcPr>
            <w:tcW w:w="3124" w:type="dxa"/>
            <w:vAlign w:val="center"/>
          </w:tcPr>
          <w:p w14:paraId="3132E369">
            <w:pPr>
              <w:pStyle w:val="14"/>
              <w:snapToGrid w:val="0"/>
              <w:jc w:val="left"/>
            </w:pPr>
            <w:r>
              <w:t>计量偏差、能耗异常及运行时序</w:t>
            </w:r>
          </w:p>
        </w:tc>
        <w:tc>
          <w:tcPr>
            <w:tcW w:w="3830" w:type="dxa"/>
            <w:vAlign w:val="center"/>
          </w:tcPr>
          <w:p w14:paraId="493D5C3E">
            <w:pPr>
              <w:pStyle w:val="14"/>
              <w:snapToGrid w:val="0"/>
              <w:jc w:val="left"/>
            </w:pPr>
            <w:r>
              <w:t>物料能量平衡与能耗分析</w:t>
            </w:r>
          </w:p>
        </w:tc>
        <w:tc>
          <w:tcPr>
            <w:tcW w:w="2118" w:type="dxa"/>
            <w:vAlign w:val="center"/>
          </w:tcPr>
          <w:p w14:paraId="12459F14">
            <w:pPr>
              <w:pStyle w:val="14"/>
              <w:snapToGrid w:val="0"/>
              <w:jc w:val="left"/>
            </w:pPr>
            <w:r>
              <w:t>工艺人员、能源管理人员</w:t>
            </w:r>
          </w:p>
        </w:tc>
      </w:tr>
      <w:tr w14:paraId="6FCE4439">
        <w:trPr>
          <w:cantSplit/>
        </w:trPr>
        <w:tc>
          <w:tcPr>
            <w:tcW w:w="3124" w:type="dxa"/>
            <w:vAlign w:val="center"/>
          </w:tcPr>
          <w:p w14:paraId="054F44BC">
            <w:pPr>
              <w:pStyle w:val="14"/>
              <w:snapToGrid w:val="0"/>
              <w:jc w:val="left"/>
            </w:pPr>
            <w:r>
              <w:t>质量偏离、批次及检测记录</w:t>
            </w:r>
          </w:p>
        </w:tc>
        <w:tc>
          <w:tcPr>
            <w:tcW w:w="3830" w:type="dxa"/>
            <w:vAlign w:val="center"/>
          </w:tcPr>
          <w:p w14:paraId="274FDC61">
            <w:pPr>
              <w:pStyle w:val="14"/>
              <w:snapToGrid w:val="0"/>
              <w:jc w:val="left"/>
            </w:pPr>
            <w:r>
              <w:t>质量根因分析与质量追溯</w:t>
            </w:r>
          </w:p>
        </w:tc>
        <w:tc>
          <w:tcPr>
            <w:tcW w:w="2118" w:type="dxa"/>
            <w:vAlign w:val="center"/>
          </w:tcPr>
          <w:p w14:paraId="56D5311A">
            <w:pPr>
              <w:pStyle w:val="14"/>
              <w:snapToGrid w:val="0"/>
              <w:jc w:val="left"/>
            </w:pPr>
            <w:r>
              <w:t>质量工程师、工艺人员</w:t>
            </w:r>
          </w:p>
        </w:tc>
      </w:tr>
      <w:tr w14:paraId="194B46E3">
        <w:trPr>
          <w:cantSplit/>
        </w:trPr>
        <w:tc>
          <w:tcPr>
            <w:tcW w:w="3124" w:type="dxa"/>
            <w:vAlign w:val="center"/>
          </w:tcPr>
          <w:p w14:paraId="218E42EA">
            <w:pPr>
              <w:pStyle w:val="14"/>
              <w:snapToGrid w:val="0"/>
              <w:jc w:val="left"/>
            </w:pPr>
            <w:r>
              <w:t>报警、工况及风险关联</w:t>
            </w:r>
          </w:p>
        </w:tc>
        <w:tc>
          <w:tcPr>
            <w:tcW w:w="3830" w:type="dxa"/>
            <w:vAlign w:val="center"/>
          </w:tcPr>
          <w:p w14:paraId="0B610AC8">
            <w:pPr>
              <w:pStyle w:val="14"/>
              <w:snapToGrid w:val="0"/>
              <w:jc w:val="left"/>
            </w:pPr>
            <w:r>
              <w:t>DCS侧高级报警联动与工况异常识别</w:t>
            </w:r>
          </w:p>
        </w:tc>
        <w:tc>
          <w:tcPr>
            <w:tcW w:w="2118" w:type="dxa"/>
            <w:vAlign w:val="center"/>
          </w:tcPr>
          <w:p w14:paraId="5E5A6639">
            <w:pPr>
              <w:pStyle w:val="14"/>
              <w:snapToGrid w:val="0"/>
              <w:jc w:val="left"/>
            </w:pPr>
            <w:r>
              <w:t>操作员、班组长、工艺人员</w:t>
            </w:r>
          </w:p>
        </w:tc>
      </w:tr>
      <w:tr w14:paraId="4E467D88">
        <w:trPr>
          <w:cantSplit/>
        </w:trPr>
        <w:tc>
          <w:tcPr>
            <w:tcW w:w="3124" w:type="dxa"/>
            <w:vAlign w:val="center"/>
          </w:tcPr>
          <w:p w14:paraId="3D55C60A">
            <w:pPr>
              <w:pStyle w:val="14"/>
              <w:snapToGrid w:val="0"/>
              <w:jc w:val="left"/>
            </w:pPr>
            <w:r>
              <w:t>库存预警与供应链结果</w:t>
            </w:r>
          </w:p>
        </w:tc>
        <w:tc>
          <w:tcPr>
            <w:tcW w:w="3830" w:type="dxa"/>
            <w:vAlign w:val="center"/>
          </w:tcPr>
          <w:p w14:paraId="508189B5">
            <w:pPr>
              <w:pStyle w:val="14"/>
              <w:snapToGrid w:val="0"/>
              <w:jc w:val="left"/>
            </w:pPr>
            <w:r>
              <w:t>物流及供应链分析结果使用</w:t>
            </w:r>
          </w:p>
        </w:tc>
        <w:tc>
          <w:tcPr>
            <w:tcW w:w="2118" w:type="dxa"/>
            <w:vAlign w:val="center"/>
          </w:tcPr>
          <w:p w14:paraId="261851BF">
            <w:pPr>
              <w:pStyle w:val="14"/>
              <w:snapToGrid w:val="0"/>
              <w:jc w:val="left"/>
            </w:pPr>
            <w:r>
              <w:t>计划人员、采购人员</w:t>
            </w:r>
          </w:p>
        </w:tc>
      </w:tr>
      <w:tr w14:paraId="0FCE9908">
        <w:trPr>
          <w:cantSplit/>
        </w:trPr>
        <w:tc>
          <w:tcPr>
            <w:tcW w:w="3124" w:type="dxa"/>
            <w:vAlign w:val="center"/>
          </w:tcPr>
          <w:p w14:paraId="184D7B34">
            <w:pPr>
              <w:pStyle w:val="14"/>
              <w:snapToGrid w:val="0"/>
              <w:jc w:val="left"/>
            </w:pPr>
            <w:r>
              <w:t>模型方案、确认与执行记录</w:t>
            </w:r>
          </w:p>
        </w:tc>
        <w:tc>
          <w:tcPr>
            <w:tcW w:w="3830" w:type="dxa"/>
            <w:vAlign w:val="center"/>
          </w:tcPr>
          <w:p w14:paraId="43CC5F17">
            <w:pPr>
              <w:pStyle w:val="14"/>
              <w:snapToGrid w:val="0"/>
              <w:jc w:val="left"/>
            </w:pPr>
            <w:r>
              <w:t>参数方案查看和效果复核</w:t>
            </w:r>
          </w:p>
        </w:tc>
        <w:tc>
          <w:tcPr>
            <w:tcW w:w="2118" w:type="dxa"/>
            <w:vAlign w:val="center"/>
          </w:tcPr>
          <w:p w14:paraId="29DF0D6C">
            <w:pPr>
              <w:pStyle w:val="14"/>
              <w:snapToGrid w:val="0"/>
              <w:jc w:val="left"/>
            </w:pPr>
            <w:r>
              <w:t>工艺工程师、生产人员</w:t>
            </w:r>
          </w:p>
        </w:tc>
      </w:tr>
    </w:tbl>
    <w:p w14:paraId="2120D149">
      <w:pPr>
        <w:pStyle w:val="12"/>
        <w:snapToGrid w:val="0"/>
        <w:spacing w:after="25"/>
      </w:pPr>
    </w:p>
    <w:p w14:paraId="4ABABA9C">
      <w:pPr>
        <w:pStyle w:val="3"/>
        <w:snapToGrid w:val="0"/>
      </w:pPr>
      <w:bookmarkStart w:id="44" w:name="s4_5"/>
      <w:r>
        <w:rPr>
          <w:rFonts w:ascii="黑体" w:hAnsi="黑体" w:eastAsia="黑体" w:cs="黑体"/>
          <w:b/>
          <w:color w:val="000000"/>
        </w:rPr>
        <w:t>4.5　数据治理成果与场景需求映射</w:t>
      </w:r>
      <w:bookmarkEnd w:id="44"/>
    </w:p>
    <w:p w14:paraId="22A93392">
      <w:pPr>
        <w:pStyle w:val="15"/>
        <w:snapToGrid w:val="0"/>
        <w:jc w:val="center"/>
      </w:pPr>
      <w:r>
        <w:t>表4-5　场景数据需求与治理成果</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116"/>
        <w:gridCol w:w="3628"/>
        <w:gridCol w:w="3328"/>
      </w:tblGrid>
      <w:tr w14:paraId="6651F2CB">
        <w:trPr>
          <w:cantSplit/>
          <w:tblHeader/>
        </w:trPr>
        <w:tc>
          <w:tcPr>
            <w:tcW w:w="2116" w:type="dxa"/>
            <w:vAlign w:val="center"/>
          </w:tcPr>
          <w:p w14:paraId="03416598">
            <w:pPr>
              <w:pStyle w:val="14"/>
              <w:snapToGrid w:val="0"/>
              <w:jc w:val="center"/>
            </w:pPr>
            <w:r>
              <w:rPr>
                <w:b/>
              </w:rPr>
              <w:t>场景类别</w:t>
            </w:r>
          </w:p>
        </w:tc>
        <w:tc>
          <w:tcPr>
            <w:tcW w:w="3628" w:type="dxa"/>
            <w:vAlign w:val="center"/>
          </w:tcPr>
          <w:p w14:paraId="28DC9863">
            <w:pPr>
              <w:pStyle w:val="14"/>
              <w:snapToGrid w:val="0"/>
              <w:jc w:val="center"/>
            </w:pPr>
            <w:r>
              <w:rPr>
                <w:b/>
              </w:rPr>
              <w:t>核心数据需求</w:t>
            </w:r>
          </w:p>
        </w:tc>
        <w:tc>
          <w:tcPr>
            <w:tcW w:w="3328" w:type="dxa"/>
            <w:vAlign w:val="center"/>
          </w:tcPr>
          <w:p w14:paraId="03DB3E00">
            <w:pPr>
              <w:pStyle w:val="14"/>
              <w:snapToGrid w:val="0"/>
              <w:jc w:val="center"/>
            </w:pPr>
            <w:r>
              <w:rPr>
                <w:b/>
              </w:rPr>
              <w:t>治理成果</w:t>
            </w:r>
          </w:p>
        </w:tc>
      </w:tr>
      <w:tr w14:paraId="6ECAAD58">
        <w:trPr>
          <w:cantSplit/>
        </w:trPr>
        <w:tc>
          <w:tcPr>
            <w:tcW w:w="2116" w:type="dxa"/>
            <w:vAlign w:val="center"/>
          </w:tcPr>
          <w:p w14:paraId="14CA9C1C">
            <w:pPr>
              <w:pStyle w:val="14"/>
              <w:snapToGrid w:val="0"/>
              <w:jc w:val="center"/>
            </w:pPr>
            <w:r>
              <w:t>智能问数及业务查询</w:t>
            </w:r>
          </w:p>
        </w:tc>
        <w:tc>
          <w:tcPr>
            <w:tcW w:w="3628" w:type="dxa"/>
            <w:vAlign w:val="center"/>
          </w:tcPr>
          <w:p w14:paraId="5527082F">
            <w:pPr>
              <w:pStyle w:val="14"/>
              <w:snapToGrid w:val="0"/>
              <w:jc w:val="left"/>
            </w:pPr>
            <w:r>
              <w:t>对象、指标、组织、时间及业务授权</w:t>
            </w:r>
          </w:p>
        </w:tc>
        <w:tc>
          <w:tcPr>
            <w:tcW w:w="3328" w:type="dxa"/>
            <w:vAlign w:val="center"/>
          </w:tcPr>
          <w:p w14:paraId="56930E06">
            <w:pPr>
              <w:pStyle w:val="14"/>
              <w:snapToGrid w:val="0"/>
              <w:jc w:val="left"/>
            </w:pPr>
            <w:r>
              <w:t>对象映射、指标语义、查询数据与授权规则</w:t>
            </w:r>
          </w:p>
        </w:tc>
      </w:tr>
      <w:tr w14:paraId="58B1EF35">
        <w:trPr>
          <w:cantSplit/>
        </w:trPr>
        <w:tc>
          <w:tcPr>
            <w:tcW w:w="2116" w:type="dxa"/>
            <w:vAlign w:val="center"/>
          </w:tcPr>
          <w:p w14:paraId="0417F1EE">
            <w:pPr>
              <w:pStyle w:val="14"/>
              <w:snapToGrid w:val="0"/>
              <w:jc w:val="center"/>
            </w:pPr>
            <w:r>
              <w:t>物料能量及成本分析</w:t>
            </w:r>
          </w:p>
        </w:tc>
        <w:tc>
          <w:tcPr>
            <w:tcW w:w="3628" w:type="dxa"/>
            <w:vAlign w:val="center"/>
          </w:tcPr>
          <w:p w14:paraId="07BEDA34">
            <w:pPr>
              <w:pStyle w:val="14"/>
              <w:snapToGrid w:val="0"/>
              <w:jc w:val="left"/>
            </w:pPr>
            <w:r>
              <w:t>计量范围、工序、投入产出、费用构成及基准</w:t>
            </w:r>
          </w:p>
        </w:tc>
        <w:tc>
          <w:tcPr>
            <w:tcW w:w="3328" w:type="dxa"/>
            <w:vAlign w:val="center"/>
          </w:tcPr>
          <w:p w14:paraId="60A9F3E5">
            <w:pPr>
              <w:pStyle w:val="14"/>
              <w:snapToGrid w:val="0"/>
              <w:jc w:val="left"/>
            </w:pPr>
            <w:r>
              <w:t>统一核算结果、偏差清单与关联运行证据</w:t>
            </w:r>
          </w:p>
        </w:tc>
      </w:tr>
      <w:tr w14:paraId="341BBCB9">
        <w:trPr>
          <w:cantSplit/>
        </w:trPr>
        <w:tc>
          <w:tcPr>
            <w:tcW w:w="2116" w:type="dxa"/>
            <w:vAlign w:val="center"/>
          </w:tcPr>
          <w:p w14:paraId="513BAF4F">
            <w:pPr>
              <w:pStyle w:val="14"/>
              <w:snapToGrid w:val="0"/>
              <w:jc w:val="center"/>
            </w:pPr>
            <w:r>
              <w:t>质量分析与追溯</w:t>
            </w:r>
          </w:p>
        </w:tc>
        <w:tc>
          <w:tcPr>
            <w:tcW w:w="3628" w:type="dxa"/>
            <w:vAlign w:val="center"/>
          </w:tcPr>
          <w:p w14:paraId="31DC3D44">
            <w:pPr>
              <w:pStyle w:val="14"/>
              <w:snapToGrid w:val="0"/>
              <w:jc w:val="left"/>
            </w:pPr>
            <w:r>
              <w:t>原料中间成品批次、质检、参数及位置状态</w:t>
            </w:r>
          </w:p>
        </w:tc>
        <w:tc>
          <w:tcPr>
            <w:tcW w:w="3328" w:type="dxa"/>
            <w:vAlign w:val="center"/>
          </w:tcPr>
          <w:p w14:paraId="2F792B12">
            <w:pPr>
              <w:pStyle w:val="14"/>
              <w:snapToGrid w:val="0"/>
              <w:jc w:val="left"/>
            </w:pPr>
            <w:r>
              <w:t>批次谱系、质量因果关联与事件证据</w:t>
            </w:r>
          </w:p>
        </w:tc>
      </w:tr>
      <w:tr w14:paraId="147D4005">
        <w:trPr>
          <w:cantSplit/>
        </w:trPr>
        <w:tc>
          <w:tcPr>
            <w:tcW w:w="2116" w:type="dxa"/>
            <w:vAlign w:val="center"/>
          </w:tcPr>
          <w:p w14:paraId="3BF47614">
            <w:pPr>
              <w:pStyle w:val="14"/>
              <w:snapToGrid w:val="0"/>
              <w:jc w:val="center"/>
            </w:pPr>
            <w:r>
              <w:t>设备报警与工况诊断</w:t>
            </w:r>
          </w:p>
        </w:tc>
        <w:tc>
          <w:tcPr>
            <w:tcW w:w="3628" w:type="dxa"/>
            <w:vAlign w:val="center"/>
          </w:tcPr>
          <w:p w14:paraId="3BCF2495">
            <w:pPr>
              <w:pStyle w:val="14"/>
              <w:snapToGrid w:val="0"/>
              <w:jc w:val="left"/>
            </w:pPr>
            <w:r>
              <w:t>设备测点、报警、工况、故障与防护措施</w:t>
            </w:r>
          </w:p>
        </w:tc>
        <w:tc>
          <w:tcPr>
            <w:tcW w:w="3328" w:type="dxa"/>
            <w:vAlign w:val="center"/>
          </w:tcPr>
          <w:p w14:paraId="7E17E461">
            <w:pPr>
              <w:pStyle w:val="14"/>
              <w:snapToGrid w:val="0"/>
              <w:jc w:val="left"/>
            </w:pPr>
            <w:r>
              <w:t>设备测点关系、工艺拓扑和诊断证据</w:t>
            </w:r>
          </w:p>
        </w:tc>
      </w:tr>
      <w:tr w14:paraId="6EC24C27">
        <w:trPr>
          <w:cantSplit/>
        </w:trPr>
        <w:tc>
          <w:tcPr>
            <w:tcW w:w="2116" w:type="dxa"/>
            <w:vAlign w:val="center"/>
          </w:tcPr>
          <w:p w14:paraId="3963A1A0">
            <w:pPr>
              <w:pStyle w:val="14"/>
              <w:snapToGrid w:val="0"/>
              <w:jc w:val="center"/>
            </w:pPr>
            <w:r>
              <w:t>供应链及物流</w:t>
            </w:r>
          </w:p>
        </w:tc>
        <w:tc>
          <w:tcPr>
            <w:tcW w:w="3628" w:type="dxa"/>
            <w:vAlign w:val="center"/>
          </w:tcPr>
          <w:p w14:paraId="7A85821C">
            <w:pPr>
              <w:pStyle w:val="14"/>
              <w:snapToGrid w:val="0"/>
              <w:jc w:val="left"/>
            </w:pPr>
            <w:r>
              <w:t>物料、库存、订单、在途与分析结果</w:t>
            </w:r>
          </w:p>
        </w:tc>
        <w:tc>
          <w:tcPr>
            <w:tcW w:w="3328" w:type="dxa"/>
            <w:vAlign w:val="center"/>
          </w:tcPr>
          <w:p w14:paraId="0EDFE0E5">
            <w:pPr>
              <w:pStyle w:val="14"/>
              <w:snapToGrid w:val="0"/>
              <w:jc w:val="left"/>
            </w:pPr>
            <w:r>
              <w:t>对象统一、时效标注和业务链路</w:t>
            </w:r>
          </w:p>
        </w:tc>
      </w:tr>
      <w:tr w14:paraId="642E5C1C">
        <w:trPr>
          <w:cantSplit/>
        </w:trPr>
        <w:tc>
          <w:tcPr>
            <w:tcW w:w="2116" w:type="dxa"/>
            <w:vAlign w:val="center"/>
          </w:tcPr>
          <w:p w14:paraId="3DF3EA91">
            <w:pPr>
              <w:pStyle w:val="14"/>
              <w:snapToGrid w:val="0"/>
              <w:jc w:val="center"/>
            </w:pPr>
            <w:r>
              <w:t>工艺优化与诊断应用</w:t>
            </w:r>
          </w:p>
        </w:tc>
        <w:tc>
          <w:tcPr>
            <w:tcW w:w="3628" w:type="dxa"/>
            <w:vAlign w:val="center"/>
          </w:tcPr>
          <w:p w14:paraId="2F63CDB8">
            <w:pPr>
              <w:pStyle w:val="14"/>
              <w:snapToGrid w:val="0"/>
              <w:jc w:val="left"/>
            </w:pPr>
            <w:r>
              <w:t>参数方案、运行约束、风险节点和处置案例</w:t>
            </w:r>
          </w:p>
        </w:tc>
        <w:tc>
          <w:tcPr>
            <w:tcW w:w="3328" w:type="dxa"/>
            <w:vAlign w:val="center"/>
          </w:tcPr>
          <w:p w14:paraId="298A02F7">
            <w:pPr>
              <w:pStyle w:val="14"/>
              <w:snapToGrid w:val="0"/>
              <w:jc w:val="left"/>
            </w:pPr>
            <w:r>
              <w:t>适用工况、判定基准与版本关联</w:t>
            </w:r>
          </w:p>
        </w:tc>
      </w:tr>
    </w:tbl>
    <w:p w14:paraId="6EEF4B50">
      <w:pPr>
        <w:pStyle w:val="12"/>
        <w:snapToGrid w:val="0"/>
        <w:spacing w:after="25"/>
      </w:pPr>
    </w:p>
    <w:p w14:paraId="611C5BF1">
      <w:pPr>
        <w:pStyle w:val="2"/>
        <w:bidi w:val="0"/>
      </w:pPr>
      <w:bookmarkStart w:id="45" w:name="s5"/>
      <w:r>
        <w:t>5　功能层：核心功能设计</w:t>
      </w:r>
      <w:bookmarkEnd w:id="45"/>
    </w:p>
    <w:p w14:paraId="13834121">
      <w:pPr>
        <w:pStyle w:val="3"/>
        <w:snapToGrid w:val="0"/>
      </w:pPr>
      <w:bookmarkStart w:id="46" w:name="s5_1"/>
      <w:r>
        <w:rPr>
          <w:rFonts w:ascii="黑体" w:hAnsi="黑体" w:eastAsia="黑体" w:cs="黑体"/>
          <w:b/>
          <w:color w:val="000000"/>
        </w:rPr>
        <w:t>5.1　功能架构总览</w:t>
      </w:r>
      <w:bookmarkEnd w:id="46"/>
    </w:p>
    <w:p w14:paraId="4155D264">
      <w:pPr>
        <w:pStyle w:val="4"/>
        <w:snapToGrid w:val="0"/>
      </w:pPr>
      <w:bookmarkStart w:id="47" w:name="s5_1_1"/>
      <w:r>
        <w:rPr>
          <w:rFonts w:ascii="黑体" w:hAnsi="黑体" w:eastAsia="黑体" w:cs="黑体"/>
          <w:b/>
          <w:color w:val="000000"/>
        </w:rPr>
        <w:t>5.1.1　项目AI功能架构</w:t>
      </w:r>
      <w:bookmarkEnd w:id="47"/>
    </w:p>
    <w:p w14:paraId="3D7AA53C">
      <w:pPr>
        <w:pStyle w:val="12"/>
        <w:keepNext/>
        <w:snapToGrid w:val="0"/>
        <w:spacing w:before="0" w:after="40" w:line="240" w:lineRule="auto"/>
        <w:ind w:left="0" w:right="0" w:firstLine="0" w:firstLineChars="0"/>
        <w:jc w:val="center"/>
      </w:pPr>
      <w:r>
        <w:drawing>
          <wp:inline distT="0" distB="0" distL="0" distR="0">
            <wp:extent cx="5759450" cy="5813425"/>
            <wp:effectExtent l="0" t="0" r="0" b="0"/>
            <wp:docPr id="24" name="5.1.1　项目AI功能架构" descr="5.1.1　项目AI功能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5.1.1　项目AI功能架构" descr="5.1.1　项目AI功能架构"/>
                    <pic:cNvPicPr>
                      <a:picLocks noChangeAspect="1"/>
                    </pic:cNvPicPr>
                  </pic:nvPicPr>
                  <pic:blipFill>
                    <a:blip r:embed="rId31"/>
                    <a:stretch>
                      <a:fillRect/>
                    </a:stretch>
                  </pic:blipFill>
                  <pic:spPr>
                    <a:xfrm>
                      <a:off x="0" y="0"/>
                      <a:ext cx="5759450" cy="5813845"/>
                    </a:xfrm>
                    <a:prstGeom prst="rect">
                      <a:avLst/>
                    </a:prstGeom>
                  </pic:spPr>
                </pic:pic>
              </a:graphicData>
            </a:graphic>
          </wp:inline>
        </w:drawing>
      </w:r>
    </w:p>
    <w:p w14:paraId="094481DB">
      <w:pPr>
        <w:pStyle w:val="15"/>
        <w:keepNext w:val="0"/>
        <w:snapToGrid w:val="0"/>
        <w:jc w:val="center"/>
      </w:pPr>
      <w:r>
        <w:t>图5-1　AI平台功能组织</w:t>
      </w:r>
    </w:p>
    <w:p w14:paraId="05314F39">
      <w:pPr>
        <w:pStyle w:val="4"/>
        <w:snapToGrid w:val="0"/>
      </w:pPr>
      <w:bookmarkStart w:id="48" w:name="s5_1_2"/>
      <w:r>
        <w:rPr>
          <w:rFonts w:ascii="黑体" w:hAnsi="黑体" w:eastAsia="黑体" w:cs="黑体"/>
          <w:b/>
          <w:color w:val="000000"/>
        </w:rPr>
        <w:t>5.1.2　功能事项清单</w:t>
      </w:r>
      <w:bookmarkEnd w:id="48"/>
    </w:p>
    <w:p w14:paraId="2B7C9B5C">
      <w:pPr>
        <w:pStyle w:val="15"/>
        <w:snapToGrid w:val="0"/>
        <w:jc w:val="center"/>
      </w:pPr>
      <w:r>
        <w:t>表5-1　功能事项清单</w:t>
      </w:r>
    </w:p>
    <w:tbl>
      <w:tblPr>
        <w:tblStyle w:val="9"/>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0"/>
        <w:gridCol w:w="1120"/>
        <w:gridCol w:w="1430"/>
        <w:gridCol w:w="2119"/>
        <w:gridCol w:w="1521"/>
        <w:gridCol w:w="1020"/>
        <w:gridCol w:w="1102"/>
      </w:tblGrid>
      <w:tr w14:paraId="72000030">
        <w:trPr>
          <w:cantSplit/>
          <w:tblHeader/>
          <w:jc w:val="center"/>
        </w:trPr>
        <w:tc>
          <w:tcPr>
            <w:tcW w:w="760" w:type="dxa"/>
            <w:shd w:val="clear" w:color="auto" w:fill="FFFFFF"/>
            <w:vAlign w:val="center"/>
          </w:tcPr>
          <w:p w14:paraId="72000031">
            <w:pPr>
              <w:keepNext/>
              <w:spacing w:before="0" w:after="0" w:line="240" w:lineRule="auto"/>
              <w:ind w:left="0" w:right="0" w:firstLine="0"/>
              <w:jc w:val="center"/>
            </w:pPr>
            <w:r>
              <w:rPr>
                <w:rFonts w:ascii="宋体" w:hAnsi="宋体" w:eastAsia="宋体" w:cs="宋体"/>
                <w:b/>
                <w:bCs/>
                <w:color w:val="000000"/>
                <w:sz w:val="18"/>
              </w:rPr>
              <w:t>一级功能模块</w:t>
            </w:r>
          </w:p>
        </w:tc>
        <w:tc>
          <w:tcPr>
            <w:tcW w:w="1120" w:type="dxa"/>
            <w:shd w:val="clear" w:color="auto" w:fill="FFFFFF"/>
            <w:vAlign w:val="center"/>
          </w:tcPr>
          <w:p w14:paraId="72000032">
            <w:pPr>
              <w:keepNext/>
              <w:spacing w:before="0" w:after="0" w:line="240" w:lineRule="auto"/>
              <w:ind w:left="0" w:right="0" w:firstLine="0"/>
              <w:jc w:val="center"/>
            </w:pPr>
            <w:r>
              <w:rPr>
                <w:rFonts w:ascii="宋体" w:hAnsi="宋体" w:eastAsia="宋体" w:cs="宋体"/>
                <w:b/>
                <w:bCs/>
                <w:color w:val="000000"/>
                <w:sz w:val="18"/>
              </w:rPr>
              <w:t>二级功能模块</w:t>
            </w:r>
          </w:p>
        </w:tc>
        <w:tc>
          <w:tcPr>
            <w:tcW w:w="1430" w:type="dxa"/>
            <w:shd w:val="clear" w:color="auto" w:fill="FFFFFF"/>
            <w:vAlign w:val="center"/>
          </w:tcPr>
          <w:p w14:paraId="72000033">
            <w:pPr>
              <w:keepNext/>
              <w:spacing w:before="0" w:after="0" w:line="240" w:lineRule="auto"/>
              <w:ind w:left="0" w:right="0" w:firstLine="0"/>
              <w:jc w:val="center"/>
            </w:pPr>
            <w:r>
              <w:rPr>
                <w:rFonts w:ascii="宋体" w:hAnsi="宋体" w:eastAsia="宋体" w:cs="宋体"/>
                <w:b/>
                <w:bCs/>
                <w:color w:val="000000"/>
                <w:sz w:val="18"/>
              </w:rPr>
              <w:t>功能编号</w:t>
            </w:r>
          </w:p>
        </w:tc>
        <w:tc>
          <w:tcPr>
            <w:tcW w:w="2119" w:type="dxa"/>
            <w:shd w:val="clear" w:color="auto" w:fill="FFFFFF"/>
            <w:vAlign w:val="center"/>
          </w:tcPr>
          <w:p w14:paraId="72000034">
            <w:pPr>
              <w:keepNext/>
              <w:spacing w:before="0" w:after="0" w:line="240" w:lineRule="auto"/>
              <w:ind w:left="0" w:right="0" w:firstLine="0"/>
              <w:jc w:val="center"/>
            </w:pPr>
            <w:r>
              <w:rPr>
                <w:rFonts w:ascii="宋体" w:hAnsi="宋体" w:eastAsia="宋体" w:cs="宋体"/>
                <w:b/>
                <w:bCs/>
                <w:color w:val="000000"/>
                <w:sz w:val="18"/>
              </w:rPr>
              <w:t>功能点描述</w:t>
            </w:r>
          </w:p>
        </w:tc>
        <w:tc>
          <w:tcPr>
            <w:tcW w:w="1521" w:type="dxa"/>
            <w:shd w:val="clear" w:color="auto" w:fill="FFFFFF"/>
            <w:vAlign w:val="center"/>
          </w:tcPr>
          <w:p w14:paraId="72000035">
            <w:pPr>
              <w:keepNext/>
              <w:spacing w:before="0" w:after="0" w:line="240" w:lineRule="auto"/>
              <w:ind w:left="0" w:right="0" w:firstLine="0"/>
              <w:jc w:val="center"/>
            </w:pPr>
            <w:r>
              <w:rPr>
                <w:rFonts w:ascii="宋体" w:hAnsi="宋体" w:eastAsia="宋体" w:cs="宋体"/>
                <w:b/>
                <w:bCs/>
                <w:color w:val="000000"/>
                <w:sz w:val="18"/>
              </w:rPr>
              <w:t>上游数据依赖</w:t>
            </w:r>
          </w:p>
        </w:tc>
        <w:tc>
          <w:tcPr>
            <w:tcW w:w="1020" w:type="dxa"/>
            <w:shd w:val="clear" w:color="auto" w:fill="FFFFFF"/>
            <w:vAlign w:val="center"/>
          </w:tcPr>
          <w:p w14:paraId="72000036">
            <w:pPr>
              <w:keepNext/>
              <w:spacing w:before="0" w:after="0" w:line="240" w:lineRule="auto"/>
              <w:ind w:left="0" w:right="0" w:firstLine="0"/>
              <w:jc w:val="center"/>
            </w:pPr>
            <w:r>
              <w:rPr>
                <w:rFonts w:ascii="宋体" w:hAnsi="宋体" w:eastAsia="宋体" w:cs="宋体"/>
                <w:b/>
                <w:bCs/>
                <w:color w:val="000000"/>
                <w:sz w:val="18"/>
              </w:rPr>
              <w:t>下游去向</w:t>
            </w:r>
          </w:p>
        </w:tc>
        <w:tc>
          <w:tcPr>
            <w:tcW w:w="1102" w:type="dxa"/>
            <w:shd w:val="clear" w:color="auto" w:fill="FFFFFF"/>
            <w:vAlign w:val="center"/>
          </w:tcPr>
          <w:p w14:paraId="72000037">
            <w:pPr>
              <w:keepNext/>
              <w:spacing w:before="0" w:after="0" w:line="240" w:lineRule="auto"/>
              <w:ind w:left="0" w:right="0" w:firstLine="0"/>
              <w:jc w:val="center"/>
            </w:pPr>
            <w:r>
              <w:rPr>
                <w:rFonts w:ascii="宋体" w:hAnsi="宋体" w:eastAsia="宋体" w:cs="宋体"/>
                <w:b/>
                <w:bCs/>
                <w:color w:val="000000"/>
                <w:sz w:val="18"/>
              </w:rPr>
              <w:t>服务角色</w:t>
            </w:r>
          </w:p>
        </w:tc>
      </w:tr>
      <w:tr w14:paraId="72000148">
        <w:trPr>
          <w:cantSplit/>
          <w:jc w:val="center"/>
        </w:trPr>
        <w:tc>
          <w:tcPr>
            <w:tcW w:w="760" w:type="dxa"/>
            <w:vMerge w:val="restart"/>
            <w:shd w:val="clear" w:color="auto" w:fill="FFFFFF"/>
            <w:vAlign w:val="center"/>
          </w:tcPr>
          <w:p w14:paraId="72000149">
            <w:pPr>
              <w:spacing w:before="0" w:after="0" w:line="240" w:lineRule="auto"/>
              <w:ind w:left="0" w:right="0" w:firstLine="0"/>
              <w:jc w:val="left"/>
            </w:pPr>
            <w:r>
              <w:rPr>
                <w:rFonts w:ascii="宋体" w:hAnsi="宋体" w:eastAsia="宋体" w:cs="宋体"/>
                <w:b w:val="0"/>
                <w:color w:val="000000"/>
                <w:sz w:val="18"/>
              </w:rPr>
              <w:t>平台门户</w:t>
            </w:r>
          </w:p>
        </w:tc>
        <w:tc>
          <w:tcPr>
            <w:tcW w:w="1120" w:type="dxa"/>
            <w:shd w:val="clear" w:color="auto" w:fill="FFFFFF"/>
            <w:vAlign w:val="center"/>
          </w:tcPr>
          <w:p w14:paraId="7200014A">
            <w:pPr>
              <w:spacing w:before="0" w:after="0" w:line="240" w:lineRule="auto"/>
              <w:ind w:left="0" w:right="0" w:firstLine="0"/>
              <w:jc w:val="left"/>
            </w:pPr>
            <w:r>
              <w:rPr>
                <w:rFonts w:ascii="宋体" w:hAnsi="宋体" w:eastAsia="宋体" w:cs="宋体"/>
                <w:b w:val="0"/>
                <w:color w:val="000000"/>
                <w:sz w:val="18"/>
              </w:rPr>
              <w:t>对话工作台</w:t>
            </w:r>
          </w:p>
        </w:tc>
        <w:tc>
          <w:tcPr>
            <w:tcW w:w="1430" w:type="dxa"/>
            <w:shd w:val="clear" w:color="auto" w:fill="FFFFFF"/>
            <w:vAlign w:val="center"/>
          </w:tcPr>
          <w:p w14:paraId="7200014B">
            <w:pPr>
              <w:spacing w:before="0" w:after="0" w:line="240" w:lineRule="auto"/>
              <w:ind w:left="0" w:right="0" w:firstLine="0"/>
              <w:jc w:val="left"/>
            </w:pPr>
            <w:r>
              <w:rPr>
                <w:rFonts w:ascii="宋体" w:hAnsi="宋体" w:eastAsia="宋体" w:cs="宋体"/>
                <w:b w:val="0"/>
                <w:color w:val="000000"/>
                <w:sz w:val="18"/>
              </w:rPr>
              <w:t>P-ZLTC-AI-DHGZT-001</w:t>
            </w:r>
          </w:p>
        </w:tc>
        <w:tc>
          <w:tcPr>
            <w:tcW w:w="2119" w:type="dxa"/>
            <w:shd w:val="clear" w:color="auto" w:fill="FFFFFF"/>
            <w:vAlign w:val="center"/>
          </w:tcPr>
          <w:p w14:paraId="7200014C">
            <w:pPr>
              <w:spacing w:before="0" w:after="0" w:line="240" w:lineRule="auto"/>
              <w:ind w:left="0" w:right="0" w:firstLine="0"/>
              <w:jc w:val="left"/>
            </w:pPr>
            <w:r>
              <w:rPr>
                <w:rFonts w:ascii="宋体" w:hAnsi="宋体" w:eastAsia="宋体" w:cs="宋体"/>
                <w:b w:val="0"/>
                <w:color w:val="000000"/>
                <w:sz w:val="18"/>
              </w:rPr>
              <w:t>自然语言问答与多轮上下文；即席图表；执行过程展示；报告导出；常用问题快速点选；长耗时任务的会话内兜底。详见5.2.3。</w:t>
            </w:r>
          </w:p>
        </w:tc>
        <w:tc>
          <w:tcPr>
            <w:tcW w:w="1521" w:type="dxa"/>
            <w:shd w:val="clear" w:color="auto" w:fill="FFFFFF"/>
            <w:vAlign w:val="center"/>
          </w:tcPr>
          <w:p w14:paraId="7200014D">
            <w:pPr>
              <w:spacing w:before="0" w:after="0" w:line="240" w:lineRule="auto"/>
              <w:ind w:left="0" w:right="0" w:firstLine="0"/>
              <w:jc w:val="left"/>
            </w:pPr>
            <w:r>
              <w:rPr>
                <w:rFonts w:ascii="宋体" w:hAnsi="宋体" w:eastAsia="宋体" w:cs="宋体"/>
                <w:b w:val="0"/>
                <w:color w:val="000000"/>
                <w:sz w:val="18"/>
              </w:rPr>
              <w:t>主智能体的应答结果、场景子智能体的分析结果</w:t>
            </w:r>
          </w:p>
        </w:tc>
        <w:tc>
          <w:tcPr>
            <w:tcW w:w="1020" w:type="dxa"/>
            <w:shd w:val="clear" w:color="auto" w:fill="FFFFFF"/>
            <w:vAlign w:val="center"/>
          </w:tcPr>
          <w:p w14:paraId="7200014E">
            <w:pPr>
              <w:spacing w:before="0" w:after="0" w:line="240" w:lineRule="auto"/>
              <w:ind w:left="0" w:right="0" w:firstLine="0"/>
              <w:jc w:val="left"/>
            </w:pPr>
            <w:r>
              <w:rPr>
                <w:rFonts w:ascii="宋体" w:hAnsi="宋体" w:eastAsia="宋体" w:cs="宋体"/>
                <w:b w:val="0"/>
                <w:color w:val="000000"/>
                <w:sz w:val="18"/>
              </w:rPr>
              <w:t>会话归档、导出文件、反馈通道</w:t>
            </w:r>
          </w:p>
        </w:tc>
        <w:tc>
          <w:tcPr>
            <w:tcW w:w="1102" w:type="dxa"/>
            <w:shd w:val="clear" w:color="auto" w:fill="FFFFFF"/>
            <w:vAlign w:val="center"/>
          </w:tcPr>
          <w:p w14:paraId="7200014F">
            <w:pPr>
              <w:spacing w:before="0" w:after="0" w:line="240" w:lineRule="auto"/>
              <w:ind w:left="0" w:right="0" w:firstLine="0"/>
              <w:jc w:val="left"/>
            </w:pPr>
            <w:r>
              <w:rPr>
                <w:rFonts w:ascii="宋体" w:hAnsi="宋体" w:eastAsia="宋体" w:cs="宋体"/>
                <w:b w:val="0"/>
                <w:color w:val="000000"/>
                <w:sz w:val="18"/>
              </w:rPr>
              <w:t>全部业务用户</w:t>
            </w:r>
          </w:p>
        </w:tc>
      </w:tr>
      <w:tr w14:paraId="72000150">
        <w:trPr>
          <w:cantSplit/>
          <w:jc w:val="center"/>
        </w:trPr>
        <w:tc>
          <w:tcPr>
            <w:tcW w:w="760" w:type="dxa"/>
            <w:vMerge w:val="continue"/>
            <w:shd w:val="clear" w:color="auto" w:fill="FFFFFF"/>
            <w:vAlign w:val="center"/>
          </w:tcPr>
          <w:p w14:paraId="72000151">
            <w:pPr>
              <w:spacing w:before="0" w:after="0" w:line="240" w:lineRule="auto"/>
              <w:ind w:left="0" w:right="0" w:firstLine="0"/>
              <w:jc w:val="left"/>
            </w:pPr>
          </w:p>
        </w:tc>
        <w:tc>
          <w:tcPr>
            <w:tcW w:w="1120" w:type="dxa"/>
            <w:shd w:val="clear" w:color="auto" w:fill="FFFFFF"/>
            <w:vAlign w:val="center"/>
          </w:tcPr>
          <w:p w14:paraId="72000152">
            <w:pPr>
              <w:spacing w:before="0" w:after="0" w:line="240" w:lineRule="auto"/>
              <w:ind w:left="0" w:right="0" w:firstLine="0"/>
              <w:jc w:val="left"/>
            </w:pPr>
            <w:r>
              <w:rPr>
                <w:rFonts w:ascii="宋体" w:hAnsi="宋体" w:eastAsia="宋体" w:cs="宋体"/>
                <w:b w:val="0"/>
                <w:color w:val="000000"/>
                <w:sz w:val="18"/>
              </w:rPr>
              <w:t>会话管理</w:t>
            </w:r>
          </w:p>
        </w:tc>
        <w:tc>
          <w:tcPr>
            <w:tcW w:w="1430" w:type="dxa"/>
            <w:shd w:val="clear" w:color="auto" w:fill="FFFFFF"/>
            <w:vAlign w:val="center"/>
          </w:tcPr>
          <w:p w14:paraId="72000153">
            <w:pPr>
              <w:spacing w:before="0" w:after="0" w:line="240" w:lineRule="auto"/>
              <w:ind w:left="0" w:right="0" w:firstLine="0"/>
              <w:jc w:val="left"/>
            </w:pPr>
            <w:r>
              <w:rPr>
                <w:rFonts w:ascii="宋体" w:hAnsi="宋体" w:eastAsia="宋体" w:cs="宋体"/>
                <w:b w:val="0"/>
                <w:color w:val="000000"/>
                <w:sz w:val="18"/>
              </w:rPr>
              <w:t>P-ZLTC-AI-HHGL-002</w:t>
            </w:r>
          </w:p>
        </w:tc>
        <w:tc>
          <w:tcPr>
            <w:tcW w:w="2119" w:type="dxa"/>
            <w:shd w:val="clear" w:color="auto" w:fill="FFFFFF"/>
            <w:vAlign w:val="center"/>
          </w:tcPr>
          <w:p w14:paraId="72000154">
            <w:pPr>
              <w:spacing w:before="0" w:after="0" w:line="240" w:lineRule="auto"/>
              <w:ind w:left="0" w:right="0" w:firstLine="0"/>
              <w:jc w:val="left"/>
            </w:pPr>
            <w:r>
              <w:rPr>
                <w:rFonts w:ascii="宋体" w:hAnsi="宋体" w:eastAsia="宋体" w:cs="宋体"/>
                <w:b w:val="0"/>
                <w:color w:val="000000"/>
                <w:sz w:val="18"/>
              </w:rPr>
              <w:t>历史会话查看；会话继续；会话归档（含提问、应答、来源标注与会话内生成的报告）。详见5.2.4。</w:t>
            </w:r>
          </w:p>
        </w:tc>
        <w:tc>
          <w:tcPr>
            <w:tcW w:w="1521" w:type="dxa"/>
            <w:shd w:val="clear" w:color="auto" w:fill="FFFFFF"/>
            <w:vAlign w:val="center"/>
          </w:tcPr>
          <w:p w14:paraId="72000155">
            <w:pPr>
              <w:spacing w:before="0" w:after="0" w:line="240" w:lineRule="auto"/>
              <w:ind w:left="0" w:right="0" w:firstLine="0"/>
              <w:jc w:val="left"/>
            </w:pPr>
            <w:r>
              <w:rPr>
                <w:rFonts w:ascii="宋体" w:hAnsi="宋体" w:eastAsia="宋体" w:cs="宋体"/>
                <w:b w:val="0"/>
                <w:color w:val="000000"/>
                <w:sz w:val="18"/>
              </w:rPr>
              <w:t>对话工作台的问答记录</w:t>
            </w:r>
          </w:p>
        </w:tc>
        <w:tc>
          <w:tcPr>
            <w:tcW w:w="1020" w:type="dxa"/>
            <w:shd w:val="clear" w:color="auto" w:fill="FFFFFF"/>
            <w:vAlign w:val="center"/>
          </w:tcPr>
          <w:p w14:paraId="72000156">
            <w:pPr>
              <w:spacing w:before="0" w:after="0" w:line="240" w:lineRule="auto"/>
              <w:ind w:left="0" w:right="0" w:firstLine="0"/>
              <w:jc w:val="left"/>
            </w:pPr>
            <w:r>
              <w:rPr>
                <w:rFonts w:ascii="宋体" w:hAnsi="宋体" w:eastAsia="宋体" w:cs="宋体"/>
                <w:b w:val="0"/>
                <w:color w:val="000000"/>
                <w:sz w:val="18"/>
              </w:rPr>
              <w:t>个人中心、审计日志</w:t>
            </w:r>
          </w:p>
        </w:tc>
        <w:tc>
          <w:tcPr>
            <w:tcW w:w="1102" w:type="dxa"/>
            <w:shd w:val="clear" w:color="auto" w:fill="FFFFFF"/>
            <w:vAlign w:val="center"/>
          </w:tcPr>
          <w:p w14:paraId="72000157">
            <w:pPr>
              <w:spacing w:before="0" w:after="0" w:line="240" w:lineRule="auto"/>
              <w:ind w:left="0" w:right="0" w:firstLine="0"/>
              <w:jc w:val="left"/>
            </w:pPr>
            <w:r>
              <w:rPr>
                <w:rFonts w:ascii="宋体" w:hAnsi="宋体" w:eastAsia="宋体" w:cs="宋体"/>
                <w:b w:val="0"/>
                <w:color w:val="000000"/>
                <w:sz w:val="18"/>
              </w:rPr>
              <w:t>业务用户本人</w:t>
            </w:r>
          </w:p>
        </w:tc>
      </w:tr>
      <w:tr w14:paraId="72000158">
        <w:trPr>
          <w:cantSplit/>
          <w:jc w:val="center"/>
        </w:trPr>
        <w:tc>
          <w:tcPr>
            <w:tcW w:w="760" w:type="dxa"/>
            <w:vMerge w:val="continue"/>
            <w:shd w:val="clear" w:color="auto" w:fill="FFFFFF"/>
            <w:vAlign w:val="center"/>
          </w:tcPr>
          <w:p w14:paraId="72000159">
            <w:pPr>
              <w:spacing w:before="0" w:after="0" w:line="240" w:lineRule="auto"/>
              <w:ind w:left="0" w:right="0" w:firstLine="0"/>
              <w:jc w:val="left"/>
            </w:pPr>
          </w:p>
        </w:tc>
        <w:tc>
          <w:tcPr>
            <w:tcW w:w="1120" w:type="dxa"/>
            <w:shd w:val="clear" w:color="auto" w:fill="FFFFFF"/>
            <w:vAlign w:val="center"/>
          </w:tcPr>
          <w:p w14:paraId="7200015A">
            <w:pPr>
              <w:spacing w:before="0" w:after="0" w:line="240" w:lineRule="auto"/>
              <w:ind w:left="0" w:right="0" w:firstLine="0"/>
              <w:jc w:val="left"/>
            </w:pPr>
            <w:r>
              <w:rPr>
                <w:rFonts w:ascii="宋体" w:hAnsi="宋体" w:eastAsia="宋体" w:cs="宋体"/>
                <w:b w:val="0"/>
                <w:color w:val="000000"/>
                <w:sz w:val="18"/>
              </w:rPr>
              <w:t>事件订阅与推送管理</w:t>
            </w:r>
          </w:p>
        </w:tc>
        <w:tc>
          <w:tcPr>
            <w:tcW w:w="1430" w:type="dxa"/>
            <w:shd w:val="clear" w:color="auto" w:fill="FFFFFF"/>
            <w:vAlign w:val="center"/>
          </w:tcPr>
          <w:p w14:paraId="7200015B">
            <w:pPr>
              <w:spacing w:before="0" w:after="0" w:line="240" w:lineRule="auto"/>
              <w:ind w:left="0" w:right="0" w:firstLine="0"/>
              <w:jc w:val="left"/>
            </w:pPr>
            <w:r>
              <w:rPr>
                <w:rFonts w:ascii="宋体" w:hAnsi="宋体" w:eastAsia="宋体" w:cs="宋体"/>
                <w:b w:val="0"/>
                <w:color w:val="000000"/>
                <w:sz w:val="18"/>
              </w:rPr>
              <w:t>P-ZLTC-AI-SJDYYTSGL-003</w:t>
            </w:r>
          </w:p>
        </w:tc>
        <w:tc>
          <w:tcPr>
            <w:tcW w:w="2119" w:type="dxa"/>
            <w:shd w:val="clear" w:color="auto" w:fill="FFFFFF"/>
            <w:vAlign w:val="center"/>
          </w:tcPr>
          <w:p w14:paraId="7200015C">
            <w:pPr>
              <w:spacing w:before="0" w:after="0" w:line="240" w:lineRule="auto"/>
              <w:ind w:left="0" w:right="0" w:firstLine="0"/>
              <w:jc w:val="left"/>
            </w:pPr>
            <w:r>
              <w:rPr>
                <w:rFonts w:ascii="宋体" w:hAnsi="宋体" w:eastAsia="宋体" w:cs="宋体"/>
                <w:b w:val="0"/>
                <w:color w:val="000000"/>
                <w:sz w:val="18"/>
              </w:rPr>
              <w:t>按事件类型与组织范围订阅及退订；权限硬校验与管理员审核；预警卡落地页与已读回执；同源事件聚合抑制；超时未读升级提醒。详见5.2.5。</w:t>
            </w:r>
          </w:p>
        </w:tc>
        <w:tc>
          <w:tcPr>
            <w:tcW w:w="1521" w:type="dxa"/>
            <w:shd w:val="clear" w:color="auto" w:fill="FFFFFF"/>
            <w:vAlign w:val="center"/>
          </w:tcPr>
          <w:p w14:paraId="7200015D">
            <w:pPr>
              <w:spacing w:before="0" w:after="0" w:line="240" w:lineRule="auto"/>
              <w:ind w:left="0" w:right="0" w:firstLine="0"/>
              <w:jc w:val="left"/>
            </w:pPr>
            <w:r>
              <w:rPr>
                <w:rFonts w:ascii="宋体" w:hAnsi="宋体" w:eastAsia="宋体" w:cs="宋体"/>
                <w:b w:val="0"/>
                <w:color w:val="000000"/>
                <w:sz w:val="18"/>
              </w:rPr>
              <w:t>事件接入总线的事件、事件登记卡配置、AI优化平台业务授权配置</w:t>
            </w:r>
          </w:p>
        </w:tc>
        <w:tc>
          <w:tcPr>
            <w:tcW w:w="1020" w:type="dxa"/>
            <w:shd w:val="clear" w:color="auto" w:fill="FFFFFF"/>
            <w:vAlign w:val="center"/>
          </w:tcPr>
          <w:p w14:paraId="7200015E">
            <w:pPr>
              <w:spacing w:before="0" w:after="0" w:line="240" w:lineRule="auto"/>
              <w:ind w:left="0" w:right="0" w:firstLine="0"/>
              <w:jc w:val="left"/>
            </w:pPr>
            <w:r>
              <w:rPr>
                <w:rFonts w:ascii="宋体" w:hAnsi="宋体" w:eastAsia="宋体" w:cs="宋体"/>
                <w:b w:val="0"/>
                <w:color w:val="000000"/>
                <w:sz w:val="18"/>
              </w:rPr>
              <w:t>订阅用户与责任人、统一门户消息通道</w:t>
            </w:r>
          </w:p>
        </w:tc>
        <w:tc>
          <w:tcPr>
            <w:tcW w:w="1102" w:type="dxa"/>
            <w:shd w:val="clear" w:color="auto" w:fill="FFFFFF"/>
            <w:vAlign w:val="center"/>
          </w:tcPr>
          <w:p w14:paraId="7200015F">
            <w:pPr>
              <w:spacing w:before="0" w:after="0" w:line="240" w:lineRule="auto"/>
              <w:ind w:left="0" w:right="0" w:firstLine="0"/>
              <w:jc w:val="left"/>
            </w:pPr>
            <w:r>
              <w:rPr>
                <w:rFonts w:ascii="宋体" w:hAnsi="宋体" w:eastAsia="宋体" w:cs="宋体"/>
                <w:b w:val="0"/>
                <w:color w:val="000000"/>
                <w:sz w:val="18"/>
              </w:rPr>
              <w:t>全部业务用户、平台管理员</w:t>
            </w:r>
          </w:p>
        </w:tc>
      </w:tr>
      <w:tr w14:paraId="72000160">
        <w:trPr>
          <w:cantSplit/>
          <w:jc w:val="center"/>
        </w:trPr>
        <w:tc>
          <w:tcPr>
            <w:tcW w:w="760" w:type="dxa"/>
            <w:vMerge w:val="continue"/>
            <w:shd w:val="clear" w:color="auto" w:fill="FFFFFF"/>
            <w:vAlign w:val="center"/>
          </w:tcPr>
          <w:p w14:paraId="72000161">
            <w:pPr>
              <w:spacing w:before="0" w:after="0" w:line="240" w:lineRule="auto"/>
              <w:ind w:left="0" w:right="0" w:firstLine="0"/>
              <w:jc w:val="left"/>
            </w:pPr>
          </w:p>
        </w:tc>
        <w:tc>
          <w:tcPr>
            <w:tcW w:w="1120" w:type="dxa"/>
            <w:shd w:val="clear" w:color="auto" w:fill="FFFFFF"/>
            <w:vAlign w:val="center"/>
          </w:tcPr>
          <w:p w14:paraId="72000162">
            <w:pPr>
              <w:spacing w:before="0" w:after="0" w:line="240" w:lineRule="auto"/>
              <w:ind w:left="0" w:right="0" w:firstLine="0"/>
              <w:jc w:val="left"/>
            </w:pPr>
            <w:r>
              <w:rPr>
                <w:rFonts w:ascii="宋体" w:hAnsi="宋体" w:eastAsia="宋体" w:cs="宋体"/>
                <w:b w:val="0"/>
                <w:color w:val="000000"/>
                <w:sz w:val="18"/>
              </w:rPr>
              <w:t>报告收件箱与分析结论台账</w:t>
            </w:r>
          </w:p>
        </w:tc>
        <w:tc>
          <w:tcPr>
            <w:tcW w:w="1430" w:type="dxa"/>
            <w:shd w:val="clear" w:color="auto" w:fill="FFFFFF"/>
            <w:vAlign w:val="center"/>
          </w:tcPr>
          <w:p w14:paraId="72000163">
            <w:pPr>
              <w:spacing w:before="0" w:after="0" w:line="240" w:lineRule="auto"/>
              <w:ind w:left="0" w:right="0" w:firstLine="0"/>
              <w:jc w:val="left"/>
            </w:pPr>
            <w:r>
              <w:rPr>
                <w:rFonts w:ascii="宋体" w:hAnsi="宋体" w:eastAsia="宋体" w:cs="宋体"/>
                <w:b w:val="0"/>
                <w:color w:val="000000"/>
                <w:sz w:val="18"/>
              </w:rPr>
              <w:t>P-ZLTC-AI-BGSJXYFXJLTZ-004</w:t>
            </w:r>
          </w:p>
        </w:tc>
        <w:tc>
          <w:tcPr>
            <w:tcW w:w="2119" w:type="dxa"/>
            <w:shd w:val="clear" w:color="auto" w:fill="FFFFFF"/>
            <w:vAlign w:val="center"/>
          </w:tcPr>
          <w:p w14:paraId="72000164">
            <w:pPr>
              <w:spacing w:before="0" w:after="0" w:line="240" w:lineRule="auto"/>
              <w:ind w:left="0" w:right="0" w:firstLine="0"/>
              <w:jc w:val="left"/>
            </w:pPr>
            <w:r>
              <w:rPr>
                <w:rFonts w:ascii="宋体" w:hAnsi="宋体" w:eastAsia="宋体" w:cs="宋体"/>
                <w:b w:val="0"/>
                <w:color w:val="000000"/>
                <w:sz w:val="18"/>
              </w:rPr>
              <w:t>订阅触发的分析报告归档；结构化信息登记；责任人确认状态跟踪；历史结论检索；报告详情按事件编号追问下钻。详见5.2.6。</w:t>
            </w:r>
          </w:p>
        </w:tc>
        <w:tc>
          <w:tcPr>
            <w:tcW w:w="1521" w:type="dxa"/>
            <w:shd w:val="clear" w:color="auto" w:fill="FFFFFF"/>
            <w:vAlign w:val="center"/>
          </w:tcPr>
          <w:p w14:paraId="72000165">
            <w:pPr>
              <w:spacing w:before="0" w:after="0" w:line="240" w:lineRule="auto"/>
              <w:ind w:left="0" w:right="0" w:firstLine="0"/>
              <w:jc w:val="left"/>
            </w:pPr>
            <w:r>
              <w:rPr>
                <w:rFonts w:ascii="宋体" w:hAnsi="宋体" w:eastAsia="宋体" w:cs="宋体"/>
                <w:b w:val="0"/>
                <w:color w:val="000000"/>
                <w:sz w:val="18"/>
              </w:rPr>
              <w:t>场景子智能体产出的分析报告、确认动作</w:t>
            </w:r>
          </w:p>
        </w:tc>
        <w:tc>
          <w:tcPr>
            <w:tcW w:w="1020" w:type="dxa"/>
            <w:shd w:val="clear" w:color="auto" w:fill="FFFFFF"/>
            <w:vAlign w:val="center"/>
          </w:tcPr>
          <w:p w14:paraId="72000166">
            <w:pPr>
              <w:spacing w:before="0" w:after="0" w:line="240" w:lineRule="auto"/>
              <w:ind w:left="0" w:right="0" w:firstLine="0"/>
              <w:jc w:val="left"/>
            </w:pPr>
            <w:r>
              <w:rPr>
                <w:rFonts w:ascii="宋体" w:hAnsi="宋体" w:eastAsia="宋体" w:cs="宋体"/>
                <w:b w:val="0"/>
                <w:color w:val="000000"/>
                <w:sz w:val="18"/>
              </w:rPr>
              <w:t>知识回灌队列、使用与价值统计、问答侧的结论引用</w:t>
            </w:r>
          </w:p>
        </w:tc>
        <w:tc>
          <w:tcPr>
            <w:tcW w:w="1102" w:type="dxa"/>
            <w:shd w:val="clear" w:color="auto" w:fill="FFFFFF"/>
            <w:vAlign w:val="center"/>
          </w:tcPr>
          <w:p w14:paraId="72000167">
            <w:pPr>
              <w:spacing w:before="0" w:after="0" w:line="240" w:lineRule="auto"/>
              <w:ind w:left="0" w:right="0" w:firstLine="0"/>
              <w:jc w:val="left"/>
            </w:pPr>
            <w:r>
              <w:rPr>
                <w:rFonts w:ascii="宋体" w:hAnsi="宋体" w:eastAsia="宋体" w:cs="宋体"/>
                <w:b w:val="0"/>
                <w:color w:val="000000"/>
                <w:sz w:val="18"/>
              </w:rPr>
              <w:t>全部业务用户</w:t>
            </w:r>
          </w:p>
        </w:tc>
      </w:tr>
      <w:tr w14:paraId="72000168">
        <w:trPr>
          <w:cantSplit/>
          <w:jc w:val="center"/>
        </w:trPr>
        <w:tc>
          <w:tcPr>
            <w:tcW w:w="760" w:type="dxa"/>
            <w:vMerge w:val="continue"/>
            <w:shd w:val="clear" w:color="auto" w:fill="FFFFFF"/>
            <w:vAlign w:val="center"/>
          </w:tcPr>
          <w:p w14:paraId="72000169">
            <w:pPr>
              <w:spacing w:before="0" w:after="0" w:line="240" w:lineRule="auto"/>
              <w:ind w:left="0" w:right="0" w:firstLine="0"/>
              <w:jc w:val="left"/>
            </w:pPr>
          </w:p>
        </w:tc>
        <w:tc>
          <w:tcPr>
            <w:tcW w:w="1120" w:type="dxa"/>
            <w:shd w:val="clear" w:color="auto" w:fill="FFFFFF"/>
            <w:vAlign w:val="center"/>
          </w:tcPr>
          <w:p w14:paraId="7200016A">
            <w:pPr>
              <w:spacing w:before="0" w:after="0" w:line="240" w:lineRule="auto"/>
              <w:ind w:left="0" w:right="0" w:firstLine="0"/>
              <w:jc w:val="left"/>
            </w:pPr>
            <w:r>
              <w:rPr>
                <w:rFonts w:ascii="宋体" w:hAnsi="宋体" w:eastAsia="宋体" w:cs="宋体"/>
                <w:b w:val="0"/>
                <w:color w:val="000000"/>
                <w:sz w:val="18"/>
              </w:rPr>
              <w:t>反馈与通知</w:t>
            </w:r>
          </w:p>
        </w:tc>
        <w:tc>
          <w:tcPr>
            <w:tcW w:w="1430" w:type="dxa"/>
            <w:shd w:val="clear" w:color="auto" w:fill="FFFFFF"/>
            <w:vAlign w:val="center"/>
          </w:tcPr>
          <w:p w14:paraId="7200016B">
            <w:pPr>
              <w:spacing w:before="0" w:after="0" w:line="240" w:lineRule="auto"/>
              <w:ind w:left="0" w:right="0" w:firstLine="0"/>
              <w:jc w:val="left"/>
            </w:pPr>
            <w:r>
              <w:rPr>
                <w:rFonts w:ascii="宋体" w:hAnsi="宋体" w:eastAsia="宋体" w:cs="宋体"/>
                <w:b w:val="0"/>
                <w:color w:val="000000"/>
                <w:sz w:val="18"/>
              </w:rPr>
              <w:t>P-ZLTC-AI-FKYTZ-005</w:t>
            </w:r>
          </w:p>
        </w:tc>
        <w:tc>
          <w:tcPr>
            <w:tcW w:w="2119" w:type="dxa"/>
            <w:shd w:val="clear" w:color="auto" w:fill="FFFFFF"/>
            <w:vAlign w:val="center"/>
          </w:tcPr>
          <w:p w14:paraId="7200016C">
            <w:pPr>
              <w:spacing w:before="0" w:after="0" w:line="240" w:lineRule="auto"/>
              <w:ind w:left="0" w:right="0" w:firstLine="0"/>
              <w:jc w:val="left"/>
            </w:pPr>
            <w:r>
              <w:rPr>
                <w:rFonts w:ascii="宋体" w:hAnsi="宋体" w:eastAsia="宋体" w:cs="宋体"/>
                <w:b w:val="0"/>
                <w:color w:val="000000"/>
                <w:sz w:val="18"/>
              </w:rPr>
              <w:t>点赞点踩；报告评价与确认的信号分离；处理结果通知；无权限拒答的申请指引。详见5.2.7。</w:t>
            </w:r>
          </w:p>
        </w:tc>
        <w:tc>
          <w:tcPr>
            <w:tcW w:w="1521" w:type="dxa"/>
            <w:shd w:val="clear" w:color="auto" w:fill="FFFFFF"/>
            <w:vAlign w:val="center"/>
          </w:tcPr>
          <w:p w14:paraId="7200016D">
            <w:pPr>
              <w:spacing w:before="0" w:after="0" w:line="240" w:lineRule="auto"/>
              <w:ind w:left="0" w:right="0" w:firstLine="0"/>
              <w:jc w:val="left"/>
            </w:pPr>
            <w:r>
              <w:rPr>
                <w:rFonts w:ascii="宋体" w:hAnsi="宋体" w:eastAsia="宋体" w:cs="宋体"/>
                <w:b w:val="0"/>
                <w:color w:val="000000"/>
                <w:sz w:val="18"/>
              </w:rPr>
              <w:t>用户反馈动作、问题工单处理结果、知识补齐与数据接入的关单动作</w:t>
            </w:r>
          </w:p>
        </w:tc>
        <w:tc>
          <w:tcPr>
            <w:tcW w:w="1020" w:type="dxa"/>
            <w:shd w:val="clear" w:color="auto" w:fill="FFFFFF"/>
            <w:vAlign w:val="center"/>
          </w:tcPr>
          <w:p w14:paraId="7200016E">
            <w:pPr>
              <w:spacing w:before="0" w:after="0" w:line="240" w:lineRule="auto"/>
              <w:ind w:left="0" w:right="0" w:firstLine="0"/>
              <w:jc w:val="left"/>
            </w:pPr>
            <w:r>
              <w:rPr>
                <w:rFonts w:ascii="宋体" w:hAnsi="宋体" w:eastAsia="宋体" w:cs="宋体"/>
                <w:b w:val="0"/>
                <w:color w:val="000000"/>
                <w:sz w:val="18"/>
              </w:rPr>
              <w:t>问题工单队列、使用与价值统计、个人中心通知栏</w:t>
            </w:r>
          </w:p>
        </w:tc>
        <w:tc>
          <w:tcPr>
            <w:tcW w:w="1102" w:type="dxa"/>
            <w:shd w:val="clear" w:color="auto" w:fill="FFFFFF"/>
            <w:vAlign w:val="center"/>
          </w:tcPr>
          <w:p w14:paraId="7200016F">
            <w:pPr>
              <w:spacing w:before="0" w:after="0" w:line="240" w:lineRule="auto"/>
              <w:ind w:left="0" w:right="0" w:firstLine="0"/>
              <w:jc w:val="left"/>
            </w:pPr>
            <w:r>
              <w:rPr>
                <w:rFonts w:ascii="宋体" w:hAnsi="宋体" w:eastAsia="宋体" w:cs="宋体"/>
                <w:b w:val="0"/>
                <w:color w:val="000000"/>
                <w:sz w:val="18"/>
              </w:rPr>
              <w:t>全部业务用户</w:t>
            </w:r>
          </w:p>
        </w:tc>
      </w:tr>
      <w:tr w14:paraId="72000170">
        <w:trPr>
          <w:cantSplit/>
          <w:jc w:val="center"/>
        </w:trPr>
        <w:tc>
          <w:tcPr>
            <w:tcW w:w="760" w:type="dxa"/>
            <w:vMerge w:val="restart"/>
            <w:shd w:val="clear" w:color="auto" w:fill="FFFFFF"/>
            <w:vAlign w:val="center"/>
          </w:tcPr>
          <w:p w14:paraId="72000171">
            <w:pPr>
              <w:spacing w:before="0" w:after="0" w:line="240" w:lineRule="auto"/>
              <w:ind w:left="0" w:right="0" w:firstLine="0"/>
              <w:jc w:val="left"/>
            </w:pPr>
            <w:r>
              <w:rPr>
                <w:rFonts w:ascii="宋体" w:hAnsi="宋体" w:eastAsia="宋体" w:cs="宋体"/>
                <w:b w:val="0"/>
                <w:color w:val="000000"/>
                <w:sz w:val="18"/>
              </w:rPr>
              <w:t>场景智能体层</w:t>
            </w:r>
          </w:p>
        </w:tc>
        <w:tc>
          <w:tcPr>
            <w:tcW w:w="1120" w:type="dxa"/>
            <w:shd w:val="clear" w:color="auto" w:fill="FFFFFF"/>
            <w:vAlign w:val="center"/>
          </w:tcPr>
          <w:p w14:paraId="72000172">
            <w:pPr>
              <w:spacing w:before="0" w:after="0" w:line="240" w:lineRule="auto"/>
              <w:ind w:left="0" w:right="0" w:firstLine="0"/>
              <w:jc w:val="left"/>
            </w:pPr>
            <w:r>
              <w:rPr>
                <w:rFonts w:ascii="宋体" w:hAnsi="宋体" w:eastAsia="宋体" w:cs="宋体"/>
                <w:b w:val="0"/>
                <w:color w:val="000000"/>
                <w:sz w:val="18"/>
              </w:rPr>
              <w:t>智能问数</w:t>
            </w:r>
          </w:p>
        </w:tc>
        <w:tc>
          <w:tcPr>
            <w:tcW w:w="1430" w:type="dxa"/>
            <w:shd w:val="clear" w:color="auto" w:fill="FFFFFF"/>
            <w:vAlign w:val="center"/>
          </w:tcPr>
          <w:p w14:paraId="72000173">
            <w:pPr>
              <w:spacing w:before="0" w:after="0" w:line="240" w:lineRule="auto"/>
              <w:ind w:left="0" w:right="0" w:firstLine="0"/>
              <w:jc w:val="left"/>
            </w:pPr>
            <w:r>
              <w:rPr>
                <w:rFonts w:ascii="宋体" w:hAnsi="宋体" w:eastAsia="宋体" w:cs="宋体"/>
                <w:b w:val="0"/>
                <w:color w:val="000000"/>
                <w:sz w:val="18"/>
              </w:rPr>
              <w:t>P-ZLTC-AI-ZNWS-006</w:t>
            </w:r>
          </w:p>
        </w:tc>
        <w:tc>
          <w:tcPr>
            <w:tcW w:w="2119" w:type="dxa"/>
            <w:shd w:val="clear" w:color="auto" w:fill="FFFFFF"/>
            <w:vAlign w:val="center"/>
          </w:tcPr>
          <w:p w14:paraId="72000174">
            <w:pPr>
              <w:spacing w:before="0" w:after="0" w:line="240" w:lineRule="auto"/>
              <w:ind w:left="0" w:right="0" w:firstLine="0"/>
              <w:jc w:val="left"/>
            </w:pPr>
            <w:r>
              <w:rPr>
                <w:rFonts w:ascii="宋体" w:hAnsi="宋体" w:eastAsia="宋体" w:cs="宋体"/>
                <w:b w:val="0"/>
                <w:color w:val="000000"/>
                <w:sz w:val="18"/>
              </w:rPr>
              <w:t>已接入范围内的指标查询与对比排名、主数据清单、对象状态快照、关联关系及指标口径查询；查询对应判定标准；即席图表、追问与数据接入需求线索记录。详见5.3.1.1。</w:t>
            </w:r>
          </w:p>
        </w:tc>
        <w:tc>
          <w:tcPr>
            <w:tcW w:w="1521" w:type="dxa"/>
            <w:shd w:val="clear" w:color="auto" w:fill="FFFFFF"/>
            <w:vAlign w:val="center"/>
          </w:tcPr>
          <w:p w14:paraId="72000175">
            <w:pPr>
              <w:spacing w:before="0" w:after="0" w:line="240" w:lineRule="auto"/>
              <w:ind w:left="0" w:right="0" w:firstLine="0"/>
              <w:jc w:val="left"/>
            </w:pPr>
            <w:r>
              <w:rPr>
                <w:rFonts w:ascii="宋体" w:hAnsi="宋体" w:eastAsia="宋体" w:cs="宋体"/>
                <w:b w:val="0"/>
                <w:color w:val="000000"/>
                <w:sz w:val="18"/>
              </w:rPr>
              <w:t>AI数据治理提供的业务数据、主数据、指标语义与判定基准；已建知识关系、查询模板及已接入的报警与事件</w:t>
            </w:r>
          </w:p>
        </w:tc>
        <w:tc>
          <w:tcPr>
            <w:tcW w:w="1020" w:type="dxa"/>
            <w:shd w:val="clear" w:color="auto" w:fill="FFFFFF"/>
            <w:vAlign w:val="center"/>
          </w:tcPr>
          <w:p w14:paraId="72000176">
            <w:pPr>
              <w:spacing w:before="0" w:after="0" w:line="240" w:lineRule="auto"/>
              <w:ind w:left="0" w:right="0" w:firstLine="0"/>
              <w:jc w:val="left"/>
            </w:pPr>
            <w:r>
              <w:rPr>
                <w:rFonts w:ascii="宋体" w:hAnsi="宋体" w:eastAsia="宋体" w:cs="宋体"/>
                <w:b w:val="0"/>
                <w:color w:val="000000"/>
                <w:sz w:val="18"/>
              </w:rPr>
              <w:t>会话应答、即席图表与导出文件；原因追问转对应归因场景；未接入需求转改进线索</w:t>
            </w:r>
          </w:p>
        </w:tc>
        <w:tc>
          <w:tcPr>
            <w:tcW w:w="1102" w:type="dxa"/>
            <w:shd w:val="clear" w:color="auto" w:fill="FFFFFF"/>
            <w:vAlign w:val="center"/>
          </w:tcPr>
          <w:p w14:paraId="72000177">
            <w:pPr>
              <w:spacing w:before="0" w:after="0" w:line="240" w:lineRule="auto"/>
              <w:ind w:left="0" w:right="0" w:firstLine="0"/>
              <w:jc w:val="left"/>
            </w:pPr>
            <w:r>
              <w:rPr>
                <w:rFonts w:ascii="宋体" w:hAnsi="宋体" w:eastAsia="宋体" w:cs="宋体"/>
                <w:b w:val="0"/>
                <w:color w:val="000000"/>
                <w:sz w:val="18"/>
              </w:rPr>
              <w:t>全部业务角色</w:t>
            </w:r>
          </w:p>
        </w:tc>
      </w:tr>
      <w:tr w14:paraId="72000178">
        <w:trPr>
          <w:cantSplit/>
          <w:jc w:val="center"/>
        </w:trPr>
        <w:tc>
          <w:tcPr>
            <w:tcW w:w="760" w:type="dxa"/>
            <w:vMerge w:val="continue"/>
            <w:shd w:val="clear" w:color="auto" w:fill="FFFFFF"/>
            <w:vAlign w:val="center"/>
          </w:tcPr>
          <w:p w14:paraId="72000179">
            <w:pPr>
              <w:spacing w:before="0" w:after="0" w:line="240" w:lineRule="auto"/>
              <w:ind w:left="0" w:right="0" w:firstLine="0"/>
              <w:jc w:val="left"/>
            </w:pPr>
          </w:p>
        </w:tc>
        <w:tc>
          <w:tcPr>
            <w:tcW w:w="1120" w:type="dxa"/>
            <w:shd w:val="clear" w:color="auto" w:fill="FFFFFF"/>
            <w:vAlign w:val="center"/>
          </w:tcPr>
          <w:p w14:paraId="7200017A">
            <w:pPr>
              <w:spacing w:before="0" w:after="0" w:line="240" w:lineRule="auto"/>
              <w:ind w:left="0" w:right="0" w:firstLine="0"/>
              <w:jc w:val="left"/>
            </w:pPr>
            <w:r>
              <w:rPr>
                <w:rFonts w:ascii="宋体" w:hAnsi="宋体" w:eastAsia="宋体" w:cs="宋体"/>
                <w:b w:val="0"/>
                <w:color w:val="000000"/>
                <w:sz w:val="18"/>
              </w:rPr>
              <w:t>实时物料平衡根因分析</w:t>
            </w:r>
          </w:p>
        </w:tc>
        <w:tc>
          <w:tcPr>
            <w:tcW w:w="1430" w:type="dxa"/>
            <w:shd w:val="clear" w:color="auto" w:fill="FFFFFF"/>
            <w:vAlign w:val="center"/>
          </w:tcPr>
          <w:p w14:paraId="7200017B">
            <w:pPr>
              <w:spacing w:before="0" w:after="0" w:line="240" w:lineRule="auto"/>
              <w:ind w:left="0" w:right="0" w:firstLine="0"/>
              <w:jc w:val="left"/>
            </w:pPr>
            <w:r>
              <w:rPr>
                <w:rFonts w:ascii="宋体" w:hAnsi="宋体" w:eastAsia="宋体" w:cs="宋体"/>
                <w:b w:val="0"/>
                <w:color w:val="000000"/>
                <w:sz w:val="18"/>
              </w:rPr>
              <w:t>P-ZLTC-AI-SSWLPHGYFX-007</w:t>
            </w:r>
          </w:p>
        </w:tc>
        <w:tc>
          <w:tcPr>
            <w:tcW w:w="2119" w:type="dxa"/>
            <w:shd w:val="clear" w:color="auto" w:fill="FFFFFF"/>
            <w:vAlign w:val="center"/>
          </w:tcPr>
          <w:p w14:paraId="7200017C">
            <w:pPr>
              <w:spacing w:before="0" w:after="0" w:line="240" w:lineRule="auto"/>
              <w:ind w:left="0" w:right="0" w:firstLine="0"/>
              <w:jc w:val="left"/>
            </w:pPr>
            <w:r>
              <w:rPr>
                <w:rFonts w:ascii="宋体" w:hAnsi="宋体" w:eastAsia="宋体" w:cs="宋体"/>
                <w:b w:val="0"/>
                <w:color w:val="000000"/>
                <w:sz w:val="18"/>
              </w:rPr>
              <w:t>按工序与时间切片组织实时计量和生产数据，依据已确认的物料平衡算法与规则由程序计算投入、产出及偏差；沿工艺拓扑核对工况、设备与计量证据，区分真实损耗和计量偏差，形成已验证原因、排除项和待验证候选。详见5.3.2.1。</w:t>
            </w:r>
          </w:p>
        </w:tc>
        <w:tc>
          <w:tcPr>
            <w:tcW w:w="1521" w:type="dxa"/>
            <w:shd w:val="clear" w:color="auto" w:fill="FFFFFF"/>
            <w:vAlign w:val="center"/>
          </w:tcPr>
          <w:p w14:paraId="7200017D">
            <w:pPr>
              <w:spacing w:before="0" w:after="0" w:line="240" w:lineRule="auto"/>
              <w:ind w:left="0" w:right="0" w:firstLine="0"/>
              <w:jc w:val="left"/>
            </w:pPr>
            <w:r>
              <w:rPr>
                <w:rFonts w:ascii="宋体" w:hAnsi="宋体" w:eastAsia="宋体" w:cs="宋体"/>
                <w:b w:val="0"/>
                <w:color w:val="000000"/>
                <w:sz w:val="18"/>
              </w:rPr>
              <w:t>AI数据治理提供的DCS与实时数据库、MES、EAM、PHM数据及事件；工艺拓扑、切片规则、计量边界、允许损失率、偏差阈值和标定依据</w:t>
            </w:r>
          </w:p>
        </w:tc>
        <w:tc>
          <w:tcPr>
            <w:tcW w:w="1020" w:type="dxa"/>
            <w:shd w:val="clear" w:color="auto" w:fill="FFFFFF"/>
            <w:vAlign w:val="center"/>
          </w:tcPr>
          <w:p w14:paraId="7200017E">
            <w:pPr>
              <w:spacing w:before="0" w:after="0" w:line="240" w:lineRule="auto"/>
              <w:ind w:left="0" w:right="0" w:firstLine="0"/>
              <w:jc w:val="left"/>
            </w:pPr>
            <w:r>
              <w:rPr>
                <w:rFonts w:ascii="宋体" w:hAnsi="宋体" w:eastAsia="宋体" w:cs="宋体"/>
                <w:b w:val="0"/>
                <w:color w:val="000000"/>
                <w:sz w:val="18"/>
              </w:rPr>
              <w:t>实时偏差事件、原因分析报告与处置建议；授权推送、结论确认与知识审核</w:t>
            </w:r>
          </w:p>
        </w:tc>
        <w:tc>
          <w:tcPr>
            <w:tcW w:w="1102" w:type="dxa"/>
            <w:shd w:val="clear" w:color="auto" w:fill="FFFFFF"/>
            <w:vAlign w:val="center"/>
          </w:tcPr>
          <w:p w14:paraId="7200017F">
            <w:pPr>
              <w:spacing w:before="0" w:after="0" w:line="240" w:lineRule="auto"/>
              <w:ind w:left="0" w:right="0" w:firstLine="0"/>
              <w:jc w:val="left"/>
            </w:pPr>
            <w:r>
              <w:rPr>
                <w:rFonts w:ascii="宋体" w:hAnsi="宋体" w:eastAsia="宋体" w:cs="宋体"/>
                <w:b w:val="0"/>
                <w:color w:val="000000"/>
                <w:sz w:val="18"/>
              </w:rPr>
              <w:t>工艺工程师、生产管理人员</w:t>
            </w:r>
          </w:p>
        </w:tc>
      </w:tr>
      <w:tr w14:paraId="72000180">
        <w:trPr>
          <w:cantSplit/>
          <w:jc w:val="center"/>
        </w:trPr>
        <w:tc>
          <w:tcPr>
            <w:tcW w:w="760" w:type="dxa"/>
            <w:vMerge w:val="continue"/>
            <w:shd w:val="clear" w:color="auto" w:fill="FFFFFF"/>
            <w:vAlign w:val="center"/>
          </w:tcPr>
          <w:p w14:paraId="72000181">
            <w:pPr>
              <w:spacing w:before="0" w:after="0" w:line="240" w:lineRule="auto"/>
              <w:ind w:left="0" w:right="0" w:firstLine="0"/>
              <w:jc w:val="left"/>
            </w:pPr>
          </w:p>
        </w:tc>
        <w:tc>
          <w:tcPr>
            <w:tcW w:w="1120" w:type="dxa"/>
            <w:shd w:val="clear" w:color="auto" w:fill="FFFFFF"/>
            <w:vAlign w:val="center"/>
          </w:tcPr>
          <w:p w14:paraId="72000182">
            <w:pPr>
              <w:spacing w:before="0" w:after="0" w:line="240" w:lineRule="auto"/>
              <w:ind w:left="0" w:right="0" w:firstLine="0"/>
              <w:jc w:val="left"/>
            </w:pPr>
            <w:r>
              <w:rPr>
                <w:rFonts w:ascii="宋体" w:hAnsi="宋体" w:eastAsia="宋体" w:cs="宋体"/>
                <w:b w:val="0"/>
                <w:color w:val="000000"/>
                <w:sz w:val="18"/>
              </w:rPr>
              <w:t>实时能量平衡根因分析</w:t>
            </w:r>
          </w:p>
        </w:tc>
        <w:tc>
          <w:tcPr>
            <w:tcW w:w="1430" w:type="dxa"/>
            <w:shd w:val="clear" w:color="auto" w:fill="FFFFFF"/>
            <w:vAlign w:val="center"/>
          </w:tcPr>
          <w:p w14:paraId="72000183">
            <w:pPr>
              <w:spacing w:before="0" w:after="0" w:line="240" w:lineRule="auto"/>
              <w:ind w:left="0" w:right="0" w:firstLine="0"/>
              <w:jc w:val="left"/>
            </w:pPr>
            <w:r>
              <w:rPr>
                <w:rFonts w:ascii="宋体" w:hAnsi="宋体" w:eastAsia="宋体" w:cs="宋体"/>
                <w:b w:val="0"/>
                <w:color w:val="000000"/>
                <w:sz w:val="18"/>
              </w:rPr>
              <w:t>P-ZLTC-AI-SSNLPHGYFX-008</w:t>
            </w:r>
          </w:p>
        </w:tc>
        <w:tc>
          <w:tcPr>
            <w:tcW w:w="2119" w:type="dxa"/>
            <w:shd w:val="clear" w:color="auto" w:fill="FFFFFF"/>
            <w:vAlign w:val="center"/>
          </w:tcPr>
          <w:p w14:paraId="72000184">
            <w:pPr>
              <w:spacing w:before="0" w:after="0" w:line="240" w:lineRule="auto"/>
              <w:ind w:left="0" w:right="0" w:firstLine="0"/>
              <w:jc w:val="left"/>
            </w:pPr>
            <w:r>
              <w:rPr>
                <w:rFonts w:ascii="宋体" w:hAnsi="宋体" w:eastAsia="宋体" w:cs="宋体"/>
                <w:b w:val="0"/>
                <w:color w:val="000000"/>
                <w:sz w:val="18"/>
              </w:rPr>
              <w:t>按工序与时间切片组织温度、压力、流量等实时数据，依据已确认的能量平衡算法与规则由程序计算输入、输出及差额；沿热力网络核证热损失区段、设备与工况，形成分级原因及温控、换热改进建议。详见5.3.2.2。</w:t>
            </w:r>
          </w:p>
        </w:tc>
        <w:tc>
          <w:tcPr>
            <w:tcW w:w="1521" w:type="dxa"/>
            <w:shd w:val="clear" w:color="auto" w:fill="FFFFFF"/>
            <w:vAlign w:val="center"/>
          </w:tcPr>
          <w:p w14:paraId="72000185">
            <w:pPr>
              <w:spacing w:before="0" w:after="0" w:line="240" w:lineRule="auto"/>
              <w:ind w:left="0" w:right="0" w:firstLine="0"/>
              <w:jc w:val="left"/>
            </w:pPr>
            <w:r>
              <w:rPr>
                <w:rFonts w:ascii="宋体" w:hAnsi="宋体" w:eastAsia="宋体" w:cs="宋体"/>
                <w:b w:val="0"/>
                <w:color w:val="000000"/>
                <w:sz w:val="18"/>
              </w:rPr>
              <w:t>AI数据治理提供的DCS、EMS、EAM数据及事件；热力网络拓扑、时间切片和能量边界、设计值、核算规则及设备检修资料</w:t>
            </w:r>
          </w:p>
        </w:tc>
        <w:tc>
          <w:tcPr>
            <w:tcW w:w="1020" w:type="dxa"/>
            <w:shd w:val="clear" w:color="auto" w:fill="FFFFFF"/>
            <w:vAlign w:val="center"/>
          </w:tcPr>
          <w:p w14:paraId="72000186">
            <w:pPr>
              <w:spacing w:before="0" w:after="0" w:line="240" w:lineRule="auto"/>
              <w:ind w:left="0" w:right="0" w:firstLine="0"/>
              <w:jc w:val="left"/>
            </w:pPr>
            <w:r>
              <w:rPr>
                <w:rFonts w:ascii="宋体" w:hAnsi="宋体" w:eastAsia="宋体" w:cs="宋体"/>
                <w:b w:val="0"/>
                <w:color w:val="000000"/>
                <w:sz w:val="18"/>
              </w:rPr>
              <w:t>实时偏差事件、原因分析报告与改进建议；授权推送、结论确认与知识审核</w:t>
            </w:r>
          </w:p>
        </w:tc>
        <w:tc>
          <w:tcPr>
            <w:tcW w:w="1102" w:type="dxa"/>
            <w:shd w:val="clear" w:color="auto" w:fill="FFFFFF"/>
            <w:vAlign w:val="center"/>
          </w:tcPr>
          <w:p w14:paraId="72000187">
            <w:pPr>
              <w:spacing w:before="0" w:after="0" w:line="240" w:lineRule="auto"/>
              <w:ind w:left="0" w:right="0" w:firstLine="0"/>
              <w:jc w:val="left"/>
            </w:pPr>
            <w:r>
              <w:rPr>
                <w:rFonts w:ascii="宋体" w:hAnsi="宋体" w:eastAsia="宋体" w:cs="宋体"/>
                <w:b w:val="0"/>
                <w:color w:val="000000"/>
                <w:sz w:val="18"/>
              </w:rPr>
              <w:t>工艺工程师、能源管理员</w:t>
            </w:r>
          </w:p>
        </w:tc>
      </w:tr>
      <w:tr w14:paraId="72000188">
        <w:trPr>
          <w:cantSplit/>
          <w:jc w:val="center"/>
        </w:trPr>
        <w:tc>
          <w:tcPr>
            <w:tcW w:w="760" w:type="dxa"/>
            <w:vMerge w:val="continue"/>
            <w:shd w:val="clear" w:color="auto" w:fill="FFFFFF"/>
            <w:vAlign w:val="center"/>
          </w:tcPr>
          <w:p w14:paraId="72000189">
            <w:pPr>
              <w:spacing w:before="0" w:after="0" w:line="240" w:lineRule="auto"/>
              <w:ind w:left="0" w:right="0" w:firstLine="0"/>
              <w:jc w:val="left"/>
            </w:pPr>
          </w:p>
        </w:tc>
        <w:tc>
          <w:tcPr>
            <w:tcW w:w="1120" w:type="dxa"/>
            <w:shd w:val="clear" w:color="auto" w:fill="FFFFFF"/>
            <w:vAlign w:val="center"/>
          </w:tcPr>
          <w:p w14:paraId="7200018A">
            <w:pPr>
              <w:spacing w:before="0" w:after="0" w:line="240" w:lineRule="auto"/>
              <w:ind w:left="0" w:right="0" w:firstLine="0"/>
              <w:jc w:val="left"/>
            </w:pPr>
            <w:r>
              <w:rPr>
                <w:rFonts w:ascii="宋体" w:hAnsi="宋体" w:eastAsia="宋体" w:cs="宋体"/>
                <w:b w:val="0"/>
                <w:color w:val="000000"/>
                <w:sz w:val="18"/>
              </w:rPr>
              <w:t>实时能耗异常识别</w:t>
            </w:r>
          </w:p>
        </w:tc>
        <w:tc>
          <w:tcPr>
            <w:tcW w:w="1430" w:type="dxa"/>
            <w:shd w:val="clear" w:color="auto" w:fill="FFFFFF"/>
            <w:vAlign w:val="center"/>
          </w:tcPr>
          <w:p w14:paraId="7200018B">
            <w:pPr>
              <w:spacing w:before="0" w:after="0" w:line="240" w:lineRule="auto"/>
              <w:ind w:left="0" w:right="0" w:firstLine="0"/>
              <w:jc w:val="left"/>
            </w:pPr>
            <w:r>
              <w:rPr>
                <w:rFonts w:ascii="宋体" w:hAnsi="宋体" w:eastAsia="宋体" w:cs="宋体"/>
                <w:b w:val="0"/>
                <w:color w:val="000000"/>
                <w:sz w:val="18"/>
              </w:rPr>
              <w:t>P-ZLTC-AI-NHYCSB-009</w:t>
            </w:r>
          </w:p>
        </w:tc>
        <w:tc>
          <w:tcPr>
            <w:tcW w:w="2119" w:type="dxa"/>
            <w:shd w:val="clear" w:color="auto" w:fill="FFFFFF"/>
            <w:vAlign w:val="center"/>
          </w:tcPr>
          <w:p w14:paraId="7200018C">
            <w:pPr>
              <w:spacing w:before="0" w:after="0" w:line="240" w:lineRule="auto"/>
              <w:ind w:left="0" w:right="0" w:firstLine="0"/>
              <w:jc w:val="left"/>
            </w:pPr>
            <w:r>
              <w:rPr>
                <w:rFonts w:ascii="宋体" w:hAnsi="宋体" w:eastAsia="宋体" w:cs="宋体"/>
                <w:b w:val="0"/>
                <w:color w:val="000000"/>
                <w:sz w:val="18"/>
              </w:rPr>
              <w:t>接收EMS报警并支持主动分析；结合DCS工况与设备运行证据，区分低负荷正常波动与真实超耗；引用EMS已有诊断并核证浪费工序、时段与影响因素，形成分级原因和节能建议。详见5.3.2.3。</w:t>
            </w:r>
          </w:p>
        </w:tc>
        <w:tc>
          <w:tcPr>
            <w:tcW w:w="1521" w:type="dxa"/>
            <w:shd w:val="clear" w:color="auto" w:fill="FFFFFF"/>
            <w:vAlign w:val="center"/>
          </w:tcPr>
          <w:p w14:paraId="7200018D">
            <w:pPr>
              <w:spacing w:before="0" w:after="0" w:line="240" w:lineRule="auto"/>
              <w:ind w:left="0" w:right="0" w:firstLine="0"/>
              <w:jc w:val="left"/>
            </w:pPr>
            <w:r>
              <w:rPr>
                <w:rFonts w:ascii="宋体" w:hAnsi="宋体" w:eastAsia="宋体" w:cs="宋体"/>
                <w:b w:val="0"/>
                <w:color w:val="000000"/>
                <w:sz w:val="18"/>
              </w:rPr>
              <w:t>AI数据治理提供的EMS报警及空转诊断、DCS工况与运行数据、EAM设备证据；设计单耗、额定参数及能耗影响因素知识</w:t>
            </w:r>
          </w:p>
        </w:tc>
        <w:tc>
          <w:tcPr>
            <w:tcW w:w="1020" w:type="dxa"/>
            <w:shd w:val="clear" w:color="auto" w:fill="FFFFFF"/>
            <w:vAlign w:val="center"/>
          </w:tcPr>
          <w:p w14:paraId="7200018E">
            <w:pPr>
              <w:spacing w:before="0" w:after="0" w:line="240" w:lineRule="auto"/>
              <w:ind w:left="0" w:right="0" w:firstLine="0"/>
              <w:jc w:val="left"/>
            </w:pPr>
            <w:r>
              <w:rPr>
                <w:rFonts w:ascii="宋体" w:hAnsi="宋体" w:eastAsia="宋体" w:cs="宋体"/>
                <w:b w:val="0"/>
                <w:color w:val="000000"/>
                <w:sz w:val="18"/>
              </w:rPr>
              <w:t>会话报告；事件报告归档并按授权送达责任人；确认反馈转知识审核或运营处理</w:t>
            </w:r>
          </w:p>
        </w:tc>
        <w:tc>
          <w:tcPr>
            <w:tcW w:w="1102" w:type="dxa"/>
            <w:shd w:val="clear" w:color="auto" w:fill="FFFFFF"/>
            <w:vAlign w:val="center"/>
          </w:tcPr>
          <w:p w14:paraId="7200018F">
            <w:pPr>
              <w:spacing w:before="0" w:after="0" w:line="240" w:lineRule="auto"/>
              <w:ind w:left="0" w:right="0" w:firstLine="0"/>
              <w:jc w:val="left"/>
            </w:pPr>
            <w:r>
              <w:rPr>
                <w:rFonts w:ascii="宋体" w:hAnsi="宋体" w:eastAsia="宋体" w:cs="宋体"/>
                <w:b w:val="0"/>
                <w:color w:val="000000"/>
                <w:sz w:val="18"/>
              </w:rPr>
              <w:t>能源管理员、工序负责人</w:t>
            </w:r>
          </w:p>
        </w:tc>
      </w:tr>
      <w:tr w14:paraId="72000190">
        <w:trPr>
          <w:cantSplit/>
          <w:jc w:val="center"/>
        </w:trPr>
        <w:tc>
          <w:tcPr>
            <w:tcW w:w="760" w:type="dxa"/>
            <w:vMerge w:val="continue"/>
            <w:shd w:val="clear" w:color="auto" w:fill="FFFFFF"/>
            <w:vAlign w:val="center"/>
          </w:tcPr>
          <w:p w14:paraId="72000191">
            <w:pPr>
              <w:spacing w:before="0" w:after="0" w:line="240" w:lineRule="auto"/>
              <w:ind w:left="0" w:right="0" w:firstLine="0"/>
              <w:jc w:val="left"/>
            </w:pPr>
          </w:p>
        </w:tc>
        <w:tc>
          <w:tcPr>
            <w:tcW w:w="1120" w:type="dxa"/>
            <w:shd w:val="clear" w:color="auto" w:fill="FFFFFF"/>
            <w:vAlign w:val="center"/>
          </w:tcPr>
          <w:p w14:paraId="72000192">
            <w:pPr>
              <w:spacing w:before="0" w:after="0" w:line="240" w:lineRule="auto"/>
              <w:ind w:left="0" w:right="0" w:firstLine="0"/>
              <w:jc w:val="left"/>
            </w:pPr>
            <w:r>
              <w:rPr>
                <w:rFonts w:ascii="宋体" w:hAnsi="宋体" w:eastAsia="宋体" w:cs="宋体"/>
                <w:b w:val="0"/>
                <w:color w:val="000000"/>
                <w:sz w:val="18"/>
              </w:rPr>
              <w:t>工序物料衡算—物料核算</w:t>
            </w:r>
          </w:p>
        </w:tc>
        <w:tc>
          <w:tcPr>
            <w:tcW w:w="1430" w:type="dxa"/>
            <w:shd w:val="clear" w:color="auto" w:fill="FFFFFF"/>
            <w:vAlign w:val="center"/>
          </w:tcPr>
          <w:p w14:paraId="72000193">
            <w:pPr>
              <w:spacing w:before="0" w:after="0" w:line="240" w:lineRule="auto"/>
              <w:ind w:left="0" w:right="0" w:firstLine="0"/>
              <w:jc w:val="left"/>
            </w:pPr>
            <w:r>
              <w:rPr>
                <w:rFonts w:ascii="宋体" w:hAnsi="宋体" w:eastAsia="宋体" w:cs="宋体"/>
                <w:b w:val="0"/>
                <w:color w:val="000000"/>
                <w:sz w:val="18"/>
              </w:rPr>
              <w:t>P-ZLTC-AI-GXWLHSWLHS-010</w:t>
            </w:r>
          </w:p>
        </w:tc>
        <w:tc>
          <w:tcPr>
            <w:tcW w:w="2119" w:type="dxa"/>
            <w:shd w:val="clear" w:color="auto" w:fill="FFFFFF"/>
            <w:vAlign w:val="center"/>
          </w:tcPr>
          <w:p w14:paraId="72000194">
            <w:pPr>
              <w:spacing w:before="0" w:after="0" w:line="240" w:lineRule="auto"/>
              <w:ind w:left="0" w:right="0" w:firstLine="0"/>
              <w:jc w:val="left"/>
            </w:pPr>
            <w:r>
              <w:rPr>
                <w:rFonts w:ascii="宋体" w:hAnsi="宋体" w:eastAsia="宋体" w:cs="宋体"/>
                <w:b w:val="0"/>
                <w:color w:val="000000"/>
                <w:sz w:val="18"/>
              </w:rPr>
              <w:t>统一流量、浓度、批次、时间窗与物料去向，校验计量口径并计算干固物投入产出、收率与损失；按班次、日、周、月生成和推送物料平衡报告。详见5.3.2.4。</w:t>
            </w:r>
          </w:p>
        </w:tc>
        <w:tc>
          <w:tcPr>
            <w:tcW w:w="1521" w:type="dxa"/>
            <w:shd w:val="clear" w:color="auto" w:fill="FFFFFF"/>
            <w:vAlign w:val="center"/>
          </w:tcPr>
          <w:p w14:paraId="72000195">
            <w:pPr>
              <w:spacing w:before="0" w:after="0" w:line="240" w:lineRule="auto"/>
              <w:ind w:left="0" w:right="0" w:firstLine="0"/>
              <w:jc w:val="left"/>
            </w:pPr>
            <w:r>
              <w:rPr>
                <w:rFonts w:ascii="宋体" w:hAnsi="宋体" w:eastAsia="宋体" w:cs="宋体"/>
                <w:b w:val="0"/>
                <w:color w:val="000000"/>
                <w:sz w:val="18"/>
              </w:rPr>
              <w:t>DCS流量、LIMS浓度与干固物、MES批次和ERP物料数据；确认的物料口径、转换关系与时间边界</w:t>
            </w:r>
          </w:p>
        </w:tc>
        <w:tc>
          <w:tcPr>
            <w:tcW w:w="1020" w:type="dxa"/>
            <w:shd w:val="clear" w:color="auto" w:fill="FFFFFF"/>
            <w:vAlign w:val="center"/>
          </w:tcPr>
          <w:p w14:paraId="72000196">
            <w:pPr>
              <w:spacing w:before="0" w:after="0" w:line="240" w:lineRule="auto"/>
              <w:ind w:left="0" w:right="0" w:firstLine="0"/>
              <w:jc w:val="left"/>
            </w:pPr>
            <w:r>
              <w:rPr>
                <w:rFonts w:ascii="宋体" w:hAnsi="宋体" w:eastAsia="宋体" w:cs="宋体"/>
                <w:b w:val="0"/>
                <w:color w:val="000000"/>
                <w:sz w:val="18"/>
              </w:rPr>
              <w:t>物料平衡、收率与损失结果；定期报告与查询结果</w:t>
            </w:r>
          </w:p>
        </w:tc>
        <w:tc>
          <w:tcPr>
            <w:tcW w:w="1102" w:type="dxa"/>
            <w:shd w:val="clear" w:color="auto" w:fill="FFFFFF"/>
            <w:vAlign w:val="center"/>
          </w:tcPr>
          <w:p w14:paraId="72000197">
            <w:pPr>
              <w:spacing w:before="0" w:after="0" w:line="240" w:lineRule="auto"/>
              <w:ind w:left="0" w:right="0" w:firstLine="0"/>
              <w:jc w:val="left"/>
            </w:pPr>
            <w:r>
              <w:rPr>
                <w:rFonts w:ascii="宋体" w:hAnsi="宋体" w:eastAsia="宋体" w:cs="宋体"/>
                <w:b w:val="0"/>
                <w:color w:val="000000"/>
                <w:sz w:val="18"/>
              </w:rPr>
              <w:t>工艺工程师、生产管理人员</w:t>
            </w:r>
          </w:p>
        </w:tc>
      </w:tr>
      <w:tr w14:paraId="72000198">
        <w:trPr>
          <w:cantSplit/>
          <w:jc w:val="center"/>
        </w:trPr>
        <w:tc>
          <w:tcPr>
            <w:tcW w:w="760" w:type="dxa"/>
            <w:vMerge w:val="continue"/>
            <w:shd w:val="clear" w:color="auto" w:fill="FFFFFF"/>
            <w:vAlign w:val="center"/>
          </w:tcPr>
          <w:p w14:paraId="72000199">
            <w:pPr>
              <w:spacing w:before="0" w:after="0" w:line="240" w:lineRule="auto"/>
              <w:ind w:left="0" w:right="0" w:firstLine="0"/>
              <w:jc w:val="left"/>
            </w:pPr>
          </w:p>
        </w:tc>
        <w:tc>
          <w:tcPr>
            <w:tcW w:w="1120" w:type="dxa"/>
            <w:shd w:val="clear" w:color="auto" w:fill="FFFFFF"/>
            <w:vAlign w:val="center"/>
          </w:tcPr>
          <w:p w14:paraId="7200019A">
            <w:pPr>
              <w:spacing w:before="0" w:after="0" w:line="240" w:lineRule="auto"/>
              <w:ind w:left="0" w:right="0" w:firstLine="0"/>
              <w:jc w:val="left"/>
            </w:pPr>
            <w:r>
              <w:rPr>
                <w:rFonts w:ascii="宋体" w:hAnsi="宋体" w:eastAsia="宋体" w:cs="宋体"/>
                <w:b w:val="0"/>
                <w:color w:val="000000"/>
                <w:sz w:val="18"/>
              </w:rPr>
              <w:t>工序物料衡算—偏差归因</w:t>
            </w:r>
          </w:p>
        </w:tc>
        <w:tc>
          <w:tcPr>
            <w:tcW w:w="1430" w:type="dxa"/>
            <w:shd w:val="clear" w:color="auto" w:fill="FFFFFF"/>
            <w:vAlign w:val="center"/>
          </w:tcPr>
          <w:p w14:paraId="7200019B">
            <w:pPr>
              <w:spacing w:before="0" w:after="0" w:line="240" w:lineRule="auto"/>
              <w:ind w:left="0" w:right="0" w:firstLine="0"/>
              <w:jc w:val="left"/>
            </w:pPr>
            <w:r>
              <w:rPr>
                <w:rFonts w:ascii="宋体" w:hAnsi="宋体" w:eastAsia="宋体" w:cs="宋体"/>
                <w:b w:val="0"/>
                <w:color w:val="000000"/>
                <w:sz w:val="18"/>
              </w:rPr>
              <w:t>P-ZLTC-AI-GXWLHSPCGY-011</w:t>
            </w:r>
          </w:p>
        </w:tc>
        <w:tc>
          <w:tcPr>
            <w:tcW w:w="2119" w:type="dxa"/>
            <w:shd w:val="clear" w:color="auto" w:fill="FFFFFF"/>
            <w:vAlign w:val="center"/>
          </w:tcPr>
          <w:p w14:paraId="7200019C">
            <w:pPr>
              <w:spacing w:before="0" w:after="0" w:line="240" w:lineRule="auto"/>
              <w:ind w:left="0" w:right="0" w:firstLine="0"/>
              <w:jc w:val="left"/>
            </w:pPr>
            <w:r>
              <w:rPr>
                <w:rFonts w:ascii="宋体" w:hAnsi="宋体" w:eastAsia="宋体" w:cs="宋体"/>
                <w:b w:val="0"/>
                <w:color w:val="000000"/>
                <w:sz w:val="18"/>
              </w:rPr>
              <w:t>检测平衡异常，定位异常工序并按计量、库存变化及真实工艺损失等因素组织证据，形成偏差定性、原因排序和证据链。详见5.3.2.4。</w:t>
            </w:r>
          </w:p>
        </w:tc>
        <w:tc>
          <w:tcPr>
            <w:tcW w:w="1521" w:type="dxa"/>
            <w:shd w:val="clear" w:color="auto" w:fill="FFFFFF"/>
            <w:vAlign w:val="center"/>
          </w:tcPr>
          <w:p w14:paraId="7200019D">
            <w:pPr>
              <w:spacing w:before="0" w:after="0" w:line="240" w:lineRule="auto"/>
              <w:ind w:left="0" w:right="0" w:firstLine="0"/>
              <w:jc w:val="left"/>
            </w:pPr>
            <w:r>
              <w:rPr>
                <w:rFonts w:ascii="宋体" w:hAnsi="宋体" w:eastAsia="宋体" w:cs="宋体"/>
                <w:b w:val="0"/>
                <w:color w:val="000000"/>
                <w:sz w:val="18"/>
              </w:rPr>
              <w:t>本场景的物料核算及损失序列；流量、浓度、库存变化和设备状态</w:t>
            </w:r>
          </w:p>
        </w:tc>
        <w:tc>
          <w:tcPr>
            <w:tcW w:w="1020" w:type="dxa"/>
            <w:shd w:val="clear" w:color="auto" w:fill="FFFFFF"/>
            <w:vAlign w:val="center"/>
          </w:tcPr>
          <w:p w14:paraId="7200019E">
            <w:pPr>
              <w:spacing w:before="0" w:after="0" w:line="240" w:lineRule="auto"/>
              <w:ind w:left="0" w:right="0" w:firstLine="0"/>
              <w:jc w:val="left"/>
            </w:pPr>
            <w:r>
              <w:rPr>
                <w:rFonts w:ascii="宋体" w:hAnsi="宋体" w:eastAsia="宋体" w:cs="宋体"/>
                <w:b w:val="0"/>
                <w:color w:val="000000"/>
                <w:sz w:val="18"/>
              </w:rPr>
              <w:t>偏差分析、原因排序及待核实证据</w:t>
            </w:r>
          </w:p>
        </w:tc>
        <w:tc>
          <w:tcPr>
            <w:tcW w:w="1102" w:type="dxa"/>
            <w:shd w:val="clear" w:color="auto" w:fill="FFFFFF"/>
            <w:vAlign w:val="center"/>
          </w:tcPr>
          <w:p w14:paraId="7200019F">
            <w:pPr>
              <w:spacing w:before="0" w:after="0" w:line="240" w:lineRule="auto"/>
              <w:ind w:left="0" w:right="0" w:firstLine="0"/>
              <w:jc w:val="left"/>
            </w:pPr>
            <w:r>
              <w:rPr>
                <w:rFonts w:ascii="宋体" w:hAnsi="宋体" w:eastAsia="宋体" w:cs="宋体"/>
                <w:b w:val="0"/>
                <w:color w:val="000000"/>
                <w:sz w:val="18"/>
              </w:rPr>
              <w:t>工艺工程师、生产管理人员</w:t>
            </w:r>
          </w:p>
        </w:tc>
      </w:tr>
      <w:tr w14:paraId="720001A0">
        <w:trPr>
          <w:cantSplit/>
          <w:jc w:val="center"/>
        </w:trPr>
        <w:tc>
          <w:tcPr>
            <w:tcW w:w="760" w:type="dxa"/>
            <w:vMerge w:val="continue"/>
            <w:shd w:val="clear" w:color="auto" w:fill="FFFFFF"/>
            <w:vAlign w:val="center"/>
          </w:tcPr>
          <w:p w14:paraId="720001A1">
            <w:pPr>
              <w:spacing w:before="0" w:after="0" w:line="240" w:lineRule="auto"/>
              <w:ind w:left="0" w:right="0" w:firstLine="0"/>
              <w:jc w:val="left"/>
            </w:pPr>
          </w:p>
        </w:tc>
        <w:tc>
          <w:tcPr>
            <w:tcW w:w="1120" w:type="dxa"/>
            <w:shd w:val="clear" w:color="auto" w:fill="FFFFFF"/>
            <w:vAlign w:val="center"/>
          </w:tcPr>
          <w:p w14:paraId="720001A2">
            <w:pPr>
              <w:spacing w:before="0" w:after="0" w:line="240" w:lineRule="auto"/>
              <w:ind w:left="0" w:right="0" w:firstLine="0"/>
              <w:jc w:val="left"/>
            </w:pPr>
            <w:r>
              <w:rPr>
                <w:rFonts w:ascii="宋体" w:hAnsi="宋体" w:eastAsia="宋体" w:cs="宋体"/>
                <w:b w:val="0"/>
                <w:color w:val="000000"/>
                <w:sz w:val="18"/>
              </w:rPr>
              <w:t>工序物料衡算—趋势预警</w:t>
            </w:r>
          </w:p>
        </w:tc>
        <w:tc>
          <w:tcPr>
            <w:tcW w:w="1430" w:type="dxa"/>
            <w:shd w:val="clear" w:color="auto" w:fill="FFFFFF"/>
            <w:vAlign w:val="center"/>
          </w:tcPr>
          <w:p w14:paraId="720001A3">
            <w:pPr>
              <w:spacing w:before="0" w:after="0" w:line="240" w:lineRule="auto"/>
              <w:ind w:left="0" w:right="0" w:firstLine="0"/>
              <w:jc w:val="left"/>
            </w:pPr>
            <w:r>
              <w:rPr>
                <w:rFonts w:ascii="宋体" w:hAnsi="宋体" w:eastAsia="宋体" w:cs="宋体"/>
                <w:b w:val="0"/>
                <w:color w:val="000000"/>
                <w:sz w:val="18"/>
              </w:rPr>
              <w:t>P-ZLTC-AI-GXWLHSQSYJ-012</w:t>
            </w:r>
          </w:p>
        </w:tc>
        <w:tc>
          <w:tcPr>
            <w:tcW w:w="2119" w:type="dxa"/>
            <w:shd w:val="clear" w:color="auto" w:fill="FFFFFF"/>
            <w:vAlign w:val="center"/>
          </w:tcPr>
          <w:p w14:paraId="720001A4">
            <w:pPr>
              <w:spacing w:before="0" w:after="0" w:line="240" w:lineRule="auto"/>
              <w:ind w:left="0" w:right="0" w:firstLine="0"/>
              <w:jc w:val="left"/>
            </w:pPr>
            <w:r>
              <w:rPr>
                <w:rFonts w:ascii="宋体" w:hAnsi="宋体" w:eastAsia="宋体" w:cs="宋体"/>
                <w:b w:val="0"/>
                <w:color w:val="000000"/>
                <w:sz w:val="18"/>
              </w:rPr>
              <w:t>分析多时间尺度损失趋势，识别变化点并输出预测区间和风险提示。详见5.3.2.4。</w:t>
            </w:r>
          </w:p>
        </w:tc>
        <w:tc>
          <w:tcPr>
            <w:tcW w:w="1521" w:type="dxa"/>
            <w:shd w:val="clear" w:color="auto" w:fill="FFFFFF"/>
            <w:vAlign w:val="center"/>
          </w:tcPr>
          <w:p w14:paraId="720001A5">
            <w:pPr>
              <w:spacing w:before="0" w:after="0" w:line="240" w:lineRule="auto"/>
              <w:ind w:left="0" w:right="0" w:firstLine="0"/>
              <w:jc w:val="left"/>
            </w:pPr>
            <w:r>
              <w:rPr>
                <w:rFonts w:ascii="宋体" w:hAnsi="宋体" w:eastAsia="宋体" w:cs="宋体"/>
                <w:b w:val="0"/>
                <w:color w:val="000000"/>
                <w:sz w:val="18"/>
              </w:rPr>
              <w:t>历史物料平衡、损失率与产量数据</w:t>
            </w:r>
          </w:p>
        </w:tc>
        <w:tc>
          <w:tcPr>
            <w:tcW w:w="1020" w:type="dxa"/>
            <w:shd w:val="clear" w:color="auto" w:fill="FFFFFF"/>
            <w:vAlign w:val="center"/>
          </w:tcPr>
          <w:p w14:paraId="720001A6">
            <w:pPr>
              <w:spacing w:before="0" w:after="0" w:line="240" w:lineRule="auto"/>
              <w:ind w:left="0" w:right="0" w:firstLine="0"/>
              <w:jc w:val="left"/>
            </w:pPr>
            <w:r>
              <w:rPr>
                <w:rFonts w:ascii="宋体" w:hAnsi="宋体" w:eastAsia="宋体" w:cs="宋体"/>
                <w:b w:val="0"/>
                <w:color w:val="000000"/>
                <w:sz w:val="18"/>
              </w:rPr>
              <w:t>损失趋势图、变化点、预测区间和风险预警</w:t>
            </w:r>
          </w:p>
        </w:tc>
        <w:tc>
          <w:tcPr>
            <w:tcW w:w="1102" w:type="dxa"/>
            <w:shd w:val="clear" w:color="auto" w:fill="FFFFFF"/>
            <w:vAlign w:val="center"/>
          </w:tcPr>
          <w:p w14:paraId="720001A7">
            <w:pPr>
              <w:spacing w:before="0" w:after="0" w:line="240" w:lineRule="auto"/>
              <w:ind w:left="0" w:right="0" w:firstLine="0"/>
              <w:jc w:val="left"/>
            </w:pPr>
            <w:r>
              <w:rPr>
                <w:rFonts w:ascii="宋体" w:hAnsi="宋体" w:eastAsia="宋体" w:cs="宋体"/>
                <w:b w:val="0"/>
                <w:color w:val="000000"/>
                <w:sz w:val="18"/>
              </w:rPr>
              <w:t>工艺工程师、生产管理人员</w:t>
            </w:r>
          </w:p>
        </w:tc>
      </w:tr>
      <w:tr w14:paraId="720001A8">
        <w:trPr>
          <w:cantSplit/>
          <w:jc w:val="center"/>
        </w:trPr>
        <w:tc>
          <w:tcPr>
            <w:tcW w:w="760" w:type="dxa"/>
            <w:vMerge w:val="continue"/>
            <w:shd w:val="clear" w:color="auto" w:fill="FFFFFF"/>
            <w:vAlign w:val="center"/>
          </w:tcPr>
          <w:p w14:paraId="720001A9">
            <w:pPr>
              <w:spacing w:before="0" w:after="0" w:line="240" w:lineRule="auto"/>
              <w:ind w:left="0" w:right="0" w:firstLine="0"/>
              <w:jc w:val="left"/>
            </w:pPr>
          </w:p>
        </w:tc>
        <w:tc>
          <w:tcPr>
            <w:tcW w:w="1120" w:type="dxa"/>
            <w:shd w:val="clear" w:color="auto" w:fill="FFFFFF"/>
            <w:vAlign w:val="center"/>
          </w:tcPr>
          <w:p w14:paraId="720001AA">
            <w:pPr>
              <w:spacing w:before="0" w:after="0" w:line="240" w:lineRule="auto"/>
              <w:ind w:left="0" w:right="0" w:firstLine="0"/>
              <w:jc w:val="left"/>
            </w:pPr>
            <w:r>
              <w:rPr>
                <w:rFonts w:ascii="宋体" w:hAnsi="宋体" w:eastAsia="宋体" w:cs="宋体"/>
                <w:b w:val="0"/>
                <w:color w:val="000000"/>
                <w:sz w:val="18"/>
              </w:rPr>
              <w:t>工序能量衡算—能耗核算</w:t>
            </w:r>
          </w:p>
        </w:tc>
        <w:tc>
          <w:tcPr>
            <w:tcW w:w="1430" w:type="dxa"/>
            <w:shd w:val="clear" w:color="auto" w:fill="FFFFFF"/>
            <w:vAlign w:val="center"/>
          </w:tcPr>
          <w:p w14:paraId="720001AB">
            <w:pPr>
              <w:spacing w:before="0" w:after="0" w:line="240" w:lineRule="auto"/>
              <w:ind w:left="0" w:right="0" w:firstLine="0"/>
              <w:jc w:val="left"/>
            </w:pPr>
            <w:r>
              <w:rPr>
                <w:rFonts w:ascii="宋体" w:hAnsi="宋体" w:eastAsia="宋体" w:cs="宋体"/>
                <w:b w:val="0"/>
                <w:color w:val="000000"/>
                <w:sz w:val="18"/>
              </w:rPr>
              <w:t>P-ZLTC-AI-GXNLHSNHHS-013</w:t>
            </w:r>
          </w:p>
        </w:tc>
        <w:tc>
          <w:tcPr>
            <w:tcW w:w="2119" w:type="dxa"/>
            <w:shd w:val="clear" w:color="auto" w:fill="FFFFFF"/>
            <w:vAlign w:val="center"/>
          </w:tcPr>
          <w:p w14:paraId="720001AC">
            <w:pPr>
              <w:spacing w:before="0" w:after="0" w:line="240" w:lineRule="auto"/>
              <w:ind w:left="0" w:right="0" w:firstLine="0"/>
              <w:jc w:val="left"/>
            </w:pPr>
            <w:r>
              <w:rPr>
                <w:rFonts w:ascii="宋体" w:hAnsi="宋体" w:eastAsia="宋体" w:cs="宋体"/>
                <w:b w:val="0"/>
                <w:color w:val="000000"/>
                <w:sz w:val="18"/>
              </w:rPr>
              <w:t>统一蒸汽、电力、水的计量范围和时间窗，校验数据并按产量、负荷等确认口径归一化，形成分项能耗核算及班次、日、周、月能源报告。详见5.3.2.5。</w:t>
            </w:r>
          </w:p>
        </w:tc>
        <w:tc>
          <w:tcPr>
            <w:tcW w:w="1521" w:type="dxa"/>
            <w:shd w:val="clear" w:color="auto" w:fill="FFFFFF"/>
            <w:vAlign w:val="center"/>
          </w:tcPr>
          <w:p w14:paraId="720001AD">
            <w:pPr>
              <w:spacing w:before="0" w:after="0" w:line="240" w:lineRule="auto"/>
              <w:ind w:left="0" w:right="0" w:firstLine="0"/>
              <w:jc w:val="left"/>
            </w:pPr>
            <w:r>
              <w:rPr>
                <w:rFonts w:ascii="宋体" w:hAnsi="宋体" w:eastAsia="宋体" w:cs="宋体"/>
                <w:b w:val="0"/>
                <w:color w:val="000000"/>
                <w:sz w:val="18"/>
              </w:rPr>
              <w:t>DCS蒸汽、电、水计量、MES产量和ERP能源数据；确认的能源边界、分摊与归一化口径</w:t>
            </w:r>
          </w:p>
        </w:tc>
        <w:tc>
          <w:tcPr>
            <w:tcW w:w="1020" w:type="dxa"/>
            <w:shd w:val="clear" w:color="auto" w:fill="FFFFFF"/>
            <w:vAlign w:val="center"/>
          </w:tcPr>
          <w:p w14:paraId="720001AE">
            <w:pPr>
              <w:spacing w:before="0" w:after="0" w:line="240" w:lineRule="auto"/>
              <w:ind w:left="0" w:right="0" w:firstLine="0"/>
              <w:jc w:val="left"/>
            </w:pPr>
            <w:r>
              <w:rPr>
                <w:rFonts w:ascii="宋体" w:hAnsi="宋体" w:eastAsia="宋体" w:cs="宋体"/>
                <w:b w:val="0"/>
                <w:color w:val="000000"/>
                <w:sz w:val="18"/>
              </w:rPr>
              <w:t>分项能耗、单耗及定期能源报告</w:t>
            </w:r>
          </w:p>
        </w:tc>
        <w:tc>
          <w:tcPr>
            <w:tcW w:w="1102" w:type="dxa"/>
            <w:shd w:val="clear" w:color="auto" w:fill="FFFFFF"/>
            <w:vAlign w:val="center"/>
          </w:tcPr>
          <w:p w14:paraId="720001AF">
            <w:pPr>
              <w:spacing w:before="0" w:after="0" w:line="240" w:lineRule="auto"/>
              <w:ind w:left="0" w:right="0" w:firstLine="0"/>
              <w:jc w:val="left"/>
            </w:pPr>
            <w:r>
              <w:rPr>
                <w:rFonts w:ascii="宋体" w:hAnsi="宋体" w:eastAsia="宋体" w:cs="宋体"/>
                <w:b w:val="0"/>
                <w:color w:val="000000"/>
                <w:sz w:val="18"/>
              </w:rPr>
              <w:t>能源管理员、工艺工程师、工序负责人</w:t>
            </w:r>
          </w:p>
        </w:tc>
      </w:tr>
      <w:tr w14:paraId="720001B0">
        <w:trPr>
          <w:cantSplit/>
          <w:jc w:val="center"/>
        </w:trPr>
        <w:tc>
          <w:tcPr>
            <w:tcW w:w="760" w:type="dxa"/>
            <w:vMerge w:val="continue"/>
            <w:shd w:val="clear" w:color="auto" w:fill="FFFFFF"/>
            <w:vAlign w:val="center"/>
          </w:tcPr>
          <w:p w14:paraId="720001B1">
            <w:pPr>
              <w:spacing w:before="0" w:after="0" w:line="240" w:lineRule="auto"/>
              <w:ind w:left="0" w:right="0" w:firstLine="0"/>
              <w:jc w:val="left"/>
            </w:pPr>
          </w:p>
        </w:tc>
        <w:tc>
          <w:tcPr>
            <w:tcW w:w="1120" w:type="dxa"/>
            <w:shd w:val="clear" w:color="auto" w:fill="FFFFFF"/>
            <w:vAlign w:val="center"/>
          </w:tcPr>
          <w:p w14:paraId="720001B2">
            <w:pPr>
              <w:spacing w:before="0" w:after="0" w:line="240" w:lineRule="auto"/>
              <w:ind w:left="0" w:right="0" w:firstLine="0"/>
              <w:jc w:val="left"/>
            </w:pPr>
            <w:r>
              <w:rPr>
                <w:rFonts w:ascii="宋体" w:hAnsi="宋体" w:eastAsia="宋体" w:cs="宋体"/>
                <w:b w:val="0"/>
                <w:color w:val="000000"/>
                <w:sz w:val="18"/>
              </w:rPr>
              <w:t>工序能量衡算—偏差归因</w:t>
            </w:r>
          </w:p>
        </w:tc>
        <w:tc>
          <w:tcPr>
            <w:tcW w:w="1430" w:type="dxa"/>
            <w:shd w:val="clear" w:color="auto" w:fill="FFFFFF"/>
            <w:vAlign w:val="center"/>
          </w:tcPr>
          <w:p w14:paraId="720001B3">
            <w:pPr>
              <w:spacing w:before="0" w:after="0" w:line="240" w:lineRule="auto"/>
              <w:ind w:left="0" w:right="0" w:firstLine="0"/>
              <w:jc w:val="left"/>
            </w:pPr>
            <w:r>
              <w:rPr>
                <w:rFonts w:ascii="宋体" w:hAnsi="宋体" w:eastAsia="宋体" w:cs="宋体"/>
                <w:b w:val="0"/>
                <w:color w:val="000000"/>
                <w:sz w:val="18"/>
              </w:rPr>
              <w:t>P-ZLTC-AI-GXNLHSPCGY-014</w:t>
            </w:r>
          </w:p>
        </w:tc>
        <w:tc>
          <w:tcPr>
            <w:tcW w:w="2119" w:type="dxa"/>
            <w:shd w:val="clear" w:color="auto" w:fill="FFFFFF"/>
            <w:vAlign w:val="center"/>
          </w:tcPr>
          <w:p w14:paraId="720001B4">
            <w:pPr>
              <w:spacing w:before="0" w:after="0" w:line="240" w:lineRule="auto"/>
              <w:ind w:left="0" w:right="0" w:firstLine="0"/>
              <w:jc w:val="left"/>
            </w:pPr>
            <w:r>
              <w:rPr>
                <w:rFonts w:ascii="宋体" w:hAnsi="宋体" w:eastAsia="宋体" w:cs="宋体"/>
                <w:b w:val="0"/>
                <w:color w:val="000000"/>
                <w:sz w:val="18"/>
              </w:rPr>
              <w:t>检测能耗偏差并定位工序，结合产量、负荷、设备状态和蒸发、液化等过程变量分析主要影响因素及能效关联。详见5.3.2.5。</w:t>
            </w:r>
          </w:p>
        </w:tc>
        <w:tc>
          <w:tcPr>
            <w:tcW w:w="1521" w:type="dxa"/>
            <w:shd w:val="clear" w:color="auto" w:fill="FFFFFF"/>
            <w:vAlign w:val="center"/>
          </w:tcPr>
          <w:p w14:paraId="720001B5">
            <w:pPr>
              <w:spacing w:before="0" w:after="0" w:line="240" w:lineRule="auto"/>
              <w:ind w:left="0" w:right="0" w:firstLine="0"/>
              <w:jc w:val="left"/>
            </w:pPr>
            <w:r>
              <w:rPr>
                <w:rFonts w:ascii="宋体" w:hAnsi="宋体" w:eastAsia="宋体" w:cs="宋体"/>
                <w:b w:val="0"/>
                <w:color w:val="000000"/>
                <w:sz w:val="18"/>
              </w:rPr>
              <w:t>本场景的能耗核算结果；产量、负荷、设备状态和过程变量</w:t>
            </w:r>
          </w:p>
        </w:tc>
        <w:tc>
          <w:tcPr>
            <w:tcW w:w="1020" w:type="dxa"/>
            <w:shd w:val="clear" w:color="auto" w:fill="FFFFFF"/>
            <w:vAlign w:val="center"/>
          </w:tcPr>
          <w:p w14:paraId="720001B6">
            <w:pPr>
              <w:spacing w:before="0" w:after="0" w:line="240" w:lineRule="auto"/>
              <w:ind w:left="0" w:right="0" w:firstLine="0"/>
              <w:jc w:val="left"/>
            </w:pPr>
            <w:r>
              <w:rPr>
                <w:rFonts w:ascii="宋体" w:hAnsi="宋体" w:eastAsia="宋体" w:cs="宋体"/>
                <w:b w:val="0"/>
                <w:color w:val="000000"/>
                <w:sz w:val="18"/>
              </w:rPr>
              <w:t>能耗偏差幅度、主要影响因素与能效关联分析</w:t>
            </w:r>
          </w:p>
        </w:tc>
        <w:tc>
          <w:tcPr>
            <w:tcW w:w="1102" w:type="dxa"/>
            <w:shd w:val="clear" w:color="auto" w:fill="FFFFFF"/>
            <w:vAlign w:val="center"/>
          </w:tcPr>
          <w:p w14:paraId="720001B7">
            <w:pPr>
              <w:spacing w:before="0" w:after="0" w:line="240" w:lineRule="auto"/>
              <w:ind w:left="0" w:right="0" w:firstLine="0"/>
              <w:jc w:val="left"/>
            </w:pPr>
            <w:r>
              <w:rPr>
                <w:rFonts w:ascii="宋体" w:hAnsi="宋体" w:eastAsia="宋体" w:cs="宋体"/>
                <w:b w:val="0"/>
                <w:color w:val="000000"/>
                <w:sz w:val="18"/>
              </w:rPr>
              <w:t>能源管理员、工艺工程师、工序负责人</w:t>
            </w:r>
          </w:p>
        </w:tc>
      </w:tr>
      <w:tr w14:paraId="720001B8">
        <w:trPr>
          <w:cantSplit/>
          <w:jc w:val="center"/>
        </w:trPr>
        <w:tc>
          <w:tcPr>
            <w:tcW w:w="760" w:type="dxa"/>
            <w:vMerge w:val="continue"/>
            <w:shd w:val="clear" w:color="auto" w:fill="FFFFFF"/>
            <w:vAlign w:val="center"/>
          </w:tcPr>
          <w:p w14:paraId="720001B9">
            <w:pPr>
              <w:spacing w:before="0" w:after="0" w:line="240" w:lineRule="auto"/>
              <w:ind w:left="0" w:right="0" w:firstLine="0"/>
              <w:jc w:val="left"/>
            </w:pPr>
          </w:p>
        </w:tc>
        <w:tc>
          <w:tcPr>
            <w:tcW w:w="1120" w:type="dxa"/>
            <w:shd w:val="clear" w:color="auto" w:fill="FFFFFF"/>
            <w:vAlign w:val="center"/>
          </w:tcPr>
          <w:p w14:paraId="720001BA">
            <w:pPr>
              <w:spacing w:before="0" w:after="0" w:line="240" w:lineRule="auto"/>
              <w:ind w:left="0" w:right="0" w:firstLine="0"/>
              <w:jc w:val="left"/>
            </w:pPr>
            <w:r>
              <w:rPr>
                <w:rFonts w:ascii="宋体" w:hAnsi="宋体" w:eastAsia="宋体" w:cs="宋体"/>
                <w:b w:val="0"/>
                <w:color w:val="000000"/>
                <w:sz w:val="18"/>
              </w:rPr>
              <w:t>工序能量衡算—趋势预警</w:t>
            </w:r>
          </w:p>
        </w:tc>
        <w:tc>
          <w:tcPr>
            <w:tcW w:w="1430" w:type="dxa"/>
            <w:shd w:val="clear" w:color="auto" w:fill="FFFFFF"/>
            <w:vAlign w:val="center"/>
          </w:tcPr>
          <w:p w14:paraId="720001BB">
            <w:pPr>
              <w:spacing w:before="0" w:after="0" w:line="240" w:lineRule="auto"/>
              <w:ind w:left="0" w:right="0" w:firstLine="0"/>
              <w:jc w:val="left"/>
            </w:pPr>
            <w:r>
              <w:rPr>
                <w:rFonts w:ascii="宋体" w:hAnsi="宋体" w:eastAsia="宋体" w:cs="宋体"/>
                <w:b w:val="0"/>
                <w:color w:val="000000"/>
                <w:sz w:val="18"/>
              </w:rPr>
              <w:t>P-ZLTC-AI-GXNLHSQSYJ-015</w:t>
            </w:r>
          </w:p>
        </w:tc>
        <w:tc>
          <w:tcPr>
            <w:tcW w:w="2119" w:type="dxa"/>
            <w:shd w:val="clear" w:color="auto" w:fill="FFFFFF"/>
            <w:vAlign w:val="center"/>
          </w:tcPr>
          <w:p w14:paraId="720001BC">
            <w:pPr>
              <w:spacing w:before="0" w:after="0" w:line="240" w:lineRule="auto"/>
              <w:ind w:left="0" w:right="0" w:firstLine="0"/>
              <w:jc w:val="left"/>
            </w:pPr>
            <w:r>
              <w:rPr>
                <w:rFonts w:ascii="宋体" w:hAnsi="宋体" w:eastAsia="宋体" w:cs="宋体"/>
                <w:b w:val="0"/>
                <w:color w:val="000000"/>
                <w:sz w:val="18"/>
              </w:rPr>
              <w:t>分析多时间尺度能耗趋势，识别持续抬升、波动加剧及拐点，输出预测区间与风险提示。详见5.3.2.5。</w:t>
            </w:r>
          </w:p>
        </w:tc>
        <w:tc>
          <w:tcPr>
            <w:tcW w:w="1521" w:type="dxa"/>
            <w:shd w:val="clear" w:color="auto" w:fill="FFFFFF"/>
            <w:vAlign w:val="center"/>
          </w:tcPr>
          <w:p w14:paraId="720001BD">
            <w:pPr>
              <w:spacing w:before="0" w:after="0" w:line="240" w:lineRule="auto"/>
              <w:ind w:left="0" w:right="0" w:firstLine="0"/>
              <w:jc w:val="left"/>
            </w:pPr>
            <w:r>
              <w:rPr>
                <w:rFonts w:ascii="宋体" w:hAnsi="宋体" w:eastAsia="宋体" w:cs="宋体"/>
                <w:b w:val="0"/>
                <w:color w:val="000000"/>
                <w:sz w:val="18"/>
              </w:rPr>
              <w:t>历史日能耗、工序能耗、产量与负荷数据</w:t>
            </w:r>
          </w:p>
        </w:tc>
        <w:tc>
          <w:tcPr>
            <w:tcW w:w="1020" w:type="dxa"/>
            <w:shd w:val="clear" w:color="auto" w:fill="FFFFFF"/>
            <w:vAlign w:val="center"/>
          </w:tcPr>
          <w:p w14:paraId="720001BE">
            <w:pPr>
              <w:spacing w:before="0" w:after="0" w:line="240" w:lineRule="auto"/>
              <w:ind w:left="0" w:right="0" w:firstLine="0"/>
              <w:jc w:val="left"/>
            </w:pPr>
            <w:r>
              <w:rPr>
                <w:rFonts w:ascii="宋体" w:hAnsi="宋体" w:eastAsia="宋体" w:cs="宋体"/>
                <w:b w:val="0"/>
                <w:color w:val="000000"/>
                <w:sz w:val="18"/>
              </w:rPr>
              <w:t>能耗趋势图、变化点、预测区间和风险预警</w:t>
            </w:r>
          </w:p>
        </w:tc>
        <w:tc>
          <w:tcPr>
            <w:tcW w:w="1102" w:type="dxa"/>
            <w:shd w:val="clear" w:color="auto" w:fill="FFFFFF"/>
            <w:vAlign w:val="center"/>
          </w:tcPr>
          <w:p w14:paraId="720001BF">
            <w:pPr>
              <w:spacing w:before="0" w:after="0" w:line="240" w:lineRule="auto"/>
              <w:ind w:left="0" w:right="0" w:firstLine="0"/>
              <w:jc w:val="left"/>
            </w:pPr>
            <w:r>
              <w:rPr>
                <w:rFonts w:ascii="宋体" w:hAnsi="宋体" w:eastAsia="宋体" w:cs="宋体"/>
                <w:b w:val="0"/>
                <w:color w:val="000000"/>
                <w:sz w:val="18"/>
              </w:rPr>
              <w:t>能源管理员、工艺工程师、工序负责人</w:t>
            </w:r>
          </w:p>
        </w:tc>
      </w:tr>
      <w:tr w14:paraId="720001C0">
        <w:trPr>
          <w:cantSplit/>
          <w:jc w:val="center"/>
        </w:trPr>
        <w:tc>
          <w:tcPr>
            <w:tcW w:w="760" w:type="dxa"/>
            <w:vMerge w:val="continue"/>
            <w:shd w:val="clear" w:color="auto" w:fill="FFFFFF"/>
            <w:vAlign w:val="center"/>
          </w:tcPr>
          <w:p w14:paraId="720001C1">
            <w:pPr>
              <w:spacing w:before="0" w:after="0" w:line="240" w:lineRule="auto"/>
              <w:ind w:left="0" w:right="0" w:firstLine="0"/>
              <w:jc w:val="left"/>
            </w:pPr>
          </w:p>
        </w:tc>
        <w:tc>
          <w:tcPr>
            <w:tcW w:w="1120" w:type="dxa"/>
            <w:shd w:val="clear" w:color="auto" w:fill="FFFFFF"/>
            <w:vAlign w:val="center"/>
          </w:tcPr>
          <w:p w14:paraId="720001C2">
            <w:pPr>
              <w:spacing w:before="0" w:after="0" w:line="240" w:lineRule="auto"/>
              <w:ind w:left="0" w:right="0" w:firstLine="0"/>
              <w:jc w:val="left"/>
            </w:pPr>
            <w:r>
              <w:rPr>
                <w:rFonts w:ascii="宋体" w:hAnsi="宋体" w:eastAsia="宋体" w:cs="宋体"/>
                <w:b w:val="0"/>
                <w:color w:val="000000"/>
                <w:sz w:val="18"/>
              </w:rPr>
              <w:t>成本追溯</w:t>
            </w:r>
          </w:p>
        </w:tc>
        <w:tc>
          <w:tcPr>
            <w:tcW w:w="1430" w:type="dxa"/>
            <w:shd w:val="clear" w:color="auto" w:fill="FFFFFF"/>
            <w:vAlign w:val="center"/>
          </w:tcPr>
          <w:p w14:paraId="720001C3">
            <w:pPr>
              <w:spacing w:before="0" w:after="0" w:line="240" w:lineRule="auto"/>
              <w:ind w:left="0" w:right="0" w:firstLine="0"/>
              <w:jc w:val="left"/>
            </w:pPr>
            <w:r>
              <w:rPr>
                <w:rFonts w:ascii="宋体" w:hAnsi="宋体" w:eastAsia="宋体" w:cs="宋体"/>
                <w:b w:val="0"/>
                <w:color w:val="000000"/>
                <w:sz w:val="18"/>
              </w:rPr>
              <w:t>P-ZLTC-AI-CBZS-016</w:t>
            </w:r>
          </w:p>
        </w:tc>
        <w:tc>
          <w:tcPr>
            <w:tcW w:w="2119" w:type="dxa"/>
            <w:shd w:val="clear" w:color="auto" w:fill="FFFFFF"/>
            <w:vAlign w:val="center"/>
          </w:tcPr>
          <w:p w14:paraId="720001C4">
            <w:pPr>
              <w:spacing w:before="0" w:after="0" w:line="240" w:lineRule="auto"/>
              <w:ind w:left="0" w:right="0" w:firstLine="0"/>
              <w:jc w:val="left"/>
            </w:pPr>
            <w:r>
              <w:rPr>
                <w:rFonts w:ascii="宋体" w:hAnsi="宋体" w:eastAsia="宋体" w:cs="宋体"/>
                <w:b w:val="0"/>
                <w:color w:val="000000"/>
                <w:sz w:val="18"/>
              </w:rPr>
              <w:t>读取过程成本核算与偏差结果；展示成本构成、定位异常要素及工序；查询设备证据并引用关联场景已有原因与确认状态；查询月度核定前后版本。详见5.3.2.6。</w:t>
            </w:r>
          </w:p>
        </w:tc>
        <w:tc>
          <w:tcPr>
            <w:tcW w:w="1521" w:type="dxa"/>
            <w:shd w:val="clear" w:color="auto" w:fill="FFFFFF"/>
            <w:vAlign w:val="center"/>
          </w:tcPr>
          <w:p w14:paraId="720001C5">
            <w:pPr>
              <w:spacing w:before="0" w:after="0" w:line="240" w:lineRule="auto"/>
              <w:ind w:left="0" w:right="0" w:firstLine="0"/>
              <w:jc w:val="left"/>
            </w:pPr>
            <w:r>
              <w:rPr>
                <w:rFonts w:ascii="宋体" w:hAnsi="宋体" w:eastAsia="宋体" w:cs="宋体"/>
                <w:b w:val="0"/>
                <w:color w:val="000000"/>
                <w:sz w:val="18"/>
              </w:rPr>
              <w:t>AI数据治理提供的过程成本核算、偏差结果及MES、EMS、EAM、SCOS数据；消耗量、价格费率与已确认口径；相关归因场景已有结论</w:t>
            </w:r>
          </w:p>
        </w:tc>
        <w:tc>
          <w:tcPr>
            <w:tcW w:w="1020" w:type="dxa"/>
            <w:shd w:val="clear" w:color="auto" w:fill="FFFFFF"/>
            <w:vAlign w:val="center"/>
          </w:tcPr>
          <w:p w14:paraId="720001C6">
            <w:pPr>
              <w:spacing w:before="0" w:after="0" w:line="240" w:lineRule="auto"/>
              <w:ind w:left="0" w:right="0" w:firstLine="0"/>
              <w:jc w:val="left"/>
            </w:pPr>
            <w:r>
              <w:rPr>
                <w:rFonts w:ascii="宋体" w:hAnsi="宋体" w:eastAsia="宋体" w:cs="宋体"/>
                <w:b w:val="0"/>
                <w:color w:val="000000"/>
                <w:sz w:val="18"/>
              </w:rPr>
              <w:t>会话与事件过程成本分析报告、修订前后版本查询；按授权送达相关人员；确认反馈转知识审核或运营处理</w:t>
            </w:r>
          </w:p>
        </w:tc>
        <w:tc>
          <w:tcPr>
            <w:tcW w:w="1102" w:type="dxa"/>
            <w:shd w:val="clear" w:color="auto" w:fill="FFFFFF"/>
            <w:vAlign w:val="center"/>
          </w:tcPr>
          <w:p w14:paraId="720001C7">
            <w:pPr>
              <w:spacing w:before="0" w:after="0" w:line="240" w:lineRule="auto"/>
              <w:ind w:left="0" w:right="0" w:firstLine="0"/>
              <w:jc w:val="left"/>
            </w:pPr>
            <w:r>
              <w:rPr>
                <w:rFonts w:ascii="宋体" w:hAnsi="宋体" w:eastAsia="宋体" w:cs="宋体"/>
                <w:b w:val="0"/>
                <w:color w:val="000000"/>
                <w:sz w:val="18"/>
              </w:rPr>
              <w:t>管理层、生产管理人员</w:t>
            </w:r>
          </w:p>
        </w:tc>
      </w:tr>
      <w:tr w14:paraId="720001C8">
        <w:trPr>
          <w:cantSplit/>
          <w:jc w:val="center"/>
        </w:trPr>
        <w:tc>
          <w:tcPr>
            <w:tcW w:w="760" w:type="dxa"/>
            <w:vMerge w:val="continue"/>
            <w:shd w:val="clear" w:color="auto" w:fill="FFFFFF"/>
            <w:vAlign w:val="center"/>
          </w:tcPr>
          <w:p w14:paraId="720001C9">
            <w:pPr>
              <w:spacing w:before="0" w:after="0" w:line="240" w:lineRule="auto"/>
              <w:ind w:left="0" w:right="0" w:firstLine="0"/>
              <w:jc w:val="left"/>
            </w:pPr>
          </w:p>
        </w:tc>
        <w:tc>
          <w:tcPr>
            <w:tcW w:w="1120" w:type="dxa"/>
            <w:shd w:val="clear" w:color="auto" w:fill="FFFFFF"/>
            <w:vAlign w:val="center"/>
          </w:tcPr>
          <w:p w14:paraId="720001CA">
            <w:pPr>
              <w:spacing w:before="0" w:after="0" w:line="240" w:lineRule="auto"/>
              <w:ind w:left="0" w:right="0" w:firstLine="0"/>
              <w:jc w:val="left"/>
            </w:pPr>
            <w:r>
              <w:rPr>
                <w:rFonts w:ascii="宋体" w:hAnsi="宋体" w:eastAsia="宋体" w:cs="宋体"/>
                <w:b w:val="0"/>
                <w:color w:val="000000"/>
                <w:sz w:val="18"/>
              </w:rPr>
              <w:t>智能质量追溯</w:t>
            </w:r>
          </w:p>
        </w:tc>
        <w:tc>
          <w:tcPr>
            <w:tcW w:w="1430" w:type="dxa"/>
            <w:shd w:val="clear" w:color="auto" w:fill="FFFFFF"/>
            <w:vAlign w:val="center"/>
          </w:tcPr>
          <w:p w14:paraId="720001CB">
            <w:pPr>
              <w:spacing w:before="0" w:after="0" w:line="240" w:lineRule="auto"/>
              <w:ind w:left="0" w:right="0" w:firstLine="0"/>
              <w:jc w:val="left"/>
            </w:pPr>
            <w:r>
              <w:rPr>
                <w:rFonts w:ascii="宋体" w:hAnsi="宋体" w:eastAsia="宋体" w:cs="宋体"/>
                <w:b w:val="0"/>
                <w:color w:val="000000"/>
                <w:sz w:val="18"/>
              </w:rPr>
              <w:t>P-ZLTC-AI-ZNZLZS-017</w:t>
            </w:r>
          </w:p>
        </w:tc>
        <w:tc>
          <w:tcPr>
            <w:tcW w:w="2119" w:type="dxa"/>
            <w:shd w:val="clear" w:color="auto" w:fill="FFFFFF"/>
            <w:vAlign w:val="center"/>
          </w:tcPr>
          <w:p w14:paraId="720001CC">
            <w:pPr>
              <w:spacing w:before="0" w:after="0" w:line="240" w:lineRule="auto"/>
              <w:ind w:left="0" w:right="0" w:firstLine="0"/>
              <w:jc w:val="left"/>
            </w:pPr>
            <w:r>
              <w:rPr>
                <w:rFonts w:ascii="宋体" w:hAnsi="宋体" w:eastAsia="宋体" w:cs="宋体"/>
                <w:b w:val="0"/>
                <w:color w:val="000000"/>
                <w:sz w:val="18"/>
              </w:rPr>
              <w:t>按批次正向追踪和反向追溯，逐节点核对检测值与规格限，对确认的问题原料形成下游批次位置清单；查询DCS原始工况、工艺参数与设备运行时序，按质量影响因素逐项核证，标明证据缺口和待验证事项；支持追问和原始明细导出。详见5.3.2.7。</w:t>
            </w:r>
          </w:p>
        </w:tc>
        <w:tc>
          <w:tcPr>
            <w:tcW w:w="1521" w:type="dxa"/>
            <w:shd w:val="clear" w:color="auto" w:fill="FFFFFF"/>
            <w:vAlign w:val="center"/>
          </w:tcPr>
          <w:p w14:paraId="720001CD">
            <w:pPr>
              <w:spacing w:before="0" w:after="0" w:line="240" w:lineRule="auto"/>
              <w:ind w:left="0" w:right="0" w:firstLine="0"/>
              <w:jc w:val="left"/>
            </w:pPr>
            <w:r>
              <w:rPr>
                <w:rFonts w:ascii="宋体" w:hAnsi="宋体" w:eastAsia="宋体" w:cs="宋体"/>
                <w:b w:val="0"/>
                <w:color w:val="000000"/>
                <w:sz w:val="18"/>
              </w:rPr>
              <w:t>AI数据治理提供的MES、QMS、LIMS、DCS、EAM、PHM、WMS、TMS数据；批次谱系、质量规格限与质量影响因素知识</w:t>
            </w:r>
          </w:p>
        </w:tc>
        <w:tc>
          <w:tcPr>
            <w:tcW w:w="1020" w:type="dxa"/>
            <w:shd w:val="clear" w:color="auto" w:fill="FFFFFF"/>
            <w:vAlign w:val="center"/>
          </w:tcPr>
          <w:p w14:paraId="720001CE">
            <w:pPr>
              <w:spacing w:before="0" w:after="0" w:line="240" w:lineRule="auto"/>
              <w:ind w:left="0" w:right="0" w:firstLine="0"/>
              <w:jc w:val="left"/>
            </w:pPr>
            <w:r>
              <w:rPr>
                <w:rFonts w:ascii="宋体" w:hAnsi="宋体" w:eastAsia="宋体" w:cs="宋体"/>
                <w:b w:val="0"/>
                <w:color w:val="000000"/>
                <w:sz w:val="18"/>
              </w:rPr>
              <w:t>追溯证据链报告、适用的事故清单及授权导出的原始明细；相关责任人；平台归因反馈转知识审核或运营处理</w:t>
            </w:r>
          </w:p>
        </w:tc>
        <w:tc>
          <w:tcPr>
            <w:tcW w:w="1102" w:type="dxa"/>
            <w:shd w:val="clear" w:color="auto" w:fill="FFFFFF"/>
            <w:vAlign w:val="center"/>
          </w:tcPr>
          <w:p w14:paraId="720001CF">
            <w:pPr>
              <w:spacing w:before="0" w:after="0" w:line="240" w:lineRule="auto"/>
              <w:ind w:left="0" w:right="0" w:firstLine="0"/>
              <w:jc w:val="left"/>
            </w:pPr>
            <w:r>
              <w:rPr>
                <w:rFonts w:ascii="宋体" w:hAnsi="宋体" w:eastAsia="宋体" w:cs="宋体"/>
                <w:b w:val="0"/>
                <w:color w:val="000000"/>
                <w:sz w:val="18"/>
              </w:rPr>
              <w:t>质量工程师、生产管理人员</w:t>
            </w:r>
          </w:p>
        </w:tc>
      </w:tr>
      <w:tr w14:paraId="720001D0">
        <w:trPr>
          <w:cantSplit/>
          <w:jc w:val="center"/>
        </w:trPr>
        <w:tc>
          <w:tcPr>
            <w:tcW w:w="760" w:type="dxa"/>
            <w:vMerge w:val="continue"/>
            <w:shd w:val="clear" w:color="auto" w:fill="FFFFFF"/>
            <w:vAlign w:val="center"/>
          </w:tcPr>
          <w:p w14:paraId="720001D1">
            <w:pPr>
              <w:spacing w:before="0" w:after="0" w:line="240" w:lineRule="auto"/>
              <w:ind w:left="0" w:right="0" w:firstLine="0"/>
              <w:jc w:val="left"/>
            </w:pPr>
          </w:p>
        </w:tc>
        <w:tc>
          <w:tcPr>
            <w:tcW w:w="1120" w:type="dxa"/>
            <w:shd w:val="clear" w:color="auto" w:fill="FFFFFF"/>
            <w:vAlign w:val="center"/>
          </w:tcPr>
          <w:p w14:paraId="720001D2">
            <w:pPr>
              <w:spacing w:before="0" w:after="0" w:line="240" w:lineRule="auto"/>
              <w:ind w:left="0" w:right="0" w:firstLine="0"/>
              <w:jc w:val="left"/>
            </w:pPr>
            <w:r>
              <w:rPr>
                <w:rFonts w:ascii="宋体" w:hAnsi="宋体" w:eastAsia="宋体" w:cs="宋体"/>
                <w:b w:val="0"/>
                <w:color w:val="000000"/>
                <w:sz w:val="18"/>
              </w:rPr>
              <w:t>动设备故障预警与动设备管理</w:t>
            </w:r>
          </w:p>
        </w:tc>
        <w:tc>
          <w:tcPr>
            <w:tcW w:w="1430" w:type="dxa"/>
            <w:shd w:val="clear" w:color="auto" w:fill="FFFFFF"/>
            <w:vAlign w:val="center"/>
          </w:tcPr>
          <w:p w14:paraId="720001D3">
            <w:pPr>
              <w:spacing w:before="0" w:after="0" w:line="240" w:lineRule="auto"/>
              <w:ind w:left="0" w:right="0" w:firstLine="0"/>
              <w:jc w:val="left"/>
            </w:pPr>
            <w:r>
              <w:rPr>
                <w:rFonts w:ascii="宋体" w:hAnsi="宋体" w:eastAsia="宋体" w:cs="宋体"/>
                <w:b w:val="0"/>
                <w:color w:val="000000"/>
                <w:sz w:val="18"/>
              </w:rPr>
              <w:t>P-ZLTC-AI-DSBGZYJYDSBGL-018</w:t>
            </w:r>
          </w:p>
        </w:tc>
        <w:tc>
          <w:tcPr>
            <w:tcW w:w="2119" w:type="dxa"/>
            <w:shd w:val="clear" w:color="auto" w:fill="FFFFFF"/>
            <w:vAlign w:val="center"/>
          </w:tcPr>
          <w:p w14:paraId="720001D4">
            <w:pPr>
              <w:spacing w:before="0" w:after="0" w:line="240" w:lineRule="auto"/>
              <w:ind w:left="0" w:right="0" w:firstLine="0"/>
              <w:jc w:val="left"/>
            </w:pPr>
            <w:r>
              <w:rPr>
                <w:rFonts w:ascii="宋体" w:hAnsi="宋体" w:eastAsia="宋体" w:cs="宋体"/>
                <w:b w:val="0"/>
                <w:color w:val="000000"/>
                <w:sz w:val="18"/>
              </w:rPr>
              <w:t>聚合并解读大型动设备PHM预警；整合档案、维修、备件与责任人；阈值及趋势对照，引用既有诊断并形成分级排查建议；按风险排序保养到期、维修事项等设备清单；不生成维修工单。详见5.3.2.8。</w:t>
            </w:r>
          </w:p>
        </w:tc>
        <w:tc>
          <w:tcPr>
            <w:tcW w:w="1521" w:type="dxa"/>
            <w:shd w:val="clear" w:color="auto" w:fill="FFFFFF"/>
            <w:vAlign w:val="center"/>
          </w:tcPr>
          <w:p w14:paraId="720001D5">
            <w:pPr>
              <w:spacing w:before="0" w:after="0" w:line="240" w:lineRule="auto"/>
              <w:ind w:left="0" w:right="0" w:firstLine="0"/>
              <w:jc w:val="left"/>
            </w:pPr>
            <w:r>
              <w:rPr>
                <w:rFonts w:ascii="宋体" w:hAnsi="宋体" w:eastAsia="宋体" w:cs="宋体"/>
                <w:b w:val="0"/>
                <w:color w:val="000000"/>
                <w:sz w:val="18"/>
              </w:rPr>
              <w:t>AI数据治理提供的PHM预警与诊断、EAM及台账扩展字段、DCS与实时数据库数据；额定参数、报警联锁阈值及大型动设备故障模式知识</w:t>
            </w:r>
          </w:p>
        </w:tc>
        <w:tc>
          <w:tcPr>
            <w:tcW w:w="1020" w:type="dxa"/>
            <w:shd w:val="clear" w:color="auto" w:fill="FFFFFF"/>
            <w:vAlign w:val="center"/>
          </w:tcPr>
          <w:p w14:paraId="720001D6">
            <w:pPr>
              <w:spacing w:before="0" w:after="0" w:line="240" w:lineRule="auto"/>
              <w:ind w:left="0" w:right="0" w:firstLine="0"/>
              <w:jc w:val="left"/>
            </w:pPr>
            <w:r>
              <w:rPr>
                <w:rFonts w:ascii="宋体" w:hAnsi="宋体" w:eastAsia="宋体" w:cs="宋体"/>
                <w:b w:val="0"/>
                <w:color w:val="000000"/>
                <w:sz w:val="18"/>
              </w:rPr>
              <w:t>会话设备清单与建议卡；按授权推送设备责任人并记录确认；确认案例与纠正线索转知识审核或运营处理</w:t>
            </w:r>
          </w:p>
        </w:tc>
        <w:tc>
          <w:tcPr>
            <w:tcW w:w="1102" w:type="dxa"/>
            <w:shd w:val="clear" w:color="auto" w:fill="FFFFFF"/>
            <w:vAlign w:val="center"/>
          </w:tcPr>
          <w:p w14:paraId="720001D7">
            <w:pPr>
              <w:spacing w:before="0" w:after="0" w:line="240" w:lineRule="auto"/>
              <w:ind w:left="0" w:right="0" w:firstLine="0"/>
              <w:jc w:val="left"/>
            </w:pPr>
            <w:r>
              <w:rPr>
                <w:rFonts w:ascii="宋体" w:hAnsi="宋体" w:eastAsia="宋体" w:cs="宋体"/>
                <w:b w:val="0"/>
                <w:color w:val="000000"/>
                <w:sz w:val="18"/>
              </w:rPr>
              <w:t>设备工程师、运维人员</w:t>
            </w:r>
          </w:p>
        </w:tc>
      </w:tr>
      <w:tr w14:paraId="720001E8">
        <w:trPr>
          <w:cantSplit/>
          <w:jc w:val="center"/>
        </w:trPr>
        <w:tc>
          <w:tcPr>
            <w:tcW w:w="760" w:type="dxa"/>
            <w:vMerge w:val="continue"/>
            <w:shd w:val="clear" w:color="auto" w:fill="FFFFFF"/>
            <w:vAlign w:val="center"/>
          </w:tcPr>
          <w:p w14:paraId="720001E9">
            <w:pPr>
              <w:spacing w:before="0" w:after="0" w:line="240" w:lineRule="auto"/>
              <w:ind w:left="0" w:right="0" w:firstLine="0"/>
              <w:jc w:val="left"/>
            </w:pPr>
          </w:p>
        </w:tc>
        <w:tc>
          <w:tcPr>
            <w:tcW w:w="1120" w:type="dxa"/>
            <w:shd w:val="clear" w:color="auto" w:fill="FFFFFF"/>
            <w:vAlign w:val="center"/>
          </w:tcPr>
          <w:p w14:paraId="720001EA">
            <w:pPr>
              <w:spacing w:before="0" w:after="0" w:line="240" w:lineRule="auto"/>
              <w:ind w:left="0" w:right="0" w:firstLine="0"/>
              <w:jc w:val="left"/>
            </w:pPr>
            <w:r>
              <w:rPr>
                <w:rFonts w:ascii="宋体" w:hAnsi="宋体" w:eastAsia="宋体" w:cs="宋体"/>
                <w:b w:val="0"/>
                <w:color w:val="000000"/>
                <w:sz w:val="18"/>
              </w:rPr>
              <w:t>质量根因分析—监控预警</w:t>
            </w:r>
          </w:p>
        </w:tc>
        <w:tc>
          <w:tcPr>
            <w:tcW w:w="1430" w:type="dxa"/>
            <w:shd w:val="clear" w:color="auto" w:fill="FFFFFF"/>
            <w:vAlign w:val="center"/>
          </w:tcPr>
          <w:p w14:paraId="720001EB">
            <w:pPr>
              <w:spacing w:before="0" w:after="0" w:line="240" w:lineRule="auto"/>
              <w:ind w:left="0" w:right="0" w:firstLine="0"/>
              <w:jc w:val="left"/>
            </w:pPr>
            <w:r>
              <w:rPr>
                <w:rFonts w:ascii="宋体" w:hAnsi="宋体" w:eastAsia="宋体" w:cs="宋体"/>
                <w:b w:val="0"/>
                <w:color w:val="000000"/>
                <w:sz w:val="18"/>
              </w:rPr>
              <w:t>P-ZLTC-AI-ZLGYFXJKYJ-019</w:t>
            </w:r>
          </w:p>
        </w:tc>
        <w:tc>
          <w:tcPr>
            <w:tcW w:w="2119" w:type="dxa"/>
            <w:shd w:val="clear" w:color="auto" w:fill="FFFFFF"/>
            <w:vAlign w:val="center"/>
          </w:tcPr>
          <w:p w14:paraId="720001EC">
            <w:pPr>
              <w:spacing w:before="0" w:after="0" w:line="240" w:lineRule="auto"/>
              <w:ind w:left="0" w:right="0" w:firstLine="0"/>
              <w:jc w:val="left"/>
            </w:pPr>
            <w:r>
              <w:rPr>
                <w:rFonts w:ascii="宋体" w:hAnsi="宋体" w:eastAsia="宋体" w:cs="宋体"/>
                <w:b w:val="0"/>
                <w:color w:val="000000"/>
                <w:sz w:val="18"/>
              </w:rPr>
              <w:t>持续跟踪质量指标趋势、工艺参数稳定性、原料批次切换与设备扰动，识别质量偏离和趋势性漂移并触发分析任务。详见5.3.2.9。</w:t>
            </w:r>
          </w:p>
        </w:tc>
        <w:tc>
          <w:tcPr>
            <w:tcW w:w="1521" w:type="dxa"/>
            <w:shd w:val="clear" w:color="auto" w:fill="FFFFFF"/>
            <w:vAlign w:val="center"/>
          </w:tcPr>
          <w:p w14:paraId="720001ED">
            <w:pPr>
              <w:spacing w:before="0" w:after="0" w:line="240" w:lineRule="auto"/>
              <w:ind w:left="0" w:right="0" w:firstLine="0"/>
              <w:jc w:val="left"/>
            </w:pPr>
            <w:r>
              <w:rPr>
                <w:rFonts w:ascii="宋体" w:hAnsi="宋体" w:eastAsia="宋体" w:cs="宋体"/>
                <w:b w:val="0"/>
                <w:color w:val="000000"/>
                <w:sz w:val="18"/>
              </w:rPr>
              <w:t>DCS、MES、LIMS、在线检测及原料批次数据</w:t>
            </w:r>
          </w:p>
        </w:tc>
        <w:tc>
          <w:tcPr>
            <w:tcW w:w="1020" w:type="dxa"/>
            <w:shd w:val="clear" w:color="auto" w:fill="FFFFFF"/>
            <w:vAlign w:val="center"/>
          </w:tcPr>
          <w:p w14:paraId="720001EE">
            <w:pPr>
              <w:spacing w:before="0" w:after="0" w:line="240" w:lineRule="auto"/>
              <w:ind w:left="0" w:right="0" w:firstLine="0"/>
              <w:jc w:val="left"/>
            </w:pPr>
            <w:r>
              <w:rPr>
                <w:rFonts w:ascii="宋体" w:hAnsi="宋体" w:eastAsia="宋体" w:cs="宋体"/>
                <w:b w:val="0"/>
                <w:color w:val="000000"/>
                <w:sz w:val="18"/>
              </w:rPr>
              <w:t>质量事件、趋势与分析任务</w:t>
            </w:r>
          </w:p>
        </w:tc>
        <w:tc>
          <w:tcPr>
            <w:tcW w:w="1102" w:type="dxa"/>
            <w:shd w:val="clear" w:color="auto" w:fill="FFFFFF"/>
            <w:vAlign w:val="center"/>
          </w:tcPr>
          <w:p w14:paraId="720001EF">
            <w:pPr>
              <w:spacing w:before="0" w:after="0" w:line="240" w:lineRule="auto"/>
              <w:ind w:left="0" w:right="0" w:firstLine="0"/>
              <w:jc w:val="left"/>
            </w:pPr>
            <w:r>
              <w:rPr>
                <w:rFonts w:ascii="宋体" w:hAnsi="宋体" w:eastAsia="宋体" w:cs="宋体"/>
                <w:b w:val="0"/>
                <w:color w:val="000000"/>
                <w:sz w:val="18"/>
              </w:rPr>
              <w:t>质量工程师、工艺工程师</w:t>
            </w:r>
          </w:p>
        </w:tc>
      </w:tr>
      <w:tr w14:paraId="720001F0">
        <w:trPr>
          <w:cantSplit/>
          <w:jc w:val="center"/>
        </w:trPr>
        <w:tc>
          <w:tcPr>
            <w:tcW w:w="760" w:type="dxa"/>
            <w:vMerge w:val="continue"/>
            <w:shd w:val="clear" w:color="auto" w:fill="FFFFFF"/>
            <w:vAlign w:val="center"/>
          </w:tcPr>
          <w:p w14:paraId="720001F1">
            <w:pPr>
              <w:spacing w:before="0" w:after="0" w:line="240" w:lineRule="auto"/>
              <w:ind w:left="0" w:right="0" w:firstLine="0"/>
              <w:jc w:val="left"/>
            </w:pPr>
          </w:p>
        </w:tc>
        <w:tc>
          <w:tcPr>
            <w:tcW w:w="1120" w:type="dxa"/>
            <w:shd w:val="clear" w:color="auto" w:fill="FFFFFF"/>
            <w:vAlign w:val="center"/>
          </w:tcPr>
          <w:p w14:paraId="720001F2">
            <w:pPr>
              <w:spacing w:before="0" w:after="0" w:line="240" w:lineRule="auto"/>
              <w:ind w:left="0" w:right="0" w:firstLine="0"/>
              <w:jc w:val="left"/>
            </w:pPr>
            <w:r>
              <w:rPr>
                <w:rFonts w:ascii="宋体" w:hAnsi="宋体" w:eastAsia="宋体" w:cs="宋体"/>
                <w:b w:val="0"/>
                <w:color w:val="000000"/>
                <w:sz w:val="18"/>
              </w:rPr>
              <w:t>质量根因分析—因果关联与证据对齐</w:t>
            </w:r>
          </w:p>
        </w:tc>
        <w:tc>
          <w:tcPr>
            <w:tcW w:w="1430" w:type="dxa"/>
            <w:shd w:val="clear" w:color="auto" w:fill="FFFFFF"/>
            <w:vAlign w:val="center"/>
          </w:tcPr>
          <w:p w14:paraId="720001F3">
            <w:pPr>
              <w:spacing w:before="0" w:after="0" w:line="240" w:lineRule="auto"/>
              <w:ind w:left="0" w:right="0" w:firstLine="0"/>
              <w:jc w:val="left"/>
            </w:pPr>
            <w:r>
              <w:rPr>
                <w:rFonts w:ascii="宋体" w:hAnsi="宋体" w:eastAsia="宋体" w:cs="宋体"/>
                <w:b w:val="0"/>
                <w:color w:val="000000"/>
                <w:sz w:val="18"/>
              </w:rPr>
              <w:t>P-ZLTC-AI-ZLGYFXYGGY-020</w:t>
            </w:r>
          </w:p>
        </w:tc>
        <w:tc>
          <w:tcPr>
            <w:tcW w:w="2119" w:type="dxa"/>
            <w:shd w:val="clear" w:color="auto" w:fill="FFFFFF"/>
            <w:vAlign w:val="center"/>
          </w:tcPr>
          <w:p w14:paraId="720001F4">
            <w:pPr>
              <w:spacing w:before="0" w:after="0" w:line="240" w:lineRule="auto"/>
              <w:ind w:left="0" w:right="0" w:firstLine="0"/>
              <w:jc w:val="left"/>
            </w:pPr>
            <w:r>
              <w:rPr>
                <w:rFonts w:ascii="宋体" w:hAnsi="宋体" w:eastAsia="宋体" w:cs="宋体"/>
                <w:b w:val="0"/>
                <w:color w:val="000000"/>
                <w:sz w:val="18"/>
              </w:rPr>
              <w:t>应用质量因果图谱关联终点指标、中间质检点、工序参数及原料、设备、环境因素，按统一时间轴对齐多源证据。详见5.3.2.9。</w:t>
            </w:r>
          </w:p>
        </w:tc>
        <w:tc>
          <w:tcPr>
            <w:tcW w:w="1521" w:type="dxa"/>
            <w:shd w:val="clear" w:color="auto" w:fill="FFFFFF"/>
            <w:vAlign w:val="center"/>
          </w:tcPr>
          <w:p w14:paraId="720001F5">
            <w:pPr>
              <w:spacing w:before="0" w:after="0" w:line="240" w:lineRule="auto"/>
              <w:ind w:left="0" w:right="0" w:firstLine="0"/>
              <w:jc w:val="left"/>
            </w:pPr>
            <w:r>
              <w:rPr>
                <w:rFonts w:ascii="宋体" w:hAnsi="宋体" w:eastAsia="宋体" w:cs="宋体"/>
                <w:b w:val="0"/>
                <w:color w:val="000000"/>
                <w:sz w:val="18"/>
              </w:rPr>
              <w:t>质量因果图谱；DCS、MES、LIMS、来料、QMS与在线检测数据</w:t>
            </w:r>
          </w:p>
        </w:tc>
        <w:tc>
          <w:tcPr>
            <w:tcW w:w="1020" w:type="dxa"/>
            <w:shd w:val="clear" w:color="auto" w:fill="FFFFFF"/>
            <w:vAlign w:val="center"/>
          </w:tcPr>
          <w:p w14:paraId="720001F6">
            <w:pPr>
              <w:spacing w:before="0" w:after="0" w:line="240" w:lineRule="auto"/>
              <w:ind w:left="0" w:right="0" w:firstLine="0"/>
              <w:jc w:val="left"/>
            </w:pPr>
            <w:r>
              <w:rPr>
                <w:rFonts w:ascii="宋体" w:hAnsi="宋体" w:eastAsia="宋体" w:cs="宋体"/>
                <w:b w:val="0"/>
                <w:color w:val="000000"/>
                <w:sz w:val="18"/>
              </w:rPr>
              <w:t>质量因果链、对齐后的时序证据与核证范围</w:t>
            </w:r>
          </w:p>
        </w:tc>
        <w:tc>
          <w:tcPr>
            <w:tcW w:w="1102" w:type="dxa"/>
            <w:shd w:val="clear" w:color="auto" w:fill="FFFFFF"/>
            <w:vAlign w:val="center"/>
          </w:tcPr>
          <w:p w14:paraId="720001F7">
            <w:pPr>
              <w:spacing w:before="0" w:after="0" w:line="240" w:lineRule="auto"/>
              <w:ind w:left="0" w:right="0" w:firstLine="0"/>
              <w:jc w:val="left"/>
            </w:pPr>
            <w:r>
              <w:rPr>
                <w:rFonts w:ascii="宋体" w:hAnsi="宋体" w:eastAsia="宋体" w:cs="宋体"/>
                <w:b w:val="0"/>
                <w:color w:val="000000"/>
                <w:sz w:val="18"/>
              </w:rPr>
              <w:t>质量工程师、工艺工程师</w:t>
            </w:r>
          </w:p>
        </w:tc>
      </w:tr>
      <w:tr w14:paraId="720001F8">
        <w:trPr>
          <w:cantSplit/>
          <w:jc w:val="center"/>
        </w:trPr>
        <w:tc>
          <w:tcPr>
            <w:tcW w:w="760" w:type="dxa"/>
            <w:vMerge w:val="continue"/>
            <w:shd w:val="clear" w:color="auto" w:fill="FFFFFF"/>
            <w:vAlign w:val="center"/>
          </w:tcPr>
          <w:p w14:paraId="720001F9">
            <w:pPr>
              <w:spacing w:before="0" w:after="0" w:line="240" w:lineRule="auto"/>
              <w:ind w:left="0" w:right="0" w:firstLine="0"/>
              <w:jc w:val="left"/>
            </w:pPr>
          </w:p>
        </w:tc>
        <w:tc>
          <w:tcPr>
            <w:tcW w:w="1120" w:type="dxa"/>
            <w:shd w:val="clear" w:color="auto" w:fill="FFFFFF"/>
            <w:vAlign w:val="center"/>
          </w:tcPr>
          <w:p w14:paraId="720001FA">
            <w:pPr>
              <w:spacing w:before="0" w:after="0" w:line="240" w:lineRule="auto"/>
              <w:ind w:left="0" w:right="0" w:firstLine="0"/>
              <w:jc w:val="left"/>
            </w:pPr>
            <w:r>
              <w:rPr>
                <w:rFonts w:ascii="宋体" w:hAnsi="宋体" w:eastAsia="宋体" w:cs="宋体"/>
                <w:b w:val="0"/>
                <w:color w:val="000000"/>
                <w:sz w:val="18"/>
              </w:rPr>
              <w:t>质量根因分析—信号核验与根因诊断</w:t>
            </w:r>
          </w:p>
        </w:tc>
        <w:tc>
          <w:tcPr>
            <w:tcW w:w="1430" w:type="dxa"/>
            <w:shd w:val="clear" w:color="auto" w:fill="FFFFFF"/>
            <w:vAlign w:val="center"/>
          </w:tcPr>
          <w:p w14:paraId="720001FB">
            <w:pPr>
              <w:spacing w:before="0" w:after="0" w:line="240" w:lineRule="auto"/>
              <w:ind w:left="0" w:right="0" w:firstLine="0"/>
              <w:jc w:val="left"/>
            </w:pPr>
            <w:r>
              <w:rPr>
                <w:rFonts w:ascii="宋体" w:hAnsi="宋体" w:eastAsia="宋体" w:cs="宋体"/>
                <w:b w:val="0"/>
                <w:color w:val="000000"/>
                <w:sz w:val="18"/>
              </w:rPr>
              <w:t>P-ZLTC-AI-ZLGYFXXHGY-021</w:t>
            </w:r>
          </w:p>
        </w:tc>
        <w:tc>
          <w:tcPr>
            <w:tcW w:w="2119" w:type="dxa"/>
            <w:shd w:val="clear" w:color="auto" w:fill="FFFFFF"/>
            <w:vAlign w:val="center"/>
          </w:tcPr>
          <w:p w14:paraId="720001FC">
            <w:pPr>
              <w:spacing w:before="0" w:after="0" w:line="240" w:lineRule="auto"/>
              <w:ind w:left="0" w:right="0" w:firstLine="0"/>
              <w:jc w:val="left"/>
            </w:pPr>
            <w:r>
              <w:rPr>
                <w:rFonts w:ascii="宋体" w:hAnsi="宋体" w:eastAsia="宋体" w:cs="宋体"/>
                <w:b w:val="0"/>
                <w:color w:val="000000"/>
                <w:sz w:val="18"/>
              </w:rPr>
              <w:t>区分仪表、通信等信号异常与真实质量偏离；沿因果链回溯，计算因素贡献度与可能性，输出根因链、排序、置信度及针对性建议。详见5.3.2.9。</w:t>
            </w:r>
          </w:p>
        </w:tc>
        <w:tc>
          <w:tcPr>
            <w:tcW w:w="1521" w:type="dxa"/>
            <w:shd w:val="clear" w:color="auto" w:fill="FFFFFF"/>
            <w:vAlign w:val="center"/>
          </w:tcPr>
          <w:p w14:paraId="720001FD">
            <w:pPr>
              <w:spacing w:before="0" w:after="0" w:line="240" w:lineRule="auto"/>
              <w:ind w:left="0" w:right="0" w:firstLine="0"/>
              <w:jc w:val="left"/>
            </w:pPr>
            <w:r>
              <w:rPr>
                <w:rFonts w:ascii="宋体" w:hAnsi="宋体" w:eastAsia="宋体" w:cs="宋体"/>
                <w:b w:val="0"/>
                <w:color w:val="000000"/>
                <w:sz w:val="18"/>
              </w:rPr>
              <w:t>质量事件、时序对齐证据与质量知识图谱</w:t>
            </w:r>
          </w:p>
        </w:tc>
        <w:tc>
          <w:tcPr>
            <w:tcW w:w="1020" w:type="dxa"/>
            <w:shd w:val="clear" w:color="auto" w:fill="FFFFFF"/>
            <w:vAlign w:val="center"/>
          </w:tcPr>
          <w:p w14:paraId="720001FE">
            <w:pPr>
              <w:spacing w:before="0" w:after="0" w:line="240" w:lineRule="auto"/>
              <w:ind w:left="0" w:right="0" w:firstLine="0"/>
              <w:jc w:val="left"/>
            </w:pPr>
            <w:r>
              <w:rPr>
                <w:rFonts w:ascii="宋体" w:hAnsi="宋体" w:eastAsia="宋体" w:cs="宋体"/>
                <w:b w:val="0"/>
                <w:color w:val="000000"/>
                <w:sz w:val="18"/>
              </w:rPr>
              <w:t>信号核验提示、根因诊断报告及建议</w:t>
            </w:r>
          </w:p>
        </w:tc>
        <w:tc>
          <w:tcPr>
            <w:tcW w:w="1102" w:type="dxa"/>
            <w:shd w:val="clear" w:color="auto" w:fill="FFFFFF"/>
            <w:vAlign w:val="center"/>
          </w:tcPr>
          <w:p w14:paraId="720001FF">
            <w:pPr>
              <w:spacing w:before="0" w:after="0" w:line="240" w:lineRule="auto"/>
              <w:ind w:left="0" w:right="0" w:firstLine="0"/>
              <w:jc w:val="left"/>
            </w:pPr>
            <w:r>
              <w:rPr>
                <w:rFonts w:ascii="宋体" w:hAnsi="宋体" w:eastAsia="宋体" w:cs="宋体"/>
                <w:b w:val="0"/>
                <w:color w:val="000000"/>
                <w:sz w:val="18"/>
              </w:rPr>
              <w:t>质量工程师、工艺工程师</w:t>
            </w:r>
          </w:p>
        </w:tc>
      </w:tr>
      <w:tr w14:paraId="72000200">
        <w:trPr>
          <w:cantSplit/>
          <w:jc w:val="center"/>
        </w:trPr>
        <w:tc>
          <w:tcPr>
            <w:tcW w:w="760" w:type="dxa"/>
            <w:vMerge w:val="continue"/>
            <w:shd w:val="clear" w:color="auto" w:fill="FFFFFF"/>
            <w:vAlign w:val="center"/>
          </w:tcPr>
          <w:p w14:paraId="72000201">
            <w:pPr>
              <w:spacing w:before="0" w:after="0" w:line="240" w:lineRule="auto"/>
              <w:ind w:left="0" w:right="0" w:firstLine="0"/>
              <w:jc w:val="left"/>
            </w:pPr>
          </w:p>
        </w:tc>
        <w:tc>
          <w:tcPr>
            <w:tcW w:w="1120" w:type="dxa"/>
            <w:shd w:val="clear" w:color="auto" w:fill="FFFFFF"/>
            <w:vAlign w:val="center"/>
          </w:tcPr>
          <w:p w14:paraId="72000202">
            <w:pPr>
              <w:spacing w:before="0" w:after="0" w:line="240" w:lineRule="auto"/>
              <w:ind w:left="0" w:right="0" w:firstLine="0"/>
              <w:jc w:val="left"/>
            </w:pPr>
            <w:r>
              <w:rPr>
                <w:rFonts w:ascii="宋体" w:hAnsi="宋体" w:eastAsia="宋体" w:cs="宋体"/>
                <w:b w:val="0"/>
                <w:color w:val="000000"/>
                <w:sz w:val="18"/>
              </w:rPr>
              <w:t>质量根因分析—复核处置与案例沉淀</w:t>
            </w:r>
          </w:p>
        </w:tc>
        <w:tc>
          <w:tcPr>
            <w:tcW w:w="1430" w:type="dxa"/>
            <w:shd w:val="clear" w:color="auto" w:fill="FFFFFF"/>
            <w:vAlign w:val="center"/>
          </w:tcPr>
          <w:p w14:paraId="72000203">
            <w:pPr>
              <w:spacing w:before="0" w:after="0" w:line="240" w:lineRule="auto"/>
              <w:ind w:left="0" w:right="0" w:firstLine="0"/>
              <w:jc w:val="left"/>
            </w:pPr>
            <w:r>
              <w:rPr>
                <w:rFonts w:ascii="宋体" w:hAnsi="宋体" w:eastAsia="宋体" w:cs="宋体"/>
                <w:b w:val="0"/>
                <w:color w:val="000000"/>
                <w:sz w:val="18"/>
              </w:rPr>
              <w:t>P-ZLTC-AI-ZLGYFXFHCL-022</w:t>
            </w:r>
          </w:p>
        </w:tc>
        <w:tc>
          <w:tcPr>
            <w:tcW w:w="2119" w:type="dxa"/>
            <w:shd w:val="clear" w:color="auto" w:fill="FFFFFF"/>
            <w:vAlign w:val="center"/>
          </w:tcPr>
          <w:p w14:paraId="72000204">
            <w:pPr>
              <w:spacing w:before="0" w:after="0" w:line="240" w:lineRule="auto"/>
              <w:ind w:left="0" w:right="0" w:firstLine="0"/>
              <w:jc w:val="left"/>
            </w:pPr>
            <w:r>
              <w:rPr>
                <w:rFonts w:ascii="宋体" w:hAnsi="宋体" w:eastAsia="宋体" w:cs="宋体"/>
                <w:b w:val="0"/>
                <w:color w:val="000000"/>
                <w:sz w:val="18"/>
              </w:rPr>
              <w:t>支持品控和工艺人员采纳或否认诊断结论，否认后更新操作并重新诊断；记录确认执行结果，归档案例、更新图谱权重并同步既有交接班记录。详见5.3.2.9。</w:t>
            </w:r>
          </w:p>
        </w:tc>
        <w:tc>
          <w:tcPr>
            <w:tcW w:w="1521" w:type="dxa"/>
            <w:shd w:val="clear" w:color="auto" w:fill="FFFFFF"/>
            <w:vAlign w:val="center"/>
          </w:tcPr>
          <w:p w14:paraId="72000205">
            <w:pPr>
              <w:spacing w:before="0" w:after="0" w:line="240" w:lineRule="auto"/>
              <w:ind w:left="0" w:right="0" w:firstLine="0"/>
              <w:jc w:val="left"/>
            </w:pPr>
            <w:r>
              <w:rPr>
                <w:rFonts w:ascii="宋体" w:hAnsi="宋体" w:eastAsia="宋体" w:cs="宋体"/>
                <w:b w:val="0"/>
                <w:color w:val="000000"/>
                <w:sz w:val="18"/>
              </w:rPr>
              <w:t>诊断结论、人员复核及处置执行记录</w:t>
            </w:r>
          </w:p>
        </w:tc>
        <w:tc>
          <w:tcPr>
            <w:tcW w:w="1020" w:type="dxa"/>
            <w:shd w:val="clear" w:color="auto" w:fill="FFFFFF"/>
            <w:vAlign w:val="center"/>
          </w:tcPr>
          <w:p w14:paraId="72000206">
            <w:pPr>
              <w:spacing w:before="0" w:after="0" w:line="240" w:lineRule="auto"/>
              <w:ind w:left="0" w:right="0" w:firstLine="0"/>
              <w:jc w:val="left"/>
            </w:pPr>
            <w:r>
              <w:rPr>
                <w:rFonts w:ascii="宋体" w:hAnsi="宋体" w:eastAsia="宋体" w:cs="宋体"/>
                <w:b w:val="0"/>
                <w:color w:val="000000"/>
                <w:sz w:val="18"/>
              </w:rPr>
              <w:t>复核与处置记录、质量案例和知识更新线索</w:t>
            </w:r>
          </w:p>
        </w:tc>
        <w:tc>
          <w:tcPr>
            <w:tcW w:w="1102" w:type="dxa"/>
            <w:shd w:val="clear" w:color="auto" w:fill="FFFFFF"/>
            <w:vAlign w:val="center"/>
          </w:tcPr>
          <w:p w14:paraId="72000207">
            <w:pPr>
              <w:spacing w:before="0" w:after="0" w:line="240" w:lineRule="auto"/>
              <w:ind w:left="0" w:right="0" w:firstLine="0"/>
              <w:jc w:val="left"/>
            </w:pPr>
            <w:r>
              <w:rPr>
                <w:rFonts w:ascii="宋体" w:hAnsi="宋体" w:eastAsia="宋体" w:cs="宋体"/>
                <w:b w:val="0"/>
                <w:color w:val="000000"/>
                <w:sz w:val="18"/>
              </w:rPr>
              <w:t>质量工程师、工艺工程师、中控操作员</w:t>
            </w:r>
          </w:p>
        </w:tc>
      </w:tr>
      <w:tr w14:paraId="72000208">
        <w:trPr>
          <w:cantSplit/>
          <w:jc w:val="center"/>
        </w:trPr>
        <w:tc>
          <w:tcPr>
            <w:tcW w:w="760" w:type="dxa"/>
            <w:vMerge w:val="continue"/>
            <w:shd w:val="clear" w:color="auto" w:fill="FFFFFF"/>
            <w:vAlign w:val="center"/>
          </w:tcPr>
          <w:p w14:paraId="72000209">
            <w:pPr>
              <w:spacing w:before="0" w:after="0" w:line="240" w:lineRule="auto"/>
              <w:ind w:left="0" w:right="0" w:firstLine="0"/>
              <w:jc w:val="left"/>
            </w:pPr>
          </w:p>
        </w:tc>
        <w:tc>
          <w:tcPr>
            <w:tcW w:w="1120" w:type="dxa"/>
            <w:shd w:val="clear" w:color="auto" w:fill="FFFFFF"/>
            <w:vAlign w:val="center"/>
          </w:tcPr>
          <w:p w14:paraId="7200020A">
            <w:pPr>
              <w:spacing w:before="0" w:after="0" w:line="240" w:lineRule="auto"/>
              <w:ind w:left="0" w:right="0" w:firstLine="0"/>
              <w:jc w:val="left"/>
            </w:pPr>
            <w:r>
              <w:rPr>
                <w:rFonts w:ascii="宋体" w:hAnsi="宋体" w:eastAsia="宋体" w:cs="宋体"/>
                <w:b w:val="0"/>
                <w:color w:val="000000"/>
                <w:sz w:val="18"/>
              </w:rPr>
              <w:t>质量根因分析—台账查询与订阅</w:t>
            </w:r>
          </w:p>
        </w:tc>
        <w:tc>
          <w:tcPr>
            <w:tcW w:w="1430" w:type="dxa"/>
            <w:shd w:val="clear" w:color="auto" w:fill="FFFFFF"/>
            <w:vAlign w:val="center"/>
          </w:tcPr>
          <w:p w14:paraId="7200020B">
            <w:pPr>
              <w:spacing w:before="0" w:after="0" w:line="240" w:lineRule="auto"/>
              <w:ind w:left="0" w:right="0" w:firstLine="0"/>
              <w:jc w:val="left"/>
            </w:pPr>
            <w:r>
              <w:rPr>
                <w:rFonts w:ascii="宋体" w:hAnsi="宋体" w:eastAsia="宋体" w:cs="宋体"/>
                <w:b w:val="0"/>
                <w:color w:val="000000"/>
                <w:sz w:val="18"/>
              </w:rPr>
              <w:t>P-ZLTC-AI-ZLGYFXTZCX-023</w:t>
            </w:r>
          </w:p>
        </w:tc>
        <w:tc>
          <w:tcPr>
            <w:tcW w:w="2119" w:type="dxa"/>
            <w:shd w:val="clear" w:color="auto" w:fill="FFFFFF"/>
            <w:vAlign w:val="center"/>
          </w:tcPr>
          <w:p w14:paraId="7200020C">
            <w:pPr>
              <w:spacing w:before="0" w:after="0" w:line="240" w:lineRule="auto"/>
              <w:ind w:left="0" w:right="0" w:firstLine="0"/>
              <w:jc w:val="left"/>
            </w:pPr>
            <w:r>
              <w:rPr>
                <w:rFonts w:ascii="宋体" w:hAnsi="宋体" w:eastAsia="宋体" w:cs="宋体"/>
                <w:b w:val="0"/>
                <w:color w:val="000000"/>
                <w:sz w:val="18"/>
              </w:rPr>
              <w:t>保存事件、对象、时间、诊断结论、建议、版本与复核状态，按业务授权查询和忠实呈现；支持分析完成事件订阅及事件编号明细追问。详见5.3.2.9。</w:t>
            </w:r>
          </w:p>
        </w:tc>
        <w:tc>
          <w:tcPr>
            <w:tcW w:w="1521" w:type="dxa"/>
            <w:shd w:val="clear" w:color="auto" w:fill="FFFFFF"/>
            <w:vAlign w:val="center"/>
          </w:tcPr>
          <w:p w14:paraId="7200020D">
            <w:pPr>
              <w:spacing w:before="0" w:after="0" w:line="240" w:lineRule="auto"/>
              <w:ind w:left="0" w:right="0" w:firstLine="0"/>
              <w:jc w:val="left"/>
            </w:pPr>
            <w:r>
              <w:rPr>
                <w:rFonts w:ascii="宋体" w:hAnsi="宋体" w:eastAsia="宋体" w:cs="宋体"/>
                <w:b w:val="0"/>
                <w:color w:val="000000"/>
                <w:sz w:val="18"/>
              </w:rPr>
              <w:t>质量根因分析台账、支撑证据、复核状态与已登记分析完成事件</w:t>
            </w:r>
          </w:p>
        </w:tc>
        <w:tc>
          <w:tcPr>
            <w:tcW w:w="1020" w:type="dxa"/>
            <w:shd w:val="clear" w:color="auto" w:fill="FFFFFF"/>
            <w:vAlign w:val="center"/>
          </w:tcPr>
          <w:p w14:paraId="7200020E">
            <w:pPr>
              <w:spacing w:before="0" w:after="0" w:line="240" w:lineRule="auto"/>
              <w:ind w:left="0" w:right="0" w:firstLine="0"/>
              <w:jc w:val="left"/>
            </w:pPr>
            <w:r>
              <w:rPr>
                <w:rFonts w:ascii="宋体" w:hAnsi="宋体" w:eastAsia="宋体" w:cs="宋体"/>
                <w:b w:val="0"/>
                <w:color w:val="000000"/>
                <w:sz w:val="18"/>
              </w:rPr>
              <w:t>会话应答、分析报告、授权通知与证据明细</w:t>
            </w:r>
          </w:p>
        </w:tc>
        <w:tc>
          <w:tcPr>
            <w:tcW w:w="1102" w:type="dxa"/>
            <w:shd w:val="clear" w:color="auto" w:fill="FFFFFF"/>
            <w:vAlign w:val="center"/>
          </w:tcPr>
          <w:p w14:paraId="7200020F">
            <w:pPr>
              <w:spacing w:before="0" w:after="0" w:line="240" w:lineRule="auto"/>
              <w:ind w:left="0" w:right="0" w:firstLine="0"/>
              <w:jc w:val="left"/>
            </w:pPr>
            <w:r>
              <w:rPr>
                <w:rFonts w:ascii="宋体" w:hAnsi="宋体" w:eastAsia="宋体" w:cs="宋体"/>
                <w:b w:val="0"/>
                <w:color w:val="000000"/>
                <w:sz w:val="18"/>
              </w:rPr>
              <w:t>质量工程师、工艺工程师</w:t>
            </w:r>
          </w:p>
        </w:tc>
      </w:tr>
      <w:tr w14:paraId="720001D8">
        <w:trPr>
          <w:cantSplit/>
          <w:jc w:val="center"/>
        </w:trPr>
        <w:tc>
          <w:tcPr>
            <w:tcW w:w="760" w:type="dxa"/>
            <w:vMerge w:val="continue"/>
            <w:shd w:val="clear" w:color="auto" w:fill="FFFFFF"/>
            <w:vAlign w:val="center"/>
          </w:tcPr>
          <w:p w14:paraId="720001D9">
            <w:pPr>
              <w:spacing w:before="0" w:after="0" w:line="240" w:lineRule="auto"/>
              <w:ind w:left="0" w:right="0" w:firstLine="0"/>
              <w:jc w:val="left"/>
            </w:pPr>
          </w:p>
        </w:tc>
        <w:tc>
          <w:tcPr>
            <w:tcW w:w="1120" w:type="dxa"/>
            <w:shd w:val="clear" w:color="auto" w:fill="FFFFFF"/>
            <w:vAlign w:val="center"/>
          </w:tcPr>
          <w:p w14:paraId="720001DA">
            <w:pPr>
              <w:spacing w:before="0" w:after="0" w:line="240" w:lineRule="auto"/>
              <w:ind w:left="0" w:right="0" w:firstLine="0"/>
              <w:jc w:val="left"/>
            </w:pPr>
            <w:r>
              <w:rPr>
                <w:rFonts w:ascii="宋体" w:hAnsi="宋体" w:eastAsia="宋体" w:cs="宋体"/>
                <w:b w:val="0"/>
                <w:color w:val="000000"/>
                <w:sz w:val="18"/>
              </w:rPr>
              <w:t>供应链优化与协同系统结果输出</w:t>
            </w:r>
          </w:p>
        </w:tc>
        <w:tc>
          <w:tcPr>
            <w:tcW w:w="1430" w:type="dxa"/>
            <w:shd w:val="clear" w:color="auto" w:fill="FFFFFF"/>
            <w:vAlign w:val="center"/>
          </w:tcPr>
          <w:p w14:paraId="720001DB">
            <w:pPr>
              <w:spacing w:before="0" w:after="0" w:line="240" w:lineRule="auto"/>
              <w:ind w:left="0" w:right="0" w:firstLine="0"/>
              <w:jc w:val="left"/>
            </w:pPr>
            <w:r>
              <w:rPr>
                <w:rFonts w:ascii="宋体" w:hAnsi="宋体" w:eastAsia="宋体" w:cs="宋体"/>
                <w:b w:val="0"/>
                <w:color w:val="000000"/>
                <w:sz w:val="18"/>
              </w:rPr>
              <w:t>P-ZLTC-AI-GYLYHYXTXTJGSC-024</w:t>
            </w:r>
          </w:p>
        </w:tc>
        <w:tc>
          <w:tcPr>
            <w:tcW w:w="2119" w:type="dxa"/>
            <w:shd w:val="clear" w:color="auto" w:fill="FFFFFF"/>
            <w:vAlign w:val="center"/>
          </w:tcPr>
          <w:p w14:paraId="720001DC">
            <w:pPr>
              <w:spacing w:before="0" w:after="0" w:line="240" w:lineRule="auto"/>
              <w:ind w:left="0" w:right="0" w:firstLine="0"/>
              <w:jc w:val="left"/>
            </w:pPr>
            <w:r>
              <w:rPr>
                <w:rFonts w:ascii="宋体" w:hAnsi="宋体" w:eastAsia="宋体" w:cs="宋体"/>
                <w:b w:val="0"/>
                <w:color w:val="000000"/>
                <w:sz w:val="18"/>
              </w:rPr>
              <w:t>查询SCOS既有六类供应链分析结果；按授权校验数字保真并忠实转述，保留口径、来源与截止时间；参数化追问以SCOS接口支持为前提。详见5.3.3.1。</w:t>
            </w:r>
          </w:p>
        </w:tc>
        <w:tc>
          <w:tcPr>
            <w:tcW w:w="1521" w:type="dxa"/>
            <w:shd w:val="clear" w:color="auto" w:fill="FFFFFF"/>
            <w:vAlign w:val="center"/>
          </w:tcPr>
          <w:p w14:paraId="720001DD">
            <w:pPr>
              <w:spacing w:before="0" w:after="0" w:line="240" w:lineRule="auto"/>
              <w:ind w:left="0" w:right="0" w:firstLine="0"/>
              <w:jc w:val="left"/>
            </w:pPr>
            <w:r>
              <w:rPr>
                <w:rFonts w:ascii="宋体" w:hAnsi="宋体" w:eastAsia="宋体" w:cs="宋体"/>
                <w:b w:val="0"/>
                <w:color w:val="000000"/>
                <w:sz w:val="18"/>
              </w:rPr>
              <w:t>SCOS安全库存、采购辅助决策、发货计划、价格与效益推演、边际效益、客户贡献等既有结果、字段字典及口径；平台业务授权配置</w:t>
            </w:r>
          </w:p>
        </w:tc>
        <w:tc>
          <w:tcPr>
            <w:tcW w:w="1020" w:type="dxa"/>
            <w:shd w:val="clear" w:color="auto" w:fill="FFFFFF"/>
            <w:vAlign w:val="center"/>
          </w:tcPr>
          <w:p w14:paraId="720001DE">
            <w:pPr>
              <w:spacing w:before="0" w:after="0" w:line="240" w:lineRule="auto"/>
              <w:ind w:left="0" w:right="0" w:firstLine="0"/>
              <w:jc w:val="left"/>
            </w:pPr>
            <w:r>
              <w:rPr>
                <w:rFonts w:ascii="宋体" w:hAnsi="宋体" w:eastAsia="宋体" w:cs="宋体"/>
                <w:b w:val="0"/>
                <w:color w:val="000000"/>
                <w:sz w:val="18"/>
              </w:rPr>
              <w:t>会话应答与可导出报告；支持的参数追问返回SCOS结果查询</w:t>
            </w:r>
          </w:p>
        </w:tc>
        <w:tc>
          <w:tcPr>
            <w:tcW w:w="1102" w:type="dxa"/>
            <w:shd w:val="clear" w:color="auto" w:fill="FFFFFF"/>
            <w:vAlign w:val="center"/>
          </w:tcPr>
          <w:p w14:paraId="720001DF">
            <w:pPr>
              <w:spacing w:before="0" w:after="0" w:line="240" w:lineRule="auto"/>
              <w:ind w:left="0" w:right="0" w:firstLine="0"/>
              <w:jc w:val="left"/>
            </w:pPr>
            <w:r>
              <w:rPr>
                <w:rFonts w:ascii="宋体" w:hAnsi="宋体" w:eastAsia="宋体" w:cs="宋体"/>
                <w:b w:val="0"/>
                <w:color w:val="000000"/>
                <w:sz w:val="18"/>
              </w:rPr>
              <w:t>管理层、供应链计划员、采购人员</w:t>
            </w:r>
          </w:p>
        </w:tc>
      </w:tr>
      <w:tr w14:paraId="720001E0">
        <w:trPr>
          <w:cantSplit/>
          <w:jc w:val="center"/>
        </w:trPr>
        <w:tc>
          <w:tcPr>
            <w:tcW w:w="760" w:type="dxa"/>
            <w:vMerge w:val="continue"/>
            <w:shd w:val="clear" w:color="auto" w:fill="FFFFFF"/>
            <w:vAlign w:val="center"/>
          </w:tcPr>
          <w:p w14:paraId="720001E1">
            <w:pPr>
              <w:spacing w:before="0" w:after="0" w:line="240" w:lineRule="auto"/>
              <w:ind w:left="0" w:right="0" w:firstLine="0"/>
              <w:jc w:val="left"/>
            </w:pPr>
          </w:p>
        </w:tc>
        <w:tc>
          <w:tcPr>
            <w:tcW w:w="1120" w:type="dxa"/>
            <w:shd w:val="clear" w:color="auto" w:fill="FFFFFF"/>
            <w:vAlign w:val="center"/>
          </w:tcPr>
          <w:p w14:paraId="720001E2">
            <w:pPr>
              <w:spacing w:before="0" w:after="0" w:line="240" w:lineRule="auto"/>
              <w:ind w:left="0" w:right="0" w:firstLine="0"/>
              <w:jc w:val="left"/>
            </w:pPr>
            <w:r>
              <w:rPr>
                <w:rFonts w:ascii="宋体" w:hAnsi="宋体" w:eastAsia="宋体" w:cs="宋体"/>
                <w:b w:val="0"/>
                <w:color w:val="000000"/>
                <w:sz w:val="18"/>
              </w:rPr>
              <w:t>物流优化</w:t>
            </w:r>
          </w:p>
        </w:tc>
        <w:tc>
          <w:tcPr>
            <w:tcW w:w="1430" w:type="dxa"/>
            <w:shd w:val="clear" w:color="auto" w:fill="FFFFFF"/>
            <w:vAlign w:val="center"/>
          </w:tcPr>
          <w:p w14:paraId="720001E3">
            <w:pPr>
              <w:spacing w:before="0" w:after="0" w:line="240" w:lineRule="auto"/>
              <w:ind w:left="0" w:right="0" w:firstLine="0"/>
              <w:jc w:val="left"/>
            </w:pPr>
            <w:r>
              <w:rPr>
                <w:rFonts w:ascii="宋体" w:hAnsi="宋体" w:eastAsia="宋体" w:cs="宋体"/>
                <w:b w:val="0"/>
                <w:color w:val="000000"/>
                <w:sz w:val="18"/>
              </w:rPr>
              <w:t>P-ZLTC-AI-WLYH-025</w:t>
            </w:r>
          </w:p>
        </w:tc>
        <w:tc>
          <w:tcPr>
            <w:tcW w:w="2119" w:type="dxa"/>
            <w:shd w:val="clear" w:color="auto" w:fill="FFFFFF"/>
            <w:vAlign w:val="center"/>
          </w:tcPr>
          <w:p w14:paraId="720001E4">
            <w:pPr>
              <w:spacing w:before="0" w:after="0" w:line="240" w:lineRule="auto"/>
              <w:ind w:left="0" w:right="0" w:firstLine="0"/>
              <w:jc w:val="left"/>
            </w:pPr>
            <w:r>
              <w:rPr>
                <w:rFonts w:ascii="宋体" w:hAnsi="宋体" w:eastAsia="宋体" w:cs="宋体"/>
                <w:b w:val="0"/>
                <w:color w:val="000000"/>
                <w:sz w:val="18"/>
              </w:rPr>
              <w:t>库存、在途与发运事实查询；引用SCOS安全库存及补货建议；经用户确认应急条件后归集并按参考时效排序补货候选；符合接入与登记条件的既有低库存预警转发。详见5.3.3.2。</w:t>
            </w:r>
          </w:p>
        </w:tc>
        <w:tc>
          <w:tcPr>
            <w:tcW w:w="1521" w:type="dxa"/>
            <w:shd w:val="clear" w:color="auto" w:fill="FFFFFF"/>
            <w:vAlign w:val="center"/>
          </w:tcPr>
          <w:p w14:paraId="720001E5">
            <w:pPr>
              <w:spacing w:before="0" w:after="0" w:line="240" w:lineRule="auto"/>
              <w:ind w:left="0" w:right="0" w:firstLine="0"/>
              <w:jc w:val="left"/>
            </w:pPr>
            <w:r>
              <w:rPr>
                <w:rFonts w:ascii="宋体" w:hAnsi="宋体" w:eastAsia="宋体" w:cs="宋体"/>
                <w:b w:val="0"/>
                <w:color w:val="000000"/>
                <w:sz w:val="18"/>
              </w:rPr>
              <w:t>SCOS计划建议及供应商能力；AI数据治理提供的WMS、TMS库存与在途数据、既有低库存事件；已接入的气象及节假日信息用于风险提示</w:t>
            </w:r>
          </w:p>
        </w:tc>
        <w:tc>
          <w:tcPr>
            <w:tcW w:w="1020" w:type="dxa"/>
            <w:shd w:val="clear" w:color="auto" w:fill="FFFFFF"/>
            <w:vAlign w:val="center"/>
          </w:tcPr>
          <w:p w14:paraId="720001E6">
            <w:pPr>
              <w:spacing w:before="0" w:after="0" w:line="240" w:lineRule="auto"/>
              <w:ind w:left="0" w:right="0" w:firstLine="0"/>
              <w:jc w:val="left"/>
            </w:pPr>
            <w:r>
              <w:rPr>
                <w:rFonts w:ascii="宋体" w:hAnsi="宋体" w:eastAsia="宋体" w:cs="宋体"/>
                <w:b w:val="0"/>
                <w:color w:val="000000"/>
                <w:sz w:val="18"/>
              </w:rPr>
              <w:t>会话事实、SCOS结果及应急补货候选清单、导出文件；采购人员人工联络决策；授权订阅人的低库存通知</w:t>
            </w:r>
          </w:p>
        </w:tc>
        <w:tc>
          <w:tcPr>
            <w:tcW w:w="1102" w:type="dxa"/>
            <w:shd w:val="clear" w:color="auto" w:fill="FFFFFF"/>
            <w:vAlign w:val="center"/>
          </w:tcPr>
          <w:p w14:paraId="720001E7">
            <w:pPr>
              <w:spacing w:before="0" w:after="0" w:line="240" w:lineRule="auto"/>
              <w:ind w:left="0" w:right="0" w:firstLine="0"/>
              <w:jc w:val="left"/>
            </w:pPr>
            <w:r>
              <w:rPr>
                <w:rFonts w:ascii="宋体" w:hAnsi="宋体" w:eastAsia="宋体" w:cs="宋体"/>
                <w:b w:val="0"/>
                <w:color w:val="000000"/>
                <w:sz w:val="18"/>
              </w:rPr>
              <w:t>供应链计划员、采购人员</w:t>
            </w:r>
          </w:p>
        </w:tc>
      </w:tr>
      <w:tr w14:paraId="72000210">
        <w:trPr>
          <w:cantSplit/>
          <w:jc w:val="center"/>
        </w:trPr>
        <w:tc>
          <w:tcPr>
            <w:tcW w:w="760" w:type="dxa"/>
            <w:vMerge w:val="continue"/>
            <w:shd w:val="clear" w:color="auto" w:fill="FFFFFF"/>
            <w:vAlign w:val="center"/>
          </w:tcPr>
          <w:p w14:paraId="72000211">
            <w:pPr>
              <w:spacing w:before="0" w:after="0" w:line="240" w:lineRule="auto"/>
              <w:ind w:left="0" w:right="0" w:firstLine="0"/>
              <w:jc w:val="left"/>
            </w:pPr>
          </w:p>
        </w:tc>
        <w:tc>
          <w:tcPr>
            <w:tcW w:w="1120" w:type="dxa"/>
            <w:shd w:val="clear" w:color="auto" w:fill="FFFFFF"/>
            <w:vAlign w:val="center"/>
          </w:tcPr>
          <w:p w14:paraId="72000212">
            <w:pPr>
              <w:spacing w:before="0" w:after="0" w:line="240" w:lineRule="auto"/>
              <w:ind w:left="0" w:right="0" w:firstLine="0"/>
              <w:jc w:val="left"/>
            </w:pPr>
            <w:r>
              <w:rPr>
                <w:rFonts w:ascii="宋体" w:hAnsi="宋体" w:eastAsia="宋体" w:cs="宋体"/>
                <w:b w:val="0"/>
                <w:color w:val="000000"/>
                <w:sz w:val="18"/>
              </w:rPr>
              <w:t>工况异常识别—异常事件聚合</w:t>
            </w:r>
          </w:p>
        </w:tc>
        <w:tc>
          <w:tcPr>
            <w:tcW w:w="1430" w:type="dxa"/>
            <w:shd w:val="clear" w:color="auto" w:fill="FFFFFF"/>
            <w:vAlign w:val="center"/>
          </w:tcPr>
          <w:p w14:paraId="72000213">
            <w:pPr>
              <w:spacing w:before="0" w:after="0" w:line="240" w:lineRule="auto"/>
              <w:ind w:left="0" w:right="0" w:firstLine="0"/>
              <w:jc w:val="left"/>
            </w:pPr>
            <w:r>
              <w:rPr>
                <w:rFonts w:ascii="宋体" w:hAnsi="宋体" w:eastAsia="宋体" w:cs="宋体"/>
                <w:b w:val="0"/>
                <w:color w:val="000000"/>
                <w:sz w:val="18"/>
              </w:rPr>
              <w:t>P-ZLTC-AI-GKYCSBSJJH-026</w:t>
            </w:r>
          </w:p>
        </w:tc>
        <w:tc>
          <w:tcPr>
            <w:tcW w:w="2119" w:type="dxa"/>
            <w:shd w:val="clear" w:color="auto" w:fill="FFFFFF"/>
            <w:vAlign w:val="center"/>
          </w:tcPr>
          <w:p w14:paraId="72000214">
            <w:pPr>
              <w:spacing w:before="0" w:after="0" w:line="240" w:lineRule="auto"/>
              <w:ind w:left="0" w:right="0" w:firstLine="0"/>
              <w:jc w:val="left"/>
            </w:pPr>
            <w:r>
              <w:rPr>
                <w:rFonts w:ascii="宋体" w:hAnsi="宋体" w:eastAsia="宋体" w:cs="宋体"/>
                <w:b w:val="0"/>
                <w:color w:val="000000"/>
                <w:sz w:val="18"/>
              </w:rPr>
              <w:t>依据工艺因果关系聚合关联报警，识别事故链初始偏离及传播，过滤衍生报警并形成异常事件。详见5.3.3.3。</w:t>
            </w:r>
          </w:p>
        </w:tc>
        <w:tc>
          <w:tcPr>
            <w:tcW w:w="1521" w:type="dxa"/>
            <w:shd w:val="clear" w:color="auto" w:fill="FFFFFF"/>
            <w:vAlign w:val="center"/>
          </w:tcPr>
          <w:p w14:paraId="72000215">
            <w:pPr>
              <w:spacing w:before="0" w:after="0" w:line="240" w:lineRule="auto"/>
              <w:ind w:left="0" w:right="0" w:firstLine="0"/>
              <w:jc w:val="left"/>
            </w:pPr>
            <w:r>
              <w:rPr>
                <w:rFonts w:ascii="宋体" w:hAnsi="宋体" w:eastAsia="宋体" w:cs="宋体"/>
                <w:b w:val="0"/>
                <w:color w:val="000000"/>
                <w:sz w:val="18"/>
              </w:rPr>
              <w:t>有效报警、实时工况与工艺风险图谱</w:t>
            </w:r>
          </w:p>
        </w:tc>
        <w:tc>
          <w:tcPr>
            <w:tcW w:w="1020" w:type="dxa"/>
            <w:shd w:val="clear" w:color="auto" w:fill="FFFFFF"/>
            <w:vAlign w:val="center"/>
          </w:tcPr>
          <w:p w14:paraId="72000216">
            <w:pPr>
              <w:spacing w:before="0" w:after="0" w:line="240" w:lineRule="auto"/>
              <w:ind w:left="0" w:right="0" w:firstLine="0"/>
              <w:jc w:val="left"/>
            </w:pPr>
            <w:r>
              <w:rPr>
                <w:rFonts w:ascii="宋体" w:hAnsi="宋体" w:eastAsia="宋体" w:cs="宋体"/>
                <w:b w:val="0"/>
                <w:color w:val="000000"/>
                <w:sz w:val="18"/>
              </w:rPr>
              <w:t>异常事件、候选事故链及风险分级</w:t>
            </w:r>
          </w:p>
        </w:tc>
        <w:tc>
          <w:tcPr>
            <w:tcW w:w="1102" w:type="dxa"/>
            <w:shd w:val="clear" w:color="auto" w:fill="FFFFFF"/>
            <w:vAlign w:val="center"/>
          </w:tcPr>
          <w:p w14:paraId="72000217">
            <w:pPr>
              <w:spacing w:before="0" w:after="0" w:line="240" w:lineRule="auto"/>
              <w:ind w:left="0" w:right="0" w:firstLine="0"/>
              <w:jc w:val="left"/>
            </w:pPr>
            <w:r>
              <w:rPr>
                <w:rFonts w:ascii="宋体" w:hAnsi="宋体" w:eastAsia="宋体" w:cs="宋体"/>
                <w:b w:val="0"/>
                <w:color w:val="000000"/>
                <w:sz w:val="18"/>
              </w:rPr>
              <w:t>中控操作员、工艺工程师</w:t>
            </w:r>
          </w:p>
        </w:tc>
      </w:tr>
      <w:tr w14:paraId="72000218">
        <w:trPr>
          <w:cantSplit/>
          <w:jc w:val="center"/>
        </w:trPr>
        <w:tc>
          <w:tcPr>
            <w:tcW w:w="760" w:type="dxa"/>
            <w:vMerge w:val="continue"/>
            <w:shd w:val="clear" w:color="auto" w:fill="FFFFFF"/>
            <w:vAlign w:val="center"/>
          </w:tcPr>
          <w:p w14:paraId="72000219">
            <w:pPr>
              <w:spacing w:before="0" w:after="0" w:line="240" w:lineRule="auto"/>
              <w:ind w:left="0" w:right="0" w:firstLine="0"/>
              <w:jc w:val="left"/>
            </w:pPr>
          </w:p>
        </w:tc>
        <w:tc>
          <w:tcPr>
            <w:tcW w:w="1120" w:type="dxa"/>
            <w:shd w:val="clear" w:color="auto" w:fill="FFFFFF"/>
            <w:vAlign w:val="center"/>
          </w:tcPr>
          <w:p w14:paraId="7200021A">
            <w:pPr>
              <w:spacing w:before="0" w:after="0" w:line="240" w:lineRule="auto"/>
              <w:ind w:left="0" w:right="0" w:firstLine="0"/>
              <w:jc w:val="left"/>
            </w:pPr>
            <w:r>
              <w:rPr>
                <w:rFonts w:ascii="宋体" w:hAnsi="宋体" w:eastAsia="宋体" w:cs="宋体"/>
                <w:b w:val="0"/>
                <w:color w:val="000000"/>
                <w:sz w:val="18"/>
              </w:rPr>
              <w:t>工况异常识别—仪表与工艺异常判别</w:t>
            </w:r>
          </w:p>
        </w:tc>
        <w:tc>
          <w:tcPr>
            <w:tcW w:w="1430" w:type="dxa"/>
            <w:shd w:val="clear" w:color="auto" w:fill="FFFFFF"/>
            <w:vAlign w:val="center"/>
          </w:tcPr>
          <w:p w14:paraId="7200021B">
            <w:pPr>
              <w:spacing w:before="0" w:after="0" w:line="240" w:lineRule="auto"/>
              <w:ind w:left="0" w:right="0" w:firstLine="0"/>
              <w:jc w:val="left"/>
            </w:pPr>
            <w:r>
              <w:rPr>
                <w:rFonts w:ascii="宋体" w:hAnsi="宋体" w:eastAsia="宋体" w:cs="宋体"/>
                <w:b w:val="0"/>
                <w:color w:val="000000"/>
                <w:sz w:val="18"/>
              </w:rPr>
              <w:t>P-ZLTC-AI-GKYCSBYBYC-027</w:t>
            </w:r>
          </w:p>
        </w:tc>
        <w:tc>
          <w:tcPr>
            <w:tcW w:w="2119" w:type="dxa"/>
            <w:shd w:val="clear" w:color="auto" w:fill="FFFFFF"/>
            <w:vAlign w:val="center"/>
          </w:tcPr>
          <w:p w14:paraId="7200021C">
            <w:pPr>
              <w:spacing w:before="0" w:after="0" w:line="240" w:lineRule="auto"/>
              <w:ind w:left="0" w:right="0" w:firstLine="0"/>
              <w:jc w:val="left"/>
            </w:pPr>
            <w:r>
              <w:rPr>
                <w:rFonts w:ascii="宋体" w:hAnsi="宋体" w:eastAsia="宋体" w:cs="宋体"/>
                <w:b w:val="0"/>
                <w:color w:val="000000"/>
                <w:sz w:val="18"/>
              </w:rPr>
              <w:t>联合趋势、时序和关联测点判别信号故障与真实工艺异常，统计故障类型、占比及分布，形成仪表健康与维护依据。详见5.3.3.3。</w:t>
            </w:r>
          </w:p>
        </w:tc>
        <w:tc>
          <w:tcPr>
            <w:tcW w:w="1521" w:type="dxa"/>
            <w:shd w:val="clear" w:color="auto" w:fill="FFFFFF"/>
            <w:vAlign w:val="center"/>
          </w:tcPr>
          <w:p w14:paraId="7200021D">
            <w:pPr>
              <w:spacing w:before="0" w:after="0" w:line="240" w:lineRule="auto"/>
              <w:ind w:left="0" w:right="0" w:firstLine="0"/>
              <w:jc w:val="left"/>
            </w:pPr>
            <w:r>
              <w:rPr>
                <w:rFonts w:ascii="宋体" w:hAnsi="宋体" w:eastAsia="宋体" w:cs="宋体"/>
                <w:b w:val="0"/>
                <w:color w:val="000000"/>
                <w:sz w:val="18"/>
              </w:rPr>
              <w:t>测点实时趋势、上下游关联信号、数据质量及仪表信息</w:t>
            </w:r>
          </w:p>
        </w:tc>
        <w:tc>
          <w:tcPr>
            <w:tcW w:w="1020" w:type="dxa"/>
            <w:shd w:val="clear" w:color="auto" w:fill="FFFFFF"/>
            <w:vAlign w:val="center"/>
          </w:tcPr>
          <w:p w14:paraId="7200021E">
            <w:pPr>
              <w:spacing w:before="0" w:after="0" w:line="240" w:lineRule="auto"/>
              <w:ind w:left="0" w:right="0" w:firstLine="0"/>
              <w:jc w:val="left"/>
            </w:pPr>
            <w:r>
              <w:rPr>
                <w:rFonts w:ascii="宋体" w:hAnsi="宋体" w:eastAsia="宋体" w:cs="宋体"/>
                <w:b w:val="0"/>
                <w:color w:val="000000"/>
                <w:sz w:val="18"/>
              </w:rPr>
              <w:t>信号故障提示、仪表故障统计和维护分析</w:t>
            </w:r>
          </w:p>
        </w:tc>
        <w:tc>
          <w:tcPr>
            <w:tcW w:w="1102" w:type="dxa"/>
            <w:shd w:val="clear" w:color="auto" w:fill="FFFFFF"/>
            <w:vAlign w:val="center"/>
          </w:tcPr>
          <w:p w14:paraId="7200021F">
            <w:pPr>
              <w:spacing w:before="0" w:after="0" w:line="240" w:lineRule="auto"/>
              <w:ind w:left="0" w:right="0" w:firstLine="0"/>
              <w:jc w:val="left"/>
            </w:pPr>
            <w:r>
              <w:rPr>
                <w:rFonts w:ascii="宋体" w:hAnsi="宋体" w:eastAsia="宋体" w:cs="宋体"/>
                <w:b w:val="0"/>
                <w:color w:val="000000"/>
                <w:sz w:val="18"/>
              </w:rPr>
              <w:t>中控操作员、仪表维护人员、工艺工程师</w:t>
            </w:r>
          </w:p>
        </w:tc>
      </w:tr>
      <w:tr w14:paraId="72000220">
        <w:trPr>
          <w:cantSplit/>
          <w:jc w:val="center"/>
        </w:trPr>
        <w:tc>
          <w:tcPr>
            <w:tcW w:w="760" w:type="dxa"/>
            <w:vMerge w:val="continue"/>
            <w:shd w:val="clear" w:color="auto" w:fill="FFFFFF"/>
            <w:vAlign w:val="center"/>
          </w:tcPr>
          <w:p w14:paraId="72000221">
            <w:pPr>
              <w:spacing w:before="0" w:after="0" w:line="240" w:lineRule="auto"/>
              <w:ind w:left="0" w:right="0" w:firstLine="0"/>
              <w:jc w:val="left"/>
            </w:pPr>
          </w:p>
        </w:tc>
        <w:tc>
          <w:tcPr>
            <w:tcW w:w="1120" w:type="dxa"/>
            <w:shd w:val="clear" w:color="auto" w:fill="FFFFFF"/>
            <w:vAlign w:val="center"/>
          </w:tcPr>
          <w:p w14:paraId="72000222">
            <w:pPr>
              <w:spacing w:before="0" w:after="0" w:line="240" w:lineRule="auto"/>
              <w:ind w:left="0" w:right="0" w:firstLine="0"/>
              <w:jc w:val="left"/>
            </w:pPr>
            <w:r>
              <w:rPr>
                <w:rFonts w:ascii="宋体" w:hAnsi="宋体" w:eastAsia="宋体" w:cs="宋体"/>
                <w:b w:val="0"/>
                <w:color w:val="000000"/>
                <w:sz w:val="18"/>
              </w:rPr>
              <w:t>工况异常识别—根因推断与影响分析</w:t>
            </w:r>
          </w:p>
        </w:tc>
        <w:tc>
          <w:tcPr>
            <w:tcW w:w="1430" w:type="dxa"/>
            <w:shd w:val="clear" w:color="auto" w:fill="FFFFFF"/>
            <w:vAlign w:val="center"/>
          </w:tcPr>
          <w:p w14:paraId="72000223">
            <w:pPr>
              <w:spacing w:before="0" w:after="0" w:line="240" w:lineRule="auto"/>
              <w:ind w:left="0" w:right="0" w:firstLine="0"/>
              <w:jc w:val="left"/>
            </w:pPr>
            <w:r>
              <w:rPr>
                <w:rFonts w:ascii="宋体" w:hAnsi="宋体" w:eastAsia="宋体" w:cs="宋体"/>
                <w:b w:val="0"/>
                <w:color w:val="000000"/>
                <w:sz w:val="18"/>
              </w:rPr>
              <w:t>P-ZLTC-AI-GKYCSBGYTD-028</w:t>
            </w:r>
          </w:p>
        </w:tc>
        <w:tc>
          <w:tcPr>
            <w:tcW w:w="2119" w:type="dxa"/>
            <w:shd w:val="clear" w:color="auto" w:fill="FFFFFF"/>
            <w:vAlign w:val="center"/>
          </w:tcPr>
          <w:p w14:paraId="72000224">
            <w:pPr>
              <w:spacing w:before="0" w:after="0" w:line="240" w:lineRule="auto"/>
              <w:ind w:left="0" w:right="0" w:firstLine="0"/>
              <w:jc w:val="left"/>
            </w:pPr>
            <w:r>
              <w:rPr>
                <w:rFonts w:ascii="宋体" w:hAnsi="宋体" w:eastAsia="宋体" w:cs="宋体"/>
                <w:b w:val="0"/>
                <w:color w:val="000000"/>
                <w:sz w:val="18"/>
              </w:rPr>
              <w:t>匹配HAZOP和FMEA知识，综合故障匹配、趋势、时序、信号质量及仪表状态等证据推断根因，评估影响范围和置信度。详见5.3.3.3。</w:t>
            </w:r>
          </w:p>
        </w:tc>
        <w:tc>
          <w:tcPr>
            <w:tcW w:w="1521" w:type="dxa"/>
            <w:shd w:val="clear" w:color="auto" w:fill="FFFFFF"/>
            <w:vAlign w:val="center"/>
          </w:tcPr>
          <w:p w14:paraId="72000225">
            <w:pPr>
              <w:spacing w:before="0" w:after="0" w:line="240" w:lineRule="auto"/>
              <w:ind w:left="0" w:right="0" w:firstLine="0"/>
              <w:jc w:val="left"/>
            </w:pPr>
            <w:r>
              <w:rPr>
                <w:rFonts w:ascii="宋体" w:hAnsi="宋体" w:eastAsia="宋体" w:cs="宋体"/>
                <w:b w:val="0"/>
                <w:color w:val="000000"/>
                <w:sz w:val="18"/>
              </w:rPr>
              <w:t>异常事件、风险知识图谱、实时证据与防护措施状态</w:t>
            </w:r>
          </w:p>
        </w:tc>
        <w:tc>
          <w:tcPr>
            <w:tcW w:w="1020" w:type="dxa"/>
            <w:shd w:val="clear" w:color="auto" w:fill="FFFFFF"/>
            <w:vAlign w:val="center"/>
          </w:tcPr>
          <w:p w14:paraId="72000226">
            <w:pPr>
              <w:spacing w:before="0" w:after="0" w:line="240" w:lineRule="auto"/>
              <w:ind w:left="0" w:right="0" w:firstLine="0"/>
              <w:jc w:val="left"/>
            </w:pPr>
            <w:r>
              <w:rPr>
                <w:rFonts w:ascii="宋体" w:hAnsi="宋体" w:eastAsia="宋体" w:cs="宋体"/>
                <w:b w:val="0"/>
                <w:color w:val="000000"/>
                <w:sz w:val="18"/>
              </w:rPr>
              <w:t>根因排序、置信度及影响范围</w:t>
            </w:r>
          </w:p>
        </w:tc>
        <w:tc>
          <w:tcPr>
            <w:tcW w:w="1102" w:type="dxa"/>
            <w:shd w:val="clear" w:color="auto" w:fill="FFFFFF"/>
            <w:vAlign w:val="center"/>
          </w:tcPr>
          <w:p w14:paraId="72000227">
            <w:pPr>
              <w:spacing w:before="0" w:after="0" w:line="240" w:lineRule="auto"/>
              <w:ind w:left="0" w:right="0" w:firstLine="0"/>
              <w:jc w:val="left"/>
            </w:pPr>
            <w:r>
              <w:rPr>
                <w:rFonts w:ascii="宋体" w:hAnsi="宋体" w:eastAsia="宋体" w:cs="宋体"/>
                <w:b w:val="0"/>
                <w:color w:val="000000"/>
                <w:sz w:val="18"/>
              </w:rPr>
              <w:t>中控操作员、工艺工程师</w:t>
            </w:r>
          </w:p>
        </w:tc>
      </w:tr>
      <w:tr w14:paraId="72000228">
        <w:trPr>
          <w:cantSplit/>
          <w:jc w:val="center"/>
        </w:trPr>
        <w:tc>
          <w:tcPr>
            <w:tcW w:w="760" w:type="dxa"/>
            <w:vMerge w:val="continue"/>
            <w:shd w:val="clear" w:color="auto" w:fill="FFFFFF"/>
            <w:vAlign w:val="center"/>
          </w:tcPr>
          <w:p w14:paraId="72000229">
            <w:pPr>
              <w:spacing w:before="0" w:after="0" w:line="240" w:lineRule="auto"/>
              <w:ind w:left="0" w:right="0" w:firstLine="0"/>
              <w:jc w:val="left"/>
            </w:pPr>
          </w:p>
        </w:tc>
        <w:tc>
          <w:tcPr>
            <w:tcW w:w="1120" w:type="dxa"/>
            <w:shd w:val="clear" w:color="auto" w:fill="FFFFFF"/>
            <w:vAlign w:val="center"/>
          </w:tcPr>
          <w:p w14:paraId="7200022A">
            <w:pPr>
              <w:spacing w:before="0" w:after="0" w:line="240" w:lineRule="auto"/>
              <w:ind w:left="0" w:right="0" w:firstLine="0"/>
              <w:jc w:val="left"/>
            </w:pPr>
            <w:r>
              <w:rPr>
                <w:rFonts w:ascii="宋体" w:hAnsi="宋体" w:eastAsia="宋体" w:cs="宋体"/>
                <w:b w:val="0"/>
                <w:color w:val="000000"/>
                <w:sz w:val="18"/>
              </w:rPr>
              <w:t>工况异常识别—风险链路可视化</w:t>
            </w:r>
          </w:p>
        </w:tc>
        <w:tc>
          <w:tcPr>
            <w:tcW w:w="1430" w:type="dxa"/>
            <w:shd w:val="clear" w:color="auto" w:fill="FFFFFF"/>
            <w:vAlign w:val="center"/>
          </w:tcPr>
          <w:p w14:paraId="7200022B">
            <w:pPr>
              <w:spacing w:before="0" w:after="0" w:line="240" w:lineRule="auto"/>
              <w:ind w:left="0" w:right="0" w:firstLine="0"/>
              <w:jc w:val="left"/>
            </w:pPr>
            <w:r>
              <w:rPr>
                <w:rFonts w:ascii="宋体" w:hAnsi="宋体" w:eastAsia="宋体" w:cs="宋体"/>
                <w:b w:val="0"/>
                <w:color w:val="000000"/>
                <w:sz w:val="18"/>
              </w:rPr>
              <w:t>P-ZLTC-AI-GKYCSBFXLL-029</w:t>
            </w:r>
          </w:p>
        </w:tc>
        <w:tc>
          <w:tcPr>
            <w:tcW w:w="2119" w:type="dxa"/>
            <w:shd w:val="clear" w:color="auto" w:fill="FFFFFF"/>
            <w:vAlign w:val="center"/>
          </w:tcPr>
          <w:p w14:paraId="7200022C">
            <w:pPr>
              <w:spacing w:before="0" w:after="0" w:line="240" w:lineRule="auto"/>
              <w:ind w:left="0" w:right="0" w:firstLine="0"/>
              <w:jc w:val="left"/>
            </w:pPr>
            <w:r>
              <w:rPr>
                <w:rFonts w:ascii="宋体" w:hAnsi="宋体" w:eastAsia="宋体" w:cs="宋体"/>
                <w:b w:val="0"/>
                <w:color w:val="000000"/>
                <w:sz w:val="18"/>
              </w:rPr>
              <w:t>以领结图展示诱因、异常节点、后果及防护屏障，支持主动查询风险、逐步排查与定位。详见5.3.3.3。</w:t>
            </w:r>
          </w:p>
        </w:tc>
        <w:tc>
          <w:tcPr>
            <w:tcW w:w="1521" w:type="dxa"/>
            <w:shd w:val="clear" w:color="auto" w:fill="FFFFFF"/>
            <w:vAlign w:val="center"/>
          </w:tcPr>
          <w:p w14:paraId="7200022D">
            <w:pPr>
              <w:spacing w:before="0" w:after="0" w:line="240" w:lineRule="auto"/>
              <w:ind w:left="0" w:right="0" w:firstLine="0"/>
              <w:jc w:val="left"/>
            </w:pPr>
            <w:r>
              <w:rPr>
                <w:rFonts w:ascii="宋体" w:hAnsi="宋体" w:eastAsia="宋体" w:cs="宋体"/>
                <w:b w:val="0"/>
                <w:color w:val="000000"/>
                <w:sz w:val="18"/>
              </w:rPr>
              <w:t>候选事故链、根因和风险知识图谱</w:t>
            </w:r>
          </w:p>
        </w:tc>
        <w:tc>
          <w:tcPr>
            <w:tcW w:w="1020" w:type="dxa"/>
            <w:shd w:val="clear" w:color="auto" w:fill="FFFFFF"/>
            <w:vAlign w:val="center"/>
          </w:tcPr>
          <w:p w14:paraId="7200022E">
            <w:pPr>
              <w:spacing w:before="0" w:after="0" w:line="240" w:lineRule="auto"/>
              <w:ind w:left="0" w:right="0" w:firstLine="0"/>
              <w:jc w:val="left"/>
            </w:pPr>
            <w:r>
              <w:rPr>
                <w:rFonts w:ascii="宋体" w:hAnsi="宋体" w:eastAsia="宋体" w:cs="宋体"/>
                <w:b w:val="0"/>
                <w:color w:val="000000"/>
                <w:sz w:val="18"/>
              </w:rPr>
              <w:t>事故链领结图、屏障状态与排查路径</w:t>
            </w:r>
          </w:p>
        </w:tc>
        <w:tc>
          <w:tcPr>
            <w:tcW w:w="1102" w:type="dxa"/>
            <w:shd w:val="clear" w:color="auto" w:fill="FFFFFF"/>
            <w:vAlign w:val="center"/>
          </w:tcPr>
          <w:p w14:paraId="7200022F">
            <w:pPr>
              <w:spacing w:before="0" w:after="0" w:line="240" w:lineRule="auto"/>
              <w:ind w:left="0" w:right="0" w:firstLine="0"/>
              <w:jc w:val="left"/>
            </w:pPr>
            <w:r>
              <w:rPr>
                <w:rFonts w:ascii="宋体" w:hAnsi="宋体" w:eastAsia="宋体" w:cs="宋体"/>
                <w:b w:val="0"/>
                <w:color w:val="000000"/>
                <w:sz w:val="18"/>
              </w:rPr>
              <w:t>中控操作员、工艺工程师、安全管理员</w:t>
            </w:r>
          </w:p>
        </w:tc>
      </w:tr>
      <w:tr w14:paraId="72000230">
        <w:trPr>
          <w:cantSplit/>
          <w:jc w:val="center"/>
        </w:trPr>
        <w:tc>
          <w:tcPr>
            <w:tcW w:w="760" w:type="dxa"/>
            <w:vMerge w:val="continue"/>
            <w:shd w:val="clear" w:color="auto" w:fill="FFFFFF"/>
            <w:vAlign w:val="center"/>
          </w:tcPr>
          <w:p w14:paraId="72000231">
            <w:pPr>
              <w:spacing w:before="0" w:after="0" w:line="240" w:lineRule="auto"/>
              <w:ind w:left="0" w:right="0" w:firstLine="0"/>
              <w:jc w:val="left"/>
            </w:pPr>
          </w:p>
        </w:tc>
        <w:tc>
          <w:tcPr>
            <w:tcW w:w="1120" w:type="dxa"/>
            <w:shd w:val="clear" w:color="auto" w:fill="FFFFFF"/>
            <w:vAlign w:val="center"/>
          </w:tcPr>
          <w:p w14:paraId="72000232">
            <w:pPr>
              <w:spacing w:before="0" w:after="0" w:line="240" w:lineRule="auto"/>
              <w:ind w:left="0" w:right="0" w:firstLine="0"/>
              <w:jc w:val="left"/>
            </w:pPr>
            <w:r>
              <w:rPr>
                <w:rFonts w:ascii="宋体" w:hAnsi="宋体" w:eastAsia="宋体" w:cs="宋体"/>
                <w:b w:val="0"/>
                <w:color w:val="000000"/>
                <w:sz w:val="18"/>
              </w:rPr>
              <w:t>工况异常识别—处置建议与人工确认</w:t>
            </w:r>
          </w:p>
        </w:tc>
        <w:tc>
          <w:tcPr>
            <w:tcW w:w="1430" w:type="dxa"/>
            <w:shd w:val="clear" w:color="auto" w:fill="FFFFFF"/>
            <w:vAlign w:val="center"/>
          </w:tcPr>
          <w:p w14:paraId="72000233">
            <w:pPr>
              <w:spacing w:before="0" w:after="0" w:line="240" w:lineRule="auto"/>
              <w:ind w:left="0" w:right="0" w:firstLine="0"/>
              <w:jc w:val="left"/>
            </w:pPr>
            <w:r>
              <w:rPr>
                <w:rFonts w:ascii="宋体" w:hAnsi="宋体" w:eastAsia="宋体" w:cs="宋体"/>
                <w:b w:val="0"/>
                <w:color w:val="000000"/>
                <w:sz w:val="18"/>
              </w:rPr>
              <w:t>P-ZLTC-AI-GKYCSBCLJY-030</w:t>
            </w:r>
          </w:p>
        </w:tc>
        <w:tc>
          <w:tcPr>
            <w:tcW w:w="2119" w:type="dxa"/>
            <w:shd w:val="clear" w:color="auto" w:fill="FFFFFF"/>
            <w:vAlign w:val="center"/>
          </w:tcPr>
          <w:p w14:paraId="72000234">
            <w:pPr>
              <w:spacing w:before="0" w:after="0" w:line="240" w:lineRule="auto"/>
              <w:ind w:left="0" w:right="0" w:firstLine="0"/>
              <w:jc w:val="left"/>
            </w:pPr>
            <w:r>
              <w:rPr>
                <w:rFonts w:ascii="宋体" w:hAnsi="宋体" w:eastAsia="宋体" w:cs="宋体"/>
                <w:b w:val="0"/>
                <w:color w:val="000000"/>
                <w:sz w:val="18"/>
              </w:rPr>
              <w:t>按异常分级匹配SOP和补偿措施，呈现适用设备、操作步骤、置信度、预期效果与风险；由操作员复核确认处置，否认后更新操作并重诊。详见5.3.3.3。</w:t>
            </w:r>
          </w:p>
        </w:tc>
        <w:tc>
          <w:tcPr>
            <w:tcW w:w="1521" w:type="dxa"/>
            <w:shd w:val="clear" w:color="auto" w:fill="FFFFFF"/>
            <w:vAlign w:val="center"/>
          </w:tcPr>
          <w:p w14:paraId="72000235">
            <w:pPr>
              <w:spacing w:before="0" w:after="0" w:line="240" w:lineRule="auto"/>
              <w:ind w:left="0" w:right="0" w:firstLine="0"/>
              <w:jc w:val="left"/>
            </w:pPr>
            <w:r>
              <w:rPr>
                <w:rFonts w:ascii="宋体" w:hAnsi="宋体" w:eastAsia="宋体" w:cs="宋体"/>
                <w:b w:val="0"/>
                <w:color w:val="000000"/>
                <w:sz w:val="18"/>
              </w:rPr>
              <w:t>根因诊断、SOP及补偿措施知识、操作员复核信息</w:t>
            </w:r>
          </w:p>
        </w:tc>
        <w:tc>
          <w:tcPr>
            <w:tcW w:w="1020" w:type="dxa"/>
            <w:shd w:val="clear" w:color="auto" w:fill="FFFFFF"/>
            <w:vAlign w:val="center"/>
          </w:tcPr>
          <w:p w14:paraId="72000236">
            <w:pPr>
              <w:spacing w:before="0" w:after="0" w:line="240" w:lineRule="auto"/>
              <w:ind w:left="0" w:right="0" w:firstLine="0"/>
              <w:jc w:val="left"/>
            </w:pPr>
            <w:r>
              <w:rPr>
                <w:rFonts w:ascii="宋体" w:hAnsi="宋体" w:eastAsia="宋体" w:cs="宋体"/>
                <w:b w:val="0"/>
                <w:color w:val="000000"/>
                <w:sz w:val="18"/>
              </w:rPr>
              <w:t>处置建议、复核与处置记录</w:t>
            </w:r>
          </w:p>
        </w:tc>
        <w:tc>
          <w:tcPr>
            <w:tcW w:w="1102" w:type="dxa"/>
            <w:shd w:val="clear" w:color="auto" w:fill="FFFFFF"/>
            <w:vAlign w:val="center"/>
          </w:tcPr>
          <w:p w14:paraId="72000237">
            <w:pPr>
              <w:spacing w:before="0" w:after="0" w:line="240" w:lineRule="auto"/>
              <w:ind w:left="0" w:right="0" w:firstLine="0"/>
              <w:jc w:val="left"/>
            </w:pPr>
            <w:r>
              <w:rPr>
                <w:rFonts w:ascii="宋体" w:hAnsi="宋体" w:eastAsia="宋体" w:cs="宋体"/>
                <w:b w:val="0"/>
                <w:color w:val="000000"/>
                <w:sz w:val="18"/>
              </w:rPr>
              <w:t>中控操作员、工艺工程师</w:t>
            </w:r>
          </w:p>
        </w:tc>
      </w:tr>
      <w:tr w14:paraId="72000238">
        <w:trPr>
          <w:cantSplit/>
          <w:jc w:val="center"/>
        </w:trPr>
        <w:tc>
          <w:tcPr>
            <w:tcW w:w="760" w:type="dxa"/>
            <w:vMerge w:val="continue"/>
            <w:shd w:val="clear" w:color="auto" w:fill="FFFFFF"/>
            <w:vAlign w:val="center"/>
          </w:tcPr>
          <w:p w14:paraId="72000239">
            <w:pPr>
              <w:spacing w:before="0" w:after="0" w:line="240" w:lineRule="auto"/>
              <w:ind w:left="0" w:right="0" w:firstLine="0"/>
              <w:jc w:val="left"/>
            </w:pPr>
          </w:p>
        </w:tc>
        <w:tc>
          <w:tcPr>
            <w:tcW w:w="1120" w:type="dxa"/>
            <w:shd w:val="clear" w:color="auto" w:fill="FFFFFF"/>
            <w:vAlign w:val="center"/>
          </w:tcPr>
          <w:p w14:paraId="7200023A">
            <w:pPr>
              <w:spacing w:before="0" w:after="0" w:line="240" w:lineRule="auto"/>
              <w:ind w:left="0" w:right="0" w:firstLine="0"/>
              <w:jc w:val="left"/>
            </w:pPr>
            <w:r>
              <w:rPr>
                <w:rFonts w:ascii="宋体" w:hAnsi="宋体" w:eastAsia="宋体" w:cs="宋体"/>
                <w:b w:val="0"/>
                <w:color w:val="000000"/>
                <w:sz w:val="18"/>
              </w:rPr>
              <w:t>工况异常识别—复核反馈与经验更新</w:t>
            </w:r>
          </w:p>
        </w:tc>
        <w:tc>
          <w:tcPr>
            <w:tcW w:w="1430" w:type="dxa"/>
            <w:shd w:val="clear" w:color="auto" w:fill="FFFFFF"/>
            <w:vAlign w:val="center"/>
          </w:tcPr>
          <w:p w14:paraId="7200023B">
            <w:pPr>
              <w:spacing w:before="0" w:after="0" w:line="240" w:lineRule="auto"/>
              <w:ind w:left="0" w:right="0" w:firstLine="0"/>
              <w:jc w:val="left"/>
            </w:pPr>
            <w:r>
              <w:rPr>
                <w:rFonts w:ascii="宋体" w:hAnsi="宋体" w:eastAsia="宋体" w:cs="宋体"/>
                <w:b w:val="0"/>
                <w:color w:val="000000"/>
                <w:sz w:val="18"/>
              </w:rPr>
              <w:t>P-ZLTC-AI-GKYCSBFKJY-031</w:t>
            </w:r>
          </w:p>
        </w:tc>
        <w:tc>
          <w:tcPr>
            <w:tcW w:w="2119" w:type="dxa"/>
            <w:shd w:val="clear" w:color="auto" w:fill="FFFFFF"/>
            <w:vAlign w:val="center"/>
          </w:tcPr>
          <w:p w14:paraId="7200023C">
            <w:pPr>
              <w:spacing w:before="0" w:after="0" w:line="240" w:lineRule="auto"/>
              <w:ind w:left="0" w:right="0" w:firstLine="0"/>
              <w:jc w:val="left"/>
            </w:pPr>
            <w:r>
              <w:rPr>
                <w:rFonts w:ascii="宋体" w:hAnsi="宋体" w:eastAsia="宋体" w:cs="宋体"/>
                <w:b w:val="0"/>
                <w:color w:val="000000"/>
                <w:sz w:val="18"/>
              </w:rPr>
              <w:t>记录根因正误、严重度分级及建议实用性反馈，支持诊断权重更新、新异常模式发现及审核后的案例复用。详见5.3.3.3。</w:t>
            </w:r>
          </w:p>
        </w:tc>
        <w:tc>
          <w:tcPr>
            <w:tcW w:w="1521" w:type="dxa"/>
            <w:shd w:val="clear" w:color="auto" w:fill="FFFFFF"/>
            <w:vAlign w:val="center"/>
          </w:tcPr>
          <w:p w14:paraId="7200023D">
            <w:pPr>
              <w:spacing w:before="0" w:after="0" w:line="240" w:lineRule="auto"/>
              <w:ind w:left="0" w:right="0" w:firstLine="0"/>
              <w:jc w:val="left"/>
            </w:pPr>
            <w:r>
              <w:rPr>
                <w:rFonts w:ascii="宋体" w:hAnsi="宋体" w:eastAsia="宋体" w:cs="宋体"/>
                <w:b w:val="0"/>
                <w:color w:val="000000"/>
                <w:sz w:val="18"/>
              </w:rPr>
              <w:t>人员复核、处置结果、归档案例与风险图谱</w:t>
            </w:r>
          </w:p>
        </w:tc>
        <w:tc>
          <w:tcPr>
            <w:tcW w:w="1020" w:type="dxa"/>
            <w:shd w:val="clear" w:color="auto" w:fill="FFFFFF"/>
            <w:vAlign w:val="center"/>
          </w:tcPr>
          <w:p w14:paraId="7200023E">
            <w:pPr>
              <w:spacing w:before="0" w:after="0" w:line="240" w:lineRule="auto"/>
              <w:ind w:left="0" w:right="0" w:firstLine="0"/>
              <w:jc w:val="left"/>
            </w:pPr>
            <w:r>
              <w:rPr>
                <w:rFonts w:ascii="宋体" w:hAnsi="宋体" w:eastAsia="宋体" w:cs="宋体"/>
                <w:b w:val="0"/>
                <w:color w:val="000000"/>
                <w:sz w:val="18"/>
              </w:rPr>
              <w:t>结构化反馈、更新建议与经审核的异常处置案例</w:t>
            </w:r>
          </w:p>
        </w:tc>
        <w:tc>
          <w:tcPr>
            <w:tcW w:w="1102" w:type="dxa"/>
            <w:shd w:val="clear" w:color="auto" w:fill="FFFFFF"/>
            <w:vAlign w:val="center"/>
          </w:tcPr>
          <w:p w14:paraId="7200023F">
            <w:pPr>
              <w:spacing w:before="0" w:after="0" w:line="240" w:lineRule="auto"/>
              <w:ind w:left="0" w:right="0" w:firstLine="0"/>
              <w:jc w:val="left"/>
            </w:pPr>
            <w:r>
              <w:rPr>
                <w:rFonts w:ascii="宋体" w:hAnsi="宋体" w:eastAsia="宋体" w:cs="宋体"/>
                <w:b w:val="0"/>
                <w:color w:val="000000"/>
                <w:sz w:val="18"/>
              </w:rPr>
              <w:t>工艺工程师、中控操作员、知识维护员</w:t>
            </w:r>
          </w:p>
        </w:tc>
      </w:tr>
      <w:tr w14:paraId="72000240">
        <w:trPr>
          <w:cantSplit/>
          <w:jc w:val="center"/>
        </w:trPr>
        <w:tc>
          <w:tcPr>
            <w:tcW w:w="760" w:type="dxa"/>
            <w:vMerge w:val="continue"/>
            <w:shd w:val="clear" w:color="auto" w:fill="FFFFFF"/>
            <w:vAlign w:val="center"/>
          </w:tcPr>
          <w:p w14:paraId="72000241">
            <w:pPr>
              <w:spacing w:before="0" w:after="0" w:line="240" w:lineRule="auto"/>
              <w:ind w:left="0" w:right="0" w:firstLine="0"/>
              <w:jc w:val="left"/>
            </w:pPr>
          </w:p>
        </w:tc>
        <w:tc>
          <w:tcPr>
            <w:tcW w:w="1120" w:type="dxa"/>
            <w:shd w:val="clear" w:color="auto" w:fill="FFFFFF"/>
            <w:vAlign w:val="center"/>
          </w:tcPr>
          <w:p w14:paraId="72000242">
            <w:pPr>
              <w:spacing w:before="0" w:after="0" w:line="240" w:lineRule="auto"/>
              <w:ind w:left="0" w:right="0" w:firstLine="0"/>
              <w:jc w:val="left"/>
            </w:pPr>
            <w:r>
              <w:rPr>
                <w:rFonts w:ascii="宋体" w:hAnsi="宋体" w:eastAsia="宋体" w:cs="宋体"/>
                <w:b w:val="0"/>
                <w:color w:val="000000"/>
                <w:sz w:val="18"/>
              </w:rPr>
              <w:t>液化工序优化—DE值预测</w:t>
            </w:r>
          </w:p>
        </w:tc>
        <w:tc>
          <w:tcPr>
            <w:tcW w:w="1430" w:type="dxa"/>
            <w:shd w:val="clear" w:color="auto" w:fill="FFFFFF"/>
            <w:vAlign w:val="center"/>
          </w:tcPr>
          <w:p w14:paraId="72000243">
            <w:pPr>
              <w:spacing w:before="0" w:after="0" w:line="240" w:lineRule="auto"/>
              <w:ind w:left="0" w:right="0" w:firstLine="0"/>
              <w:jc w:val="left"/>
            </w:pPr>
            <w:r>
              <w:rPr>
                <w:rFonts w:ascii="宋体" w:hAnsi="宋体" w:eastAsia="宋体" w:cs="宋体"/>
                <w:b w:val="0"/>
                <w:color w:val="000000"/>
                <w:sz w:val="18"/>
              </w:rPr>
              <w:t>P-ZLTC-AI-YHGXYHDEYC-032</w:t>
            </w:r>
          </w:p>
        </w:tc>
        <w:tc>
          <w:tcPr>
            <w:tcW w:w="2119" w:type="dxa"/>
            <w:shd w:val="clear" w:color="auto" w:fill="FFFFFF"/>
            <w:vAlign w:val="center"/>
          </w:tcPr>
          <w:p w14:paraId="72000244">
            <w:pPr>
              <w:spacing w:before="0" w:after="0" w:line="240" w:lineRule="auto"/>
              <w:ind w:left="0" w:right="0" w:firstLine="0"/>
              <w:jc w:val="left"/>
            </w:pPr>
            <w:r>
              <w:rPr>
                <w:rFonts w:ascii="宋体" w:hAnsi="宋体" w:eastAsia="宋体" w:cs="宋体"/>
                <w:b w:val="0"/>
                <w:color w:val="000000"/>
                <w:sz w:val="18"/>
              </w:rPr>
              <w:t>识别液化工况，利用平台内液化DE值预测模型输出当前DE值和趋势，支撑工况跟踪与优化评估。详见5.3.3.4。</w:t>
            </w:r>
          </w:p>
        </w:tc>
        <w:tc>
          <w:tcPr>
            <w:tcW w:w="1521" w:type="dxa"/>
            <w:shd w:val="clear" w:color="auto" w:fill="FFFFFF"/>
            <w:vAlign w:val="center"/>
          </w:tcPr>
          <w:p w14:paraId="72000245">
            <w:pPr>
              <w:spacing w:before="0" w:after="0" w:line="240" w:lineRule="auto"/>
              <w:ind w:left="0" w:right="0" w:firstLine="0"/>
              <w:jc w:val="left"/>
            </w:pPr>
            <w:r>
              <w:rPr>
                <w:rFonts w:ascii="宋体" w:hAnsi="宋体" w:eastAsia="宋体" w:cs="宋体"/>
                <w:b w:val="0"/>
                <w:color w:val="000000"/>
                <w:sz w:val="18"/>
              </w:rPr>
              <w:t>DCS与PI中的温度、pH、流量、加酶量、压力等实时数据；LIMS检验标签</w:t>
            </w:r>
          </w:p>
        </w:tc>
        <w:tc>
          <w:tcPr>
            <w:tcW w:w="1020" w:type="dxa"/>
            <w:shd w:val="clear" w:color="auto" w:fill="FFFFFF"/>
            <w:vAlign w:val="center"/>
          </w:tcPr>
          <w:p w14:paraId="72000246">
            <w:pPr>
              <w:spacing w:before="0" w:after="0" w:line="240" w:lineRule="auto"/>
              <w:ind w:left="0" w:right="0" w:firstLine="0"/>
              <w:jc w:val="left"/>
            </w:pPr>
            <w:r>
              <w:rPr>
                <w:rFonts w:ascii="宋体" w:hAnsi="宋体" w:eastAsia="宋体" w:cs="宋体"/>
                <w:b w:val="0"/>
                <w:color w:val="000000"/>
                <w:sz w:val="18"/>
              </w:rPr>
              <w:t>液化状态卡、DE值预测与趋势</w:t>
            </w:r>
          </w:p>
        </w:tc>
        <w:tc>
          <w:tcPr>
            <w:tcW w:w="1102" w:type="dxa"/>
            <w:shd w:val="clear" w:color="auto" w:fill="FFFFFF"/>
            <w:vAlign w:val="center"/>
          </w:tcPr>
          <w:p w14:paraId="72000247">
            <w:pPr>
              <w:spacing w:before="0" w:after="0" w:line="240" w:lineRule="auto"/>
              <w:ind w:left="0" w:right="0" w:firstLine="0"/>
              <w:jc w:val="left"/>
            </w:pPr>
            <w:r>
              <w:rPr>
                <w:rFonts w:ascii="宋体" w:hAnsi="宋体" w:eastAsia="宋体" w:cs="宋体"/>
                <w:b w:val="0"/>
                <w:color w:val="000000"/>
                <w:sz w:val="18"/>
              </w:rPr>
              <w:t>中控操作员、液化工艺工程师</w:t>
            </w:r>
          </w:p>
        </w:tc>
      </w:tr>
      <w:tr w14:paraId="72000248">
        <w:trPr>
          <w:cantSplit/>
          <w:jc w:val="center"/>
        </w:trPr>
        <w:tc>
          <w:tcPr>
            <w:tcW w:w="760" w:type="dxa"/>
            <w:vMerge w:val="continue"/>
            <w:shd w:val="clear" w:color="auto" w:fill="FFFFFF"/>
            <w:vAlign w:val="center"/>
          </w:tcPr>
          <w:p w14:paraId="72000249">
            <w:pPr>
              <w:spacing w:before="0" w:after="0" w:line="240" w:lineRule="auto"/>
              <w:ind w:left="0" w:right="0" w:firstLine="0"/>
              <w:jc w:val="left"/>
            </w:pPr>
          </w:p>
        </w:tc>
        <w:tc>
          <w:tcPr>
            <w:tcW w:w="1120" w:type="dxa"/>
            <w:shd w:val="clear" w:color="auto" w:fill="FFFFFF"/>
            <w:vAlign w:val="center"/>
          </w:tcPr>
          <w:p w14:paraId="7200024A">
            <w:pPr>
              <w:spacing w:before="0" w:after="0" w:line="240" w:lineRule="auto"/>
              <w:ind w:left="0" w:right="0" w:firstLine="0"/>
              <w:jc w:val="left"/>
            </w:pPr>
            <w:r>
              <w:rPr>
                <w:rFonts w:ascii="宋体" w:hAnsi="宋体" w:eastAsia="宋体" w:cs="宋体"/>
                <w:b w:val="0"/>
                <w:color w:val="000000"/>
                <w:sz w:val="18"/>
              </w:rPr>
              <w:t>液化工序优化—问题归因</w:t>
            </w:r>
          </w:p>
        </w:tc>
        <w:tc>
          <w:tcPr>
            <w:tcW w:w="1430" w:type="dxa"/>
            <w:shd w:val="clear" w:color="auto" w:fill="FFFFFF"/>
            <w:vAlign w:val="center"/>
          </w:tcPr>
          <w:p w14:paraId="7200024B">
            <w:pPr>
              <w:spacing w:before="0" w:after="0" w:line="240" w:lineRule="auto"/>
              <w:ind w:left="0" w:right="0" w:firstLine="0"/>
              <w:jc w:val="left"/>
            </w:pPr>
            <w:r>
              <w:rPr>
                <w:rFonts w:ascii="宋体" w:hAnsi="宋体" w:eastAsia="宋体" w:cs="宋体"/>
                <w:b w:val="0"/>
                <w:color w:val="000000"/>
                <w:sz w:val="18"/>
              </w:rPr>
              <w:t>P-ZLTC-AI-YHGXYHWTGY-033</w:t>
            </w:r>
          </w:p>
        </w:tc>
        <w:tc>
          <w:tcPr>
            <w:tcW w:w="2119" w:type="dxa"/>
            <w:shd w:val="clear" w:color="auto" w:fill="FFFFFF"/>
            <w:vAlign w:val="center"/>
          </w:tcPr>
          <w:p w14:paraId="7200024C">
            <w:pPr>
              <w:spacing w:before="0" w:after="0" w:line="240" w:lineRule="auto"/>
              <w:ind w:left="0" w:right="0" w:firstLine="0"/>
              <w:jc w:val="left"/>
            </w:pPr>
            <w:r>
              <w:rPr>
                <w:rFonts w:ascii="宋体" w:hAnsi="宋体" w:eastAsia="宋体" w:cs="宋体"/>
                <w:b w:val="0"/>
                <w:color w:val="000000"/>
                <w:sz w:val="18"/>
              </w:rPr>
              <w:t>对DE偏离或异常工况分析主要影响因素，按贡献度排序并给出证据说明。详见5.3.3.4。</w:t>
            </w:r>
          </w:p>
        </w:tc>
        <w:tc>
          <w:tcPr>
            <w:tcW w:w="1521" w:type="dxa"/>
            <w:shd w:val="clear" w:color="auto" w:fill="FFFFFF"/>
            <w:vAlign w:val="center"/>
          </w:tcPr>
          <w:p w14:paraId="7200024D">
            <w:pPr>
              <w:spacing w:before="0" w:after="0" w:line="240" w:lineRule="auto"/>
              <w:ind w:left="0" w:right="0" w:firstLine="0"/>
              <w:jc w:val="left"/>
            </w:pPr>
            <w:r>
              <w:rPr>
                <w:rFonts w:ascii="宋体" w:hAnsi="宋体" w:eastAsia="宋体" w:cs="宋体"/>
                <w:b w:val="0"/>
                <w:color w:val="000000"/>
                <w:sz w:val="18"/>
              </w:rPr>
              <w:t>DE预测结果、DCS实时参数及LIMS检验数据</w:t>
            </w:r>
          </w:p>
        </w:tc>
        <w:tc>
          <w:tcPr>
            <w:tcW w:w="1020" w:type="dxa"/>
            <w:shd w:val="clear" w:color="auto" w:fill="FFFFFF"/>
            <w:vAlign w:val="center"/>
          </w:tcPr>
          <w:p w14:paraId="7200024E">
            <w:pPr>
              <w:spacing w:before="0" w:after="0" w:line="240" w:lineRule="auto"/>
              <w:ind w:left="0" w:right="0" w:firstLine="0"/>
              <w:jc w:val="left"/>
            </w:pPr>
            <w:r>
              <w:rPr>
                <w:rFonts w:ascii="宋体" w:hAnsi="宋体" w:eastAsia="宋体" w:cs="宋体"/>
                <w:b w:val="0"/>
                <w:color w:val="000000"/>
                <w:sz w:val="18"/>
              </w:rPr>
              <w:t>影响因素排序、贡献度与证据说明</w:t>
            </w:r>
          </w:p>
        </w:tc>
        <w:tc>
          <w:tcPr>
            <w:tcW w:w="1102" w:type="dxa"/>
            <w:shd w:val="clear" w:color="auto" w:fill="FFFFFF"/>
            <w:vAlign w:val="center"/>
          </w:tcPr>
          <w:p w14:paraId="7200024F">
            <w:pPr>
              <w:spacing w:before="0" w:after="0" w:line="240" w:lineRule="auto"/>
              <w:ind w:left="0" w:right="0" w:firstLine="0"/>
              <w:jc w:val="left"/>
            </w:pPr>
            <w:r>
              <w:rPr>
                <w:rFonts w:ascii="宋体" w:hAnsi="宋体" w:eastAsia="宋体" w:cs="宋体"/>
                <w:b w:val="0"/>
                <w:color w:val="000000"/>
                <w:sz w:val="18"/>
              </w:rPr>
              <w:t>中控操作员、液化工艺工程师</w:t>
            </w:r>
          </w:p>
        </w:tc>
      </w:tr>
      <w:tr w14:paraId="72000250">
        <w:trPr>
          <w:cantSplit/>
          <w:jc w:val="center"/>
        </w:trPr>
        <w:tc>
          <w:tcPr>
            <w:tcW w:w="760" w:type="dxa"/>
            <w:vMerge w:val="continue"/>
            <w:shd w:val="clear" w:color="auto" w:fill="FFFFFF"/>
            <w:vAlign w:val="center"/>
          </w:tcPr>
          <w:p w14:paraId="72000251">
            <w:pPr>
              <w:spacing w:before="0" w:after="0" w:line="240" w:lineRule="auto"/>
              <w:ind w:left="0" w:right="0" w:firstLine="0"/>
              <w:jc w:val="left"/>
            </w:pPr>
          </w:p>
        </w:tc>
        <w:tc>
          <w:tcPr>
            <w:tcW w:w="1120" w:type="dxa"/>
            <w:shd w:val="clear" w:color="auto" w:fill="FFFFFF"/>
            <w:vAlign w:val="center"/>
          </w:tcPr>
          <w:p w14:paraId="72000252">
            <w:pPr>
              <w:spacing w:before="0" w:after="0" w:line="240" w:lineRule="auto"/>
              <w:ind w:left="0" w:right="0" w:firstLine="0"/>
              <w:jc w:val="left"/>
            </w:pPr>
            <w:r>
              <w:rPr>
                <w:rFonts w:ascii="宋体" w:hAnsi="宋体" w:eastAsia="宋体" w:cs="宋体"/>
                <w:b w:val="0"/>
                <w:color w:val="000000"/>
                <w:sz w:val="18"/>
              </w:rPr>
              <w:t>液化工序优化—参数优化</w:t>
            </w:r>
          </w:p>
        </w:tc>
        <w:tc>
          <w:tcPr>
            <w:tcW w:w="1430" w:type="dxa"/>
            <w:shd w:val="clear" w:color="auto" w:fill="FFFFFF"/>
            <w:vAlign w:val="center"/>
          </w:tcPr>
          <w:p w14:paraId="72000253">
            <w:pPr>
              <w:spacing w:before="0" w:after="0" w:line="240" w:lineRule="auto"/>
              <w:ind w:left="0" w:right="0" w:firstLine="0"/>
              <w:jc w:val="left"/>
            </w:pPr>
            <w:r>
              <w:rPr>
                <w:rFonts w:ascii="宋体" w:hAnsi="宋体" w:eastAsia="宋体" w:cs="宋体"/>
                <w:b w:val="0"/>
                <w:color w:val="000000"/>
                <w:sz w:val="18"/>
              </w:rPr>
              <w:t>P-ZLTC-AI-YHGXYHCSYH-034</w:t>
            </w:r>
          </w:p>
        </w:tc>
        <w:tc>
          <w:tcPr>
            <w:tcW w:w="2119" w:type="dxa"/>
            <w:shd w:val="clear" w:color="auto" w:fill="FFFFFF"/>
            <w:vAlign w:val="center"/>
          </w:tcPr>
          <w:p w14:paraId="72000254">
            <w:pPr>
              <w:spacing w:before="0" w:after="0" w:line="240" w:lineRule="auto"/>
              <w:ind w:left="0" w:right="0" w:firstLine="0"/>
              <w:jc w:val="left"/>
            </w:pPr>
            <w:r>
              <w:rPr>
                <w:rFonts w:ascii="宋体" w:hAnsi="宋体" w:eastAsia="宋体" w:cs="宋体"/>
                <w:b w:val="0"/>
                <w:color w:val="000000"/>
                <w:sz w:val="18"/>
              </w:rPr>
              <w:t>通过平台内工艺优化模型计算加酶量、温度、流量等参数建议，开展What-if模拟与经济性评估；校验工况和安全边界，经人工确认执行后复核效果。详见5.3.3.4。</w:t>
            </w:r>
          </w:p>
        </w:tc>
        <w:tc>
          <w:tcPr>
            <w:tcW w:w="1521" w:type="dxa"/>
            <w:shd w:val="clear" w:color="auto" w:fill="FFFFFF"/>
            <w:vAlign w:val="center"/>
          </w:tcPr>
          <w:p w14:paraId="72000255">
            <w:pPr>
              <w:spacing w:before="0" w:after="0" w:line="240" w:lineRule="auto"/>
              <w:ind w:left="0" w:right="0" w:firstLine="0"/>
              <w:jc w:val="left"/>
            </w:pPr>
            <w:r>
              <w:rPr>
                <w:rFonts w:ascii="宋体" w:hAnsi="宋体" w:eastAsia="宋体" w:cs="宋体"/>
                <w:b w:val="0"/>
                <w:color w:val="000000"/>
                <w:sz w:val="18"/>
              </w:rPr>
              <w:t>DE预测、DCS工况与反馈数据；工艺约束、安全限值、确认口径与模型版本</w:t>
            </w:r>
          </w:p>
        </w:tc>
        <w:tc>
          <w:tcPr>
            <w:tcW w:w="1020" w:type="dxa"/>
            <w:shd w:val="clear" w:color="auto" w:fill="FFFFFF"/>
            <w:vAlign w:val="center"/>
          </w:tcPr>
          <w:p w14:paraId="72000256">
            <w:pPr>
              <w:spacing w:before="0" w:after="0" w:line="240" w:lineRule="auto"/>
              <w:ind w:left="0" w:right="0" w:firstLine="0"/>
              <w:jc w:val="left"/>
            </w:pPr>
            <w:r>
              <w:rPr>
                <w:rFonts w:ascii="宋体" w:hAnsi="宋体" w:eastAsia="宋体" w:cs="宋体"/>
                <w:b w:val="0"/>
                <w:color w:val="000000"/>
                <w:sz w:val="18"/>
              </w:rPr>
              <w:t>参数建议卡、假设模拟、经济性分析与效果验证</w:t>
            </w:r>
          </w:p>
        </w:tc>
        <w:tc>
          <w:tcPr>
            <w:tcW w:w="1102" w:type="dxa"/>
            <w:shd w:val="clear" w:color="auto" w:fill="FFFFFF"/>
            <w:vAlign w:val="center"/>
          </w:tcPr>
          <w:p w14:paraId="72000257">
            <w:pPr>
              <w:spacing w:before="0" w:after="0" w:line="240" w:lineRule="auto"/>
              <w:ind w:left="0" w:right="0" w:firstLine="0"/>
              <w:jc w:val="left"/>
            </w:pPr>
            <w:r>
              <w:rPr>
                <w:rFonts w:ascii="宋体" w:hAnsi="宋体" w:eastAsia="宋体" w:cs="宋体"/>
                <w:b w:val="0"/>
                <w:color w:val="000000"/>
                <w:sz w:val="18"/>
              </w:rPr>
              <w:t>中控操作员、液化工艺工程师</w:t>
            </w:r>
          </w:p>
        </w:tc>
      </w:tr>
      <w:tr w14:paraId="72000258">
        <w:trPr>
          <w:cantSplit/>
          <w:jc w:val="center"/>
        </w:trPr>
        <w:tc>
          <w:tcPr>
            <w:tcW w:w="760" w:type="dxa"/>
            <w:vMerge w:val="continue"/>
            <w:shd w:val="clear" w:color="auto" w:fill="FFFFFF"/>
            <w:vAlign w:val="center"/>
          </w:tcPr>
          <w:p w14:paraId="72000259">
            <w:pPr>
              <w:spacing w:before="0" w:after="0" w:line="240" w:lineRule="auto"/>
              <w:ind w:left="0" w:right="0" w:firstLine="0"/>
              <w:jc w:val="left"/>
            </w:pPr>
          </w:p>
        </w:tc>
        <w:tc>
          <w:tcPr>
            <w:tcW w:w="1120" w:type="dxa"/>
            <w:shd w:val="clear" w:color="auto" w:fill="FFFFFF"/>
            <w:vAlign w:val="center"/>
          </w:tcPr>
          <w:p w14:paraId="7200025A">
            <w:pPr>
              <w:spacing w:before="0" w:after="0" w:line="240" w:lineRule="auto"/>
              <w:ind w:left="0" w:right="0" w:firstLine="0"/>
              <w:jc w:val="left"/>
            </w:pPr>
            <w:r>
              <w:rPr>
                <w:rFonts w:ascii="宋体" w:hAnsi="宋体" w:eastAsia="宋体" w:cs="宋体"/>
                <w:b w:val="0"/>
                <w:color w:val="000000"/>
                <w:sz w:val="18"/>
              </w:rPr>
              <w:t>全局工艺优化—优化机会识别</w:t>
            </w:r>
          </w:p>
        </w:tc>
        <w:tc>
          <w:tcPr>
            <w:tcW w:w="1430" w:type="dxa"/>
            <w:shd w:val="clear" w:color="auto" w:fill="FFFFFF"/>
            <w:vAlign w:val="center"/>
          </w:tcPr>
          <w:p w14:paraId="7200025B">
            <w:pPr>
              <w:spacing w:before="0" w:after="0" w:line="240" w:lineRule="auto"/>
              <w:ind w:left="0" w:right="0" w:firstLine="0"/>
              <w:jc w:val="left"/>
            </w:pPr>
            <w:r>
              <w:rPr>
                <w:rFonts w:ascii="宋体" w:hAnsi="宋体" w:eastAsia="宋体" w:cs="宋体"/>
                <w:b w:val="0"/>
                <w:color w:val="000000"/>
                <w:sz w:val="18"/>
              </w:rPr>
              <w:t>P-ZLTC-AI-QJGYYHYHJH-035</w:t>
            </w:r>
          </w:p>
        </w:tc>
        <w:tc>
          <w:tcPr>
            <w:tcW w:w="2119" w:type="dxa"/>
            <w:shd w:val="clear" w:color="auto" w:fill="FFFFFF"/>
            <w:vAlign w:val="center"/>
          </w:tcPr>
          <w:p w14:paraId="7200025C">
            <w:pPr>
              <w:spacing w:before="0" w:after="0" w:line="240" w:lineRule="auto"/>
              <w:ind w:left="0" w:right="0" w:firstLine="0"/>
              <w:jc w:val="left"/>
            </w:pPr>
            <w:r>
              <w:rPr>
                <w:rFonts w:ascii="宋体" w:hAnsi="宋体" w:eastAsia="宋体" w:cs="宋体"/>
                <w:b w:val="0"/>
                <w:color w:val="000000"/>
                <w:sz w:val="18"/>
              </w:rPr>
              <w:t>统一工艺、批次、配方、测点与时间窗，形成可比样本，识别稳定生产中的保守设定和改进空间，形成优化机会及优先级排序。详见5.3.3.5。</w:t>
            </w:r>
          </w:p>
        </w:tc>
        <w:tc>
          <w:tcPr>
            <w:tcW w:w="1521" w:type="dxa"/>
            <w:shd w:val="clear" w:color="auto" w:fill="FFFFFF"/>
            <w:vAlign w:val="center"/>
          </w:tcPr>
          <w:p w14:paraId="7200025D">
            <w:pPr>
              <w:spacing w:before="0" w:after="0" w:line="240" w:lineRule="auto"/>
              <w:ind w:left="0" w:right="0" w:firstLine="0"/>
              <w:jc w:val="left"/>
            </w:pPr>
            <w:r>
              <w:rPr>
                <w:rFonts w:ascii="宋体" w:hAnsi="宋体" w:eastAsia="宋体" w:cs="宋体"/>
                <w:b w:val="0"/>
                <w:color w:val="000000"/>
                <w:sz w:val="18"/>
              </w:rPr>
              <w:t>PLM、MES、DCS与PI、QMS与LIMS数据；环境、设备状态与工艺约束</w:t>
            </w:r>
          </w:p>
        </w:tc>
        <w:tc>
          <w:tcPr>
            <w:tcW w:w="1020" w:type="dxa"/>
            <w:shd w:val="clear" w:color="auto" w:fill="FFFFFF"/>
            <w:vAlign w:val="center"/>
          </w:tcPr>
          <w:p w14:paraId="7200025E">
            <w:pPr>
              <w:spacing w:before="0" w:after="0" w:line="240" w:lineRule="auto"/>
              <w:ind w:left="0" w:right="0" w:firstLine="0"/>
              <w:jc w:val="left"/>
            </w:pPr>
            <w:r>
              <w:rPr>
                <w:rFonts w:ascii="宋体" w:hAnsi="宋体" w:eastAsia="宋体" w:cs="宋体"/>
                <w:b w:val="0"/>
                <w:color w:val="000000"/>
                <w:sz w:val="18"/>
              </w:rPr>
              <w:t>优化机会清单、量化分析与优先级</w:t>
            </w:r>
          </w:p>
        </w:tc>
        <w:tc>
          <w:tcPr>
            <w:tcW w:w="1102" w:type="dxa"/>
            <w:shd w:val="clear" w:color="auto" w:fill="FFFFFF"/>
            <w:vAlign w:val="center"/>
          </w:tcPr>
          <w:p w14:paraId="7200025F">
            <w:pPr>
              <w:spacing w:before="0" w:after="0" w:line="240" w:lineRule="auto"/>
              <w:ind w:left="0" w:right="0" w:firstLine="0"/>
              <w:jc w:val="left"/>
            </w:pPr>
            <w:r>
              <w:rPr>
                <w:rFonts w:ascii="宋体" w:hAnsi="宋体" w:eastAsia="宋体" w:cs="宋体"/>
                <w:b w:val="0"/>
                <w:color w:val="000000"/>
                <w:sz w:val="18"/>
              </w:rPr>
              <w:t>工艺工程师、生产技术负责人</w:t>
            </w:r>
          </w:p>
        </w:tc>
      </w:tr>
      <w:tr w14:paraId="72000260">
        <w:trPr>
          <w:cantSplit/>
          <w:jc w:val="center"/>
        </w:trPr>
        <w:tc>
          <w:tcPr>
            <w:tcW w:w="760" w:type="dxa"/>
            <w:vMerge w:val="continue"/>
            <w:shd w:val="clear" w:color="auto" w:fill="FFFFFF"/>
            <w:vAlign w:val="center"/>
          </w:tcPr>
          <w:p w14:paraId="72000261">
            <w:pPr>
              <w:spacing w:before="0" w:after="0" w:line="240" w:lineRule="auto"/>
              <w:ind w:left="0" w:right="0" w:firstLine="0"/>
              <w:jc w:val="left"/>
            </w:pPr>
          </w:p>
        </w:tc>
        <w:tc>
          <w:tcPr>
            <w:tcW w:w="1120" w:type="dxa"/>
            <w:shd w:val="clear" w:color="auto" w:fill="FFFFFF"/>
            <w:vAlign w:val="center"/>
          </w:tcPr>
          <w:p w14:paraId="72000262">
            <w:pPr>
              <w:spacing w:before="0" w:after="0" w:line="240" w:lineRule="auto"/>
              <w:ind w:left="0" w:right="0" w:firstLine="0"/>
              <w:jc w:val="left"/>
            </w:pPr>
            <w:r>
              <w:rPr>
                <w:rFonts w:ascii="宋体" w:hAnsi="宋体" w:eastAsia="宋体" w:cs="宋体"/>
                <w:b w:val="0"/>
                <w:color w:val="000000"/>
                <w:sz w:val="18"/>
              </w:rPr>
              <w:t>全局工艺优化—工艺参数寻优</w:t>
            </w:r>
          </w:p>
        </w:tc>
        <w:tc>
          <w:tcPr>
            <w:tcW w:w="1430" w:type="dxa"/>
            <w:shd w:val="clear" w:color="auto" w:fill="FFFFFF"/>
            <w:vAlign w:val="center"/>
          </w:tcPr>
          <w:p w14:paraId="72000263">
            <w:pPr>
              <w:spacing w:before="0" w:after="0" w:line="240" w:lineRule="auto"/>
              <w:ind w:left="0" w:right="0" w:firstLine="0"/>
              <w:jc w:val="left"/>
            </w:pPr>
            <w:r>
              <w:rPr>
                <w:rFonts w:ascii="宋体" w:hAnsi="宋体" w:eastAsia="宋体" w:cs="宋体"/>
                <w:b w:val="0"/>
                <w:color w:val="000000"/>
                <w:sz w:val="18"/>
              </w:rPr>
              <w:t>P-ZLTC-AI-QJGYYHGYCS-036</w:t>
            </w:r>
          </w:p>
        </w:tc>
        <w:tc>
          <w:tcPr>
            <w:tcW w:w="2119" w:type="dxa"/>
            <w:shd w:val="clear" w:color="auto" w:fill="FFFFFF"/>
            <w:vAlign w:val="center"/>
          </w:tcPr>
          <w:p w14:paraId="72000264">
            <w:pPr>
              <w:spacing w:before="0" w:after="0" w:line="240" w:lineRule="auto"/>
              <w:ind w:left="0" w:right="0" w:firstLine="0"/>
              <w:jc w:val="left"/>
            </w:pPr>
            <w:r>
              <w:rPr>
                <w:rFonts w:ascii="宋体" w:hAnsi="宋体" w:eastAsia="宋体" w:cs="宋体"/>
                <w:b w:val="0"/>
                <w:color w:val="000000"/>
                <w:sz w:val="18"/>
              </w:rPr>
              <w:t>应用平台内工艺优化模型开展液化、糖化等工序的参数、质量与消耗关联预测，形成量化参数建议并通过现场反馈迭代验证。详见5.3.3.5。</w:t>
            </w:r>
          </w:p>
        </w:tc>
        <w:tc>
          <w:tcPr>
            <w:tcW w:w="1521" w:type="dxa"/>
            <w:shd w:val="clear" w:color="auto" w:fill="FFFFFF"/>
            <w:vAlign w:val="center"/>
          </w:tcPr>
          <w:p w14:paraId="72000265">
            <w:pPr>
              <w:spacing w:before="0" w:after="0" w:line="240" w:lineRule="auto"/>
              <w:ind w:left="0" w:right="0" w:firstLine="0"/>
              <w:jc w:val="left"/>
            </w:pPr>
            <w:r>
              <w:rPr>
                <w:rFonts w:ascii="宋体" w:hAnsi="宋体" w:eastAsia="宋体" w:cs="宋体"/>
                <w:b w:val="0"/>
                <w:color w:val="000000"/>
                <w:sz w:val="18"/>
              </w:rPr>
              <w:t>已对齐的工艺与质量历史样本、工艺约束、当前工况及执行反馈</w:t>
            </w:r>
          </w:p>
        </w:tc>
        <w:tc>
          <w:tcPr>
            <w:tcW w:w="1020" w:type="dxa"/>
            <w:shd w:val="clear" w:color="auto" w:fill="FFFFFF"/>
            <w:vAlign w:val="center"/>
          </w:tcPr>
          <w:p w14:paraId="72000266">
            <w:pPr>
              <w:spacing w:before="0" w:after="0" w:line="240" w:lineRule="auto"/>
              <w:ind w:left="0" w:right="0" w:firstLine="0"/>
              <w:jc w:val="left"/>
            </w:pPr>
            <w:r>
              <w:rPr>
                <w:rFonts w:ascii="宋体" w:hAnsi="宋体" w:eastAsia="宋体" w:cs="宋体"/>
                <w:b w:val="0"/>
                <w:color w:val="000000"/>
                <w:sz w:val="18"/>
              </w:rPr>
              <w:t>参数寻优结果、预测卡、量化建议与验证结果</w:t>
            </w:r>
          </w:p>
        </w:tc>
        <w:tc>
          <w:tcPr>
            <w:tcW w:w="1102" w:type="dxa"/>
            <w:shd w:val="clear" w:color="auto" w:fill="FFFFFF"/>
            <w:vAlign w:val="center"/>
          </w:tcPr>
          <w:p w14:paraId="72000267">
            <w:pPr>
              <w:spacing w:before="0" w:after="0" w:line="240" w:lineRule="auto"/>
              <w:ind w:left="0" w:right="0" w:firstLine="0"/>
              <w:jc w:val="left"/>
            </w:pPr>
            <w:r>
              <w:rPr>
                <w:rFonts w:ascii="宋体" w:hAnsi="宋体" w:eastAsia="宋体" w:cs="宋体"/>
                <w:b w:val="0"/>
                <w:color w:val="000000"/>
                <w:sz w:val="18"/>
              </w:rPr>
              <w:t>工艺工程师、生产技术负责人</w:t>
            </w:r>
          </w:p>
        </w:tc>
      </w:tr>
      <w:tr w14:paraId="72000268">
        <w:trPr>
          <w:cantSplit/>
          <w:jc w:val="center"/>
        </w:trPr>
        <w:tc>
          <w:tcPr>
            <w:tcW w:w="760" w:type="dxa"/>
            <w:vMerge w:val="continue"/>
            <w:shd w:val="clear" w:color="auto" w:fill="FFFFFF"/>
            <w:vAlign w:val="center"/>
          </w:tcPr>
          <w:p w14:paraId="72000269">
            <w:pPr>
              <w:spacing w:before="0" w:after="0" w:line="240" w:lineRule="auto"/>
              <w:ind w:left="0" w:right="0" w:firstLine="0"/>
              <w:jc w:val="left"/>
            </w:pPr>
          </w:p>
        </w:tc>
        <w:tc>
          <w:tcPr>
            <w:tcW w:w="1120" w:type="dxa"/>
            <w:shd w:val="clear" w:color="auto" w:fill="FFFFFF"/>
            <w:vAlign w:val="center"/>
          </w:tcPr>
          <w:p w14:paraId="7200026A">
            <w:pPr>
              <w:spacing w:before="0" w:after="0" w:line="240" w:lineRule="auto"/>
              <w:ind w:left="0" w:right="0" w:firstLine="0"/>
              <w:jc w:val="left"/>
            </w:pPr>
            <w:r>
              <w:rPr>
                <w:rFonts w:ascii="宋体" w:hAnsi="宋体" w:eastAsia="宋体" w:cs="宋体"/>
                <w:b w:val="0"/>
                <w:color w:val="000000"/>
                <w:sz w:val="18"/>
              </w:rPr>
              <w:t>全局工艺优化—材料寿命管理</w:t>
            </w:r>
          </w:p>
        </w:tc>
        <w:tc>
          <w:tcPr>
            <w:tcW w:w="1430" w:type="dxa"/>
            <w:shd w:val="clear" w:color="auto" w:fill="FFFFFF"/>
            <w:vAlign w:val="center"/>
          </w:tcPr>
          <w:p w14:paraId="7200026B">
            <w:pPr>
              <w:spacing w:before="0" w:after="0" w:line="240" w:lineRule="auto"/>
              <w:ind w:left="0" w:right="0" w:firstLine="0"/>
              <w:jc w:val="left"/>
            </w:pPr>
            <w:r>
              <w:rPr>
                <w:rFonts w:ascii="宋体" w:hAnsi="宋体" w:eastAsia="宋体" w:cs="宋体"/>
                <w:b w:val="0"/>
                <w:color w:val="000000"/>
                <w:sz w:val="18"/>
              </w:rPr>
              <w:t>P-ZLTC-AI-QJGYYHCLSM-037</w:t>
            </w:r>
          </w:p>
        </w:tc>
        <w:tc>
          <w:tcPr>
            <w:tcW w:w="2119" w:type="dxa"/>
            <w:shd w:val="clear" w:color="auto" w:fill="FFFFFF"/>
            <w:vAlign w:val="center"/>
          </w:tcPr>
          <w:p w14:paraId="7200026C">
            <w:pPr>
              <w:spacing w:before="0" w:after="0" w:line="240" w:lineRule="auto"/>
              <w:ind w:left="0" w:right="0" w:firstLine="0"/>
              <w:jc w:val="left"/>
            </w:pPr>
            <w:r>
              <w:rPr>
                <w:rFonts w:ascii="宋体" w:hAnsi="宋体" w:eastAsia="宋体" w:cs="宋体"/>
                <w:b w:val="0"/>
                <w:color w:val="000000"/>
                <w:sz w:val="18"/>
              </w:rPr>
              <w:t>分析膜、离交树脂及色谱材料的性能退化与剩余寿命，结合生产计划、检修停机及负荷安排清洗和更换建议窗口。详见5.3.3.5。</w:t>
            </w:r>
          </w:p>
        </w:tc>
        <w:tc>
          <w:tcPr>
            <w:tcW w:w="1521" w:type="dxa"/>
            <w:shd w:val="clear" w:color="auto" w:fill="FFFFFF"/>
            <w:vAlign w:val="center"/>
          </w:tcPr>
          <w:p w14:paraId="7200026D">
            <w:pPr>
              <w:spacing w:before="0" w:after="0" w:line="240" w:lineRule="auto"/>
              <w:ind w:left="0" w:right="0" w:firstLine="0"/>
              <w:jc w:val="left"/>
            </w:pPr>
            <w:r>
              <w:rPr>
                <w:rFonts w:ascii="宋体" w:hAnsi="宋体" w:eastAsia="宋体" w:cs="宋体"/>
                <w:b w:val="0"/>
                <w:color w:val="000000"/>
                <w:sz w:val="18"/>
              </w:rPr>
              <w:t>材料状态、清洗和更换历史、生产计划及设备运行数据</w:t>
            </w:r>
          </w:p>
        </w:tc>
        <w:tc>
          <w:tcPr>
            <w:tcW w:w="1020" w:type="dxa"/>
            <w:shd w:val="clear" w:color="auto" w:fill="FFFFFF"/>
            <w:vAlign w:val="center"/>
          </w:tcPr>
          <w:p w14:paraId="7200026E">
            <w:pPr>
              <w:spacing w:before="0" w:after="0" w:line="240" w:lineRule="auto"/>
              <w:ind w:left="0" w:right="0" w:firstLine="0"/>
              <w:jc w:val="left"/>
            </w:pPr>
            <w:r>
              <w:rPr>
                <w:rFonts w:ascii="宋体" w:hAnsi="宋体" w:eastAsia="宋体" w:cs="宋体"/>
                <w:b w:val="0"/>
                <w:color w:val="000000"/>
                <w:sz w:val="18"/>
              </w:rPr>
              <w:t>剩余寿命预测、风险预警、维护建议与计划窗口</w:t>
            </w:r>
          </w:p>
        </w:tc>
        <w:tc>
          <w:tcPr>
            <w:tcW w:w="1102" w:type="dxa"/>
            <w:shd w:val="clear" w:color="auto" w:fill="FFFFFF"/>
            <w:vAlign w:val="center"/>
          </w:tcPr>
          <w:p w14:paraId="7200026F">
            <w:pPr>
              <w:spacing w:before="0" w:after="0" w:line="240" w:lineRule="auto"/>
              <w:ind w:left="0" w:right="0" w:firstLine="0"/>
              <w:jc w:val="left"/>
            </w:pPr>
            <w:r>
              <w:rPr>
                <w:rFonts w:ascii="宋体" w:hAnsi="宋体" w:eastAsia="宋体" w:cs="宋体"/>
                <w:b w:val="0"/>
                <w:color w:val="000000"/>
                <w:sz w:val="18"/>
              </w:rPr>
              <w:t>工艺工程师、生产技术负责人</w:t>
            </w:r>
          </w:p>
        </w:tc>
      </w:tr>
      <w:tr w14:paraId="72000270">
        <w:trPr>
          <w:cantSplit/>
          <w:jc w:val="center"/>
        </w:trPr>
        <w:tc>
          <w:tcPr>
            <w:tcW w:w="760" w:type="dxa"/>
            <w:vMerge w:val="continue"/>
            <w:shd w:val="clear" w:color="auto" w:fill="FFFFFF"/>
            <w:vAlign w:val="center"/>
          </w:tcPr>
          <w:p w14:paraId="72000271">
            <w:pPr>
              <w:spacing w:before="0" w:after="0" w:line="240" w:lineRule="auto"/>
              <w:ind w:left="0" w:right="0" w:firstLine="0"/>
              <w:jc w:val="left"/>
            </w:pPr>
          </w:p>
        </w:tc>
        <w:tc>
          <w:tcPr>
            <w:tcW w:w="1120" w:type="dxa"/>
            <w:shd w:val="clear" w:color="auto" w:fill="FFFFFF"/>
            <w:vAlign w:val="center"/>
          </w:tcPr>
          <w:p w14:paraId="72000272">
            <w:pPr>
              <w:spacing w:before="0" w:after="0" w:line="240" w:lineRule="auto"/>
              <w:ind w:left="0" w:right="0" w:firstLine="0"/>
              <w:jc w:val="left"/>
            </w:pPr>
            <w:r>
              <w:rPr>
                <w:rFonts w:ascii="宋体" w:hAnsi="宋体" w:eastAsia="宋体" w:cs="宋体"/>
                <w:b w:val="0"/>
                <w:color w:val="000000"/>
                <w:sz w:val="18"/>
              </w:rPr>
              <w:t>访客知识问答</w:t>
            </w:r>
          </w:p>
        </w:tc>
        <w:tc>
          <w:tcPr>
            <w:tcW w:w="1430" w:type="dxa"/>
            <w:shd w:val="clear" w:color="auto" w:fill="FFFFFF"/>
            <w:vAlign w:val="center"/>
          </w:tcPr>
          <w:p w14:paraId="72000273">
            <w:pPr>
              <w:spacing w:before="0" w:after="0" w:line="240" w:lineRule="auto"/>
              <w:ind w:left="0" w:right="0" w:firstLine="0"/>
              <w:jc w:val="left"/>
            </w:pPr>
            <w:r>
              <w:rPr>
                <w:rFonts w:ascii="宋体" w:hAnsi="宋体" w:eastAsia="宋体" w:cs="宋体"/>
                <w:b w:val="0"/>
                <w:color w:val="000000"/>
                <w:sz w:val="18"/>
              </w:rPr>
              <w:t>P-ZLTC-AI-FKZSWD-038</w:t>
            </w:r>
          </w:p>
        </w:tc>
        <w:tc>
          <w:tcPr>
            <w:tcW w:w="2119" w:type="dxa"/>
            <w:shd w:val="clear" w:color="auto" w:fill="FFFFFF"/>
            <w:vAlign w:val="center"/>
          </w:tcPr>
          <w:p w14:paraId="72000274">
            <w:pPr>
              <w:spacing w:before="0" w:after="0" w:line="240" w:lineRule="auto"/>
              <w:ind w:left="0" w:right="0" w:firstLine="0"/>
              <w:jc w:val="left"/>
            </w:pPr>
            <w:r>
              <w:rPr>
                <w:rFonts w:ascii="宋体" w:hAnsi="宋体" w:eastAsia="宋体" w:cs="宋体"/>
                <w:b w:val="0"/>
                <w:color w:val="000000"/>
                <w:sz w:val="18"/>
              </w:rPr>
              <w:t>复用统一检索链路回答企业介绍、参观须知、通用制度及入职指引等公开知识；附出处、涉密拒答及输出过滤；未命中静默记录并交知识维护。详见5.3.4.1。</w:t>
            </w:r>
          </w:p>
        </w:tc>
        <w:tc>
          <w:tcPr>
            <w:tcW w:w="1521" w:type="dxa"/>
            <w:shd w:val="clear" w:color="auto" w:fill="FFFFFF"/>
            <w:vAlign w:val="center"/>
          </w:tcPr>
          <w:p w14:paraId="72000275">
            <w:pPr>
              <w:spacing w:before="0" w:after="0" w:line="240" w:lineRule="auto"/>
              <w:ind w:left="0" w:right="0" w:firstLine="0"/>
              <w:jc w:val="left"/>
            </w:pPr>
            <w:r>
              <w:rPr>
                <w:rFonts w:ascii="宋体" w:hAnsi="宋体" w:eastAsia="宋体" w:cs="宋体"/>
                <w:b w:val="0"/>
                <w:color w:val="000000"/>
                <w:sz w:val="18"/>
              </w:rPr>
              <w:t>业主已入库公开材料及分级标签；业务系统侧访客账号体系、员工角色与知识可见范围</w:t>
            </w:r>
          </w:p>
        </w:tc>
        <w:tc>
          <w:tcPr>
            <w:tcW w:w="1020" w:type="dxa"/>
            <w:shd w:val="clear" w:color="auto" w:fill="FFFFFF"/>
            <w:vAlign w:val="center"/>
          </w:tcPr>
          <w:p w14:paraId="72000276">
            <w:pPr>
              <w:spacing w:before="0" w:after="0" w:line="240" w:lineRule="auto"/>
              <w:ind w:left="0" w:right="0" w:firstLine="0"/>
              <w:jc w:val="left"/>
            </w:pPr>
            <w:r>
              <w:rPr>
                <w:rFonts w:ascii="宋体" w:hAnsi="宋体" w:eastAsia="宋体" w:cs="宋体"/>
                <w:b w:val="0"/>
                <w:color w:val="000000"/>
                <w:sz w:val="18"/>
              </w:rPr>
              <w:t>统一入口的公开知识回答或拒答；知识工作台的静默缺口线索及相关回归验证</w:t>
            </w:r>
          </w:p>
        </w:tc>
        <w:tc>
          <w:tcPr>
            <w:tcW w:w="1102" w:type="dxa"/>
            <w:shd w:val="clear" w:color="auto" w:fill="FFFFFF"/>
            <w:vAlign w:val="center"/>
          </w:tcPr>
          <w:p w14:paraId="72000277">
            <w:pPr>
              <w:spacing w:before="0" w:after="0" w:line="240" w:lineRule="auto"/>
              <w:ind w:left="0" w:right="0" w:firstLine="0"/>
              <w:jc w:val="left"/>
            </w:pPr>
            <w:r>
              <w:rPr>
                <w:rFonts w:ascii="宋体" w:hAnsi="宋体" w:eastAsia="宋体" w:cs="宋体"/>
                <w:b w:val="0"/>
                <w:color w:val="000000"/>
                <w:sz w:val="18"/>
              </w:rPr>
              <w:t>访客、新员工</w:t>
            </w:r>
          </w:p>
        </w:tc>
      </w:tr>
      <w:tr w14:paraId="72000278">
        <w:trPr>
          <w:cantSplit/>
          <w:jc w:val="center"/>
        </w:trPr>
        <w:tc>
          <w:tcPr>
            <w:tcW w:w="760" w:type="dxa"/>
            <w:vMerge w:val="continue"/>
            <w:shd w:val="clear" w:color="auto" w:fill="FFFFFF"/>
            <w:vAlign w:val="center"/>
          </w:tcPr>
          <w:p w14:paraId="72000279">
            <w:pPr>
              <w:spacing w:before="0" w:after="0" w:line="240" w:lineRule="auto"/>
              <w:ind w:left="0" w:right="0" w:firstLine="0"/>
              <w:jc w:val="left"/>
            </w:pPr>
          </w:p>
        </w:tc>
        <w:tc>
          <w:tcPr>
            <w:tcW w:w="1120" w:type="dxa"/>
            <w:shd w:val="clear" w:color="auto" w:fill="FFFFFF"/>
            <w:vAlign w:val="center"/>
          </w:tcPr>
          <w:p w14:paraId="7200027A">
            <w:pPr>
              <w:spacing w:before="0" w:after="0" w:line="240" w:lineRule="auto"/>
              <w:ind w:left="0" w:right="0" w:firstLine="0"/>
              <w:jc w:val="left"/>
            </w:pPr>
            <w:r>
              <w:rPr>
                <w:rFonts w:ascii="宋体" w:hAnsi="宋体" w:eastAsia="宋体" w:cs="宋体"/>
                <w:b w:val="0"/>
                <w:color w:val="000000"/>
                <w:sz w:val="18"/>
              </w:rPr>
              <w:t>数字人语音唤醒</w:t>
            </w:r>
          </w:p>
        </w:tc>
        <w:tc>
          <w:tcPr>
            <w:tcW w:w="1430" w:type="dxa"/>
            <w:shd w:val="clear" w:color="auto" w:fill="FFFFFF"/>
            <w:vAlign w:val="center"/>
          </w:tcPr>
          <w:p w14:paraId="7200027B">
            <w:pPr>
              <w:spacing w:before="0" w:after="0" w:line="240" w:lineRule="auto"/>
              <w:ind w:left="0" w:right="0" w:firstLine="0"/>
              <w:jc w:val="left"/>
            </w:pPr>
            <w:r>
              <w:rPr>
                <w:rFonts w:ascii="宋体" w:hAnsi="宋体" w:eastAsia="宋体" w:cs="宋体"/>
                <w:b w:val="0"/>
                <w:color w:val="000000"/>
                <w:sz w:val="18"/>
              </w:rPr>
              <w:t>P-ZLTC-AI-SZRYYHX-039</w:t>
            </w:r>
          </w:p>
        </w:tc>
        <w:tc>
          <w:tcPr>
            <w:tcW w:w="2119" w:type="dxa"/>
            <w:shd w:val="clear" w:color="auto" w:fill="FFFFFF"/>
            <w:vAlign w:val="center"/>
          </w:tcPr>
          <w:p w14:paraId="7200027C">
            <w:pPr>
              <w:spacing w:before="0" w:after="0" w:line="240" w:lineRule="auto"/>
              <w:ind w:left="0" w:right="0" w:firstLine="0"/>
              <w:jc w:val="left"/>
            </w:pPr>
            <w:r>
              <w:rPr>
                <w:rFonts w:ascii="宋体" w:hAnsi="宋体" w:eastAsia="宋体" w:cs="宋体"/>
                <w:b w:val="0"/>
                <w:color w:val="000000"/>
                <w:sz w:val="18"/>
              </w:rPr>
              <w:t>支持展厅唤醒和演示级语音输入，完成语音识别、转写、失败重试或文字引导，将识别文本交统一问答链路。详见5.3.4.2。</w:t>
            </w:r>
          </w:p>
        </w:tc>
        <w:tc>
          <w:tcPr>
            <w:tcW w:w="1521" w:type="dxa"/>
            <w:shd w:val="clear" w:color="auto" w:fill="FFFFFF"/>
            <w:vAlign w:val="center"/>
          </w:tcPr>
          <w:p w14:paraId="7200027D">
            <w:pPr>
              <w:spacing w:before="0" w:after="0" w:line="240" w:lineRule="auto"/>
              <w:ind w:left="0" w:right="0" w:firstLine="0"/>
              <w:jc w:val="left"/>
            </w:pPr>
            <w:r>
              <w:rPr>
                <w:rFonts w:ascii="宋体" w:hAnsi="宋体" w:eastAsia="宋体" w:cs="宋体"/>
                <w:b w:val="0"/>
                <w:color w:val="000000"/>
                <w:sz w:val="18"/>
              </w:rPr>
              <w:t>展厅音频设备、演示账号和语音输入</w:t>
            </w:r>
          </w:p>
        </w:tc>
        <w:tc>
          <w:tcPr>
            <w:tcW w:w="1020" w:type="dxa"/>
            <w:shd w:val="clear" w:color="auto" w:fill="FFFFFF"/>
            <w:vAlign w:val="center"/>
          </w:tcPr>
          <w:p w14:paraId="7200027E">
            <w:pPr>
              <w:spacing w:before="0" w:after="0" w:line="240" w:lineRule="auto"/>
              <w:ind w:left="0" w:right="0" w:firstLine="0"/>
              <w:jc w:val="left"/>
            </w:pPr>
            <w:r>
              <w:rPr>
                <w:rFonts w:ascii="宋体" w:hAnsi="宋体" w:eastAsia="宋体" w:cs="宋体"/>
                <w:b w:val="0"/>
                <w:color w:val="000000"/>
                <w:sz w:val="18"/>
              </w:rPr>
              <w:t>识别文本、语音交互状态与统一问答请求</w:t>
            </w:r>
          </w:p>
        </w:tc>
        <w:tc>
          <w:tcPr>
            <w:tcW w:w="1102" w:type="dxa"/>
            <w:shd w:val="clear" w:color="auto" w:fill="FFFFFF"/>
            <w:vAlign w:val="center"/>
          </w:tcPr>
          <w:p w14:paraId="7200027F">
            <w:pPr>
              <w:spacing w:before="0" w:after="0" w:line="240" w:lineRule="auto"/>
              <w:ind w:left="0" w:right="0" w:firstLine="0"/>
              <w:jc w:val="left"/>
            </w:pPr>
            <w:r>
              <w:rPr>
                <w:rFonts w:ascii="宋体" w:hAnsi="宋体" w:eastAsia="宋体" w:cs="宋体"/>
                <w:b w:val="0"/>
                <w:color w:val="000000"/>
                <w:sz w:val="18"/>
              </w:rPr>
              <w:t>访客</w:t>
            </w:r>
          </w:p>
        </w:tc>
      </w:tr>
      <w:tr w14:paraId="72000280">
        <w:trPr>
          <w:cantSplit/>
          <w:jc w:val="center"/>
        </w:trPr>
        <w:tc>
          <w:tcPr>
            <w:tcW w:w="760" w:type="dxa"/>
            <w:vMerge w:val="continue"/>
            <w:shd w:val="clear" w:color="auto" w:fill="FFFFFF"/>
            <w:vAlign w:val="center"/>
          </w:tcPr>
          <w:p w14:paraId="72000281">
            <w:pPr>
              <w:spacing w:before="0" w:after="0" w:line="240" w:lineRule="auto"/>
              <w:ind w:left="0" w:right="0" w:firstLine="0"/>
              <w:jc w:val="left"/>
            </w:pPr>
          </w:p>
        </w:tc>
        <w:tc>
          <w:tcPr>
            <w:tcW w:w="1120" w:type="dxa"/>
            <w:shd w:val="clear" w:color="auto" w:fill="FFFFFF"/>
            <w:vAlign w:val="center"/>
          </w:tcPr>
          <w:p w14:paraId="72000282">
            <w:pPr>
              <w:spacing w:before="0" w:after="0" w:line="240" w:lineRule="auto"/>
              <w:ind w:left="0" w:right="0" w:firstLine="0"/>
              <w:jc w:val="left"/>
            </w:pPr>
            <w:r>
              <w:rPr>
                <w:rFonts w:ascii="宋体" w:hAnsi="宋体" w:eastAsia="宋体" w:cs="宋体"/>
                <w:b w:val="0"/>
                <w:color w:val="000000"/>
                <w:sz w:val="18"/>
              </w:rPr>
              <w:t>展厅智能问答数字人</w:t>
            </w:r>
          </w:p>
        </w:tc>
        <w:tc>
          <w:tcPr>
            <w:tcW w:w="1430" w:type="dxa"/>
            <w:shd w:val="clear" w:color="auto" w:fill="FFFFFF"/>
            <w:vAlign w:val="center"/>
          </w:tcPr>
          <w:p w14:paraId="72000283">
            <w:pPr>
              <w:spacing w:before="0" w:after="0" w:line="240" w:lineRule="auto"/>
              <w:ind w:left="0" w:right="0" w:firstLine="0"/>
              <w:jc w:val="left"/>
            </w:pPr>
            <w:r>
              <w:rPr>
                <w:rFonts w:ascii="宋体" w:hAnsi="宋体" w:eastAsia="宋体" w:cs="宋体"/>
                <w:b w:val="0"/>
                <w:color w:val="000000"/>
                <w:sz w:val="18"/>
              </w:rPr>
              <w:t>P-ZLTC-AI-ZTZNWDSZR-040</w:t>
            </w:r>
          </w:p>
        </w:tc>
        <w:tc>
          <w:tcPr>
            <w:tcW w:w="2119" w:type="dxa"/>
            <w:shd w:val="clear" w:color="auto" w:fill="FFFFFF"/>
            <w:vAlign w:val="center"/>
          </w:tcPr>
          <w:p w14:paraId="72000284">
            <w:pPr>
              <w:spacing w:before="0" w:after="0" w:line="240" w:lineRule="auto"/>
              <w:ind w:left="0" w:right="0" w:firstLine="0"/>
              <w:jc w:val="left"/>
            </w:pPr>
            <w:r>
              <w:rPr>
                <w:rFonts w:ascii="宋体" w:hAnsi="宋体" w:eastAsia="宋体" w:cs="宋体"/>
                <w:b w:val="0"/>
                <w:color w:val="000000"/>
                <w:sz w:val="18"/>
              </w:rPr>
              <w:t>复用访客公开知识问答与输出过滤，合成应答语音，向数字孪生提供问答结果和音频以呈现形象、口型及大屏内容。详见5.3.4.3。</w:t>
            </w:r>
          </w:p>
        </w:tc>
        <w:tc>
          <w:tcPr>
            <w:tcW w:w="1521" w:type="dxa"/>
            <w:shd w:val="clear" w:color="auto" w:fill="FFFFFF"/>
            <w:vAlign w:val="center"/>
          </w:tcPr>
          <w:p w14:paraId="72000285">
            <w:pPr>
              <w:spacing w:before="0" w:after="0" w:line="240" w:lineRule="auto"/>
              <w:ind w:left="0" w:right="0" w:firstLine="0"/>
              <w:jc w:val="left"/>
            </w:pPr>
            <w:r>
              <w:rPr>
                <w:rFonts w:ascii="宋体" w:hAnsi="宋体" w:eastAsia="宋体" w:cs="宋体"/>
                <w:b w:val="0"/>
                <w:color w:val="000000"/>
                <w:sz w:val="18"/>
              </w:rPr>
              <w:t>语音识别文本、公开知识与访客问答链路、演示账号</w:t>
            </w:r>
          </w:p>
        </w:tc>
        <w:tc>
          <w:tcPr>
            <w:tcW w:w="1020" w:type="dxa"/>
            <w:shd w:val="clear" w:color="auto" w:fill="FFFFFF"/>
            <w:vAlign w:val="center"/>
          </w:tcPr>
          <w:p w14:paraId="72000286">
            <w:pPr>
              <w:spacing w:before="0" w:after="0" w:line="240" w:lineRule="auto"/>
              <w:ind w:left="0" w:right="0" w:firstLine="0"/>
              <w:jc w:val="left"/>
            </w:pPr>
            <w:r>
              <w:rPr>
                <w:rFonts w:ascii="宋体" w:hAnsi="宋体" w:eastAsia="宋体" w:cs="宋体"/>
                <w:b w:val="0"/>
                <w:color w:val="000000"/>
                <w:sz w:val="18"/>
              </w:rPr>
              <w:t>数字人应答、合成音频与大屏展示内容</w:t>
            </w:r>
          </w:p>
        </w:tc>
        <w:tc>
          <w:tcPr>
            <w:tcW w:w="1102" w:type="dxa"/>
            <w:shd w:val="clear" w:color="auto" w:fill="FFFFFF"/>
            <w:vAlign w:val="center"/>
          </w:tcPr>
          <w:p w14:paraId="72000287">
            <w:pPr>
              <w:spacing w:before="0" w:after="0" w:line="240" w:lineRule="auto"/>
              <w:ind w:left="0" w:right="0" w:firstLine="0"/>
              <w:jc w:val="left"/>
            </w:pPr>
            <w:r>
              <w:rPr>
                <w:rFonts w:ascii="宋体" w:hAnsi="宋体" w:eastAsia="宋体" w:cs="宋体"/>
                <w:b w:val="0"/>
                <w:color w:val="000000"/>
                <w:sz w:val="18"/>
              </w:rPr>
              <w:t>访客</w:t>
            </w:r>
          </w:p>
        </w:tc>
      </w:tr>
      <w:tr w14:paraId="720002B8">
        <w:trPr>
          <w:cantSplit/>
          <w:jc w:val="center"/>
        </w:trPr>
        <w:tc>
          <w:tcPr>
            <w:tcW w:w="760" w:type="dxa"/>
            <w:vMerge w:val="continue"/>
            <w:shd w:val="clear" w:color="auto" w:fill="FFFFFF"/>
            <w:vAlign w:val="center"/>
          </w:tcPr>
          <w:p w14:paraId="720002B9">
            <w:pPr>
              <w:spacing w:before="0" w:after="0" w:line="240" w:lineRule="auto"/>
              <w:ind w:left="0" w:right="0" w:firstLine="0"/>
              <w:jc w:val="left"/>
            </w:pPr>
          </w:p>
        </w:tc>
        <w:tc>
          <w:tcPr>
            <w:tcW w:w="1120" w:type="dxa"/>
            <w:shd w:val="clear" w:color="auto" w:fill="FFFFFF"/>
            <w:vAlign w:val="center"/>
          </w:tcPr>
          <w:p w14:paraId="720002BA">
            <w:pPr>
              <w:spacing w:before="0" w:after="0" w:line="240" w:lineRule="auto"/>
              <w:ind w:left="0" w:right="0" w:firstLine="0"/>
              <w:jc w:val="left"/>
            </w:pPr>
            <w:r>
              <w:rPr>
                <w:rFonts w:ascii="宋体" w:hAnsi="宋体" w:eastAsia="宋体" w:cs="宋体"/>
                <w:b w:val="0"/>
                <w:color w:val="000000"/>
                <w:sz w:val="18"/>
              </w:rPr>
              <w:t>质量安全环保</w:t>
            </w:r>
          </w:p>
        </w:tc>
        <w:tc>
          <w:tcPr>
            <w:tcW w:w="1430" w:type="dxa"/>
            <w:shd w:val="clear" w:color="auto" w:fill="FFFFFF"/>
            <w:vAlign w:val="center"/>
          </w:tcPr>
          <w:p w14:paraId="720002BB">
            <w:pPr>
              <w:spacing w:before="0" w:after="0" w:line="240" w:lineRule="auto"/>
              <w:ind w:left="0" w:right="0" w:firstLine="0"/>
              <w:jc w:val="left"/>
            </w:pPr>
            <w:r>
              <w:rPr>
                <w:rFonts w:ascii="宋体" w:hAnsi="宋体" w:eastAsia="宋体" w:cs="宋体"/>
                <w:b w:val="0"/>
                <w:color w:val="000000"/>
                <w:sz w:val="18"/>
              </w:rPr>
              <w:t>P-ZLTC-AI-ZLAQHBZSWD-041</w:t>
            </w:r>
          </w:p>
        </w:tc>
        <w:tc>
          <w:tcPr>
            <w:tcW w:w="2119" w:type="dxa"/>
            <w:shd w:val="clear" w:color="auto" w:fill="FFFFFF"/>
            <w:vAlign w:val="center"/>
          </w:tcPr>
          <w:p w14:paraId="720002BC">
            <w:pPr>
              <w:spacing w:before="0" w:after="0" w:line="240" w:lineRule="auto"/>
              <w:ind w:left="0" w:right="0" w:firstLine="0"/>
              <w:jc w:val="left"/>
            </w:pPr>
            <w:r>
              <w:rPr>
                <w:rFonts w:ascii="宋体" w:hAnsi="宋体" w:eastAsia="宋体" w:cs="宋体"/>
                <w:b w:val="0"/>
                <w:color w:val="000000"/>
                <w:sz w:val="18"/>
              </w:rPr>
              <w:t>按文档权限检索质量安全环保制度并引用条款；排放、超标、处置及违章记录问答；已有违章事件订阅；隐患图片辅助识别并回传预填字段，人工判定且识别后不留图。详见5.3.5.1。</w:t>
            </w:r>
          </w:p>
        </w:tc>
        <w:tc>
          <w:tcPr>
            <w:tcW w:w="1521" w:type="dxa"/>
            <w:shd w:val="clear" w:color="auto" w:fill="FFFFFF"/>
            <w:vAlign w:val="center"/>
          </w:tcPr>
          <w:p w14:paraId="720002BD">
            <w:pPr>
              <w:spacing w:before="0" w:after="0" w:line="240" w:lineRule="auto"/>
              <w:ind w:left="0" w:right="0" w:firstLine="0"/>
              <w:jc w:val="left"/>
            </w:pPr>
            <w:r>
              <w:rPr>
                <w:rFonts w:ascii="宋体" w:hAnsi="宋体" w:eastAsia="宋体" w:cs="宋体"/>
                <w:b w:val="0"/>
                <w:color w:val="000000"/>
                <w:sz w:val="18"/>
              </w:rPr>
              <w:t>业主制度规程及分级标签；AI数据治理提供的排放、处置与智能视频事件记录；安全管理系统图片请求、受控隐患类型及位置区域编码</w:t>
            </w:r>
          </w:p>
        </w:tc>
        <w:tc>
          <w:tcPr>
            <w:tcW w:w="1020" w:type="dxa"/>
            <w:shd w:val="clear" w:color="auto" w:fill="FFFFFF"/>
            <w:vAlign w:val="center"/>
          </w:tcPr>
          <w:p w14:paraId="720002BE">
            <w:pPr>
              <w:spacing w:before="0" w:after="0" w:line="240" w:lineRule="auto"/>
              <w:ind w:left="0" w:right="0" w:firstLine="0"/>
              <w:jc w:val="left"/>
            </w:pPr>
            <w:r>
              <w:rPr>
                <w:rFonts w:ascii="宋体" w:hAnsi="宋体" w:eastAsia="宋体" w:cs="宋体"/>
                <w:b w:val="0"/>
                <w:color w:val="000000"/>
                <w:sz w:val="18"/>
              </w:rPr>
              <w:t>带原文出处的问答、业务记录与授权事件通知；调用系统的隐患预填字段；知识缺口转知识工作台</w:t>
            </w:r>
          </w:p>
        </w:tc>
        <w:tc>
          <w:tcPr>
            <w:tcW w:w="1102" w:type="dxa"/>
            <w:shd w:val="clear" w:color="auto" w:fill="FFFFFF"/>
            <w:vAlign w:val="center"/>
          </w:tcPr>
          <w:p w14:paraId="720002BF">
            <w:pPr>
              <w:spacing w:before="0" w:after="0" w:line="240" w:lineRule="auto"/>
              <w:ind w:left="0" w:right="0" w:firstLine="0"/>
              <w:jc w:val="left"/>
            </w:pPr>
            <w:r>
              <w:rPr>
                <w:rFonts w:ascii="宋体" w:hAnsi="宋体" w:eastAsia="宋体" w:cs="宋体"/>
                <w:b w:val="0"/>
                <w:color w:val="000000"/>
                <w:sz w:val="18"/>
              </w:rPr>
              <w:t>安全管理员、质量工程师、一线人员</w:t>
            </w:r>
          </w:p>
        </w:tc>
      </w:tr>
      <w:tr w14:paraId="720002C0">
        <w:trPr>
          <w:cantSplit/>
          <w:jc w:val="center"/>
        </w:trPr>
        <w:tc>
          <w:tcPr>
            <w:tcW w:w="760" w:type="dxa"/>
            <w:vMerge w:val="restart"/>
            <w:shd w:val="clear" w:color="auto" w:fill="FFFFFF"/>
            <w:vAlign w:val="center"/>
          </w:tcPr>
          <w:p w14:paraId="720002C1">
            <w:pPr>
              <w:spacing w:before="0" w:after="0" w:line="240" w:lineRule="auto"/>
              <w:ind w:left="0" w:right="0" w:firstLine="0"/>
              <w:jc w:val="left"/>
            </w:pPr>
            <w:r>
              <w:rPr>
                <w:rFonts w:ascii="宋体" w:hAnsi="宋体" w:eastAsia="宋体" w:cs="宋体"/>
                <w:b w:val="0"/>
                <w:color w:val="000000"/>
                <w:sz w:val="18"/>
              </w:rPr>
              <w:t>智能体基座</w:t>
            </w:r>
          </w:p>
        </w:tc>
        <w:tc>
          <w:tcPr>
            <w:tcW w:w="1120" w:type="dxa"/>
            <w:shd w:val="clear" w:color="auto" w:fill="FFFFFF"/>
            <w:vAlign w:val="center"/>
          </w:tcPr>
          <w:p w14:paraId="720002C2">
            <w:pPr>
              <w:spacing w:before="0" w:after="0" w:line="240" w:lineRule="auto"/>
              <w:ind w:left="0" w:right="0" w:firstLine="0"/>
              <w:jc w:val="left"/>
            </w:pPr>
            <w:r>
              <w:rPr>
                <w:rFonts w:ascii="宋体" w:hAnsi="宋体" w:eastAsia="宋体" w:cs="宋体"/>
                <w:b w:val="0"/>
                <w:color w:val="000000"/>
                <w:sz w:val="18"/>
              </w:rPr>
              <w:t>主智能体</w:t>
            </w:r>
          </w:p>
        </w:tc>
        <w:tc>
          <w:tcPr>
            <w:tcW w:w="1430" w:type="dxa"/>
            <w:shd w:val="clear" w:color="auto" w:fill="FFFFFF"/>
            <w:vAlign w:val="center"/>
          </w:tcPr>
          <w:p w14:paraId="720002C3">
            <w:pPr>
              <w:spacing w:before="0" w:after="0" w:line="240" w:lineRule="auto"/>
              <w:ind w:left="0" w:right="0" w:firstLine="0"/>
              <w:jc w:val="left"/>
            </w:pPr>
            <w:r>
              <w:rPr>
                <w:rFonts w:ascii="宋体" w:hAnsi="宋体" w:eastAsia="宋体" w:cs="宋体"/>
                <w:b w:val="0"/>
                <w:color w:val="000000"/>
                <w:sz w:val="18"/>
              </w:rPr>
              <w:t>P-ZLTC-AI-ZZNT-042</w:t>
            </w:r>
          </w:p>
        </w:tc>
        <w:tc>
          <w:tcPr>
            <w:tcW w:w="2119" w:type="dxa"/>
            <w:shd w:val="clear" w:color="auto" w:fill="FFFFFF"/>
            <w:vAlign w:val="center"/>
          </w:tcPr>
          <w:p w14:paraId="720002C4">
            <w:pPr>
              <w:spacing w:before="0" w:after="0" w:line="240" w:lineRule="auto"/>
              <w:ind w:left="0" w:right="0" w:firstLine="0"/>
              <w:jc w:val="left"/>
            </w:pPr>
            <w:r>
              <w:rPr>
                <w:rFonts w:ascii="宋体" w:hAnsi="宋体" w:eastAsia="宋体" w:cs="宋体"/>
                <w:b w:val="0"/>
                <w:color w:val="000000"/>
                <w:sz w:val="18"/>
              </w:rPr>
              <w:t>实体预链接；意图识别与能力匹配；任务规划与分派；分派执行；审查汇总与降级表达。详见5.4.1。</w:t>
            </w:r>
          </w:p>
        </w:tc>
        <w:tc>
          <w:tcPr>
            <w:tcW w:w="1521" w:type="dxa"/>
            <w:shd w:val="clear" w:color="auto" w:fill="FFFFFF"/>
            <w:vAlign w:val="center"/>
          </w:tcPr>
          <w:p w14:paraId="720002C5">
            <w:pPr>
              <w:spacing w:before="0" w:after="0" w:line="240" w:lineRule="auto"/>
              <w:ind w:left="0" w:right="0" w:firstLine="0"/>
              <w:jc w:val="left"/>
            </w:pPr>
            <w:r>
              <w:rPr>
                <w:rFonts w:ascii="宋体" w:hAnsi="宋体" w:eastAsia="宋体" w:cs="宋体"/>
                <w:b w:val="0"/>
                <w:color w:val="000000"/>
                <w:sz w:val="18"/>
              </w:rPr>
              <w:t>用户问题、能力登记卡、消歧服务结果</w:t>
            </w:r>
          </w:p>
        </w:tc>
        <w:tc>
          <w:tcPr>
            <w:tcW w:w="1020" w:type="dxa"/>
            <w:shd w:val="clear" w:color="auto" w:fill="FFFFFF"/>
            <w:vAlign w:val="center"/>
          </w:tcPr>
          <w:p w14:paraId="720002C6">
            <w:pPr>
              <w:spacing w:before="0" w:after="0" w:line="240" w:lineRule="auto"/>
              <w:ind w:left="0" w:right="0" w:firstLine="0"/>
              <w:jc w:val="left"/>
            </w:pPr>
            <w:r>
              <w:rPr>
                <w:rFonts w:ascii="宋体" w:hAnsi="宋体" w:eastAsia="宋体" w:cs="宋体"/>
                <w:b w:val="0"/>
                <w:color w:val="000000"/>
                <w:sz w:val="18"/>
              </w:rPr>
              <w:t>场景子智能体、平台门户</w:t>
            </w:r>
          </w:p>
        </w:tc>
        <w:tc>
          <w:tcPr>
            <w:tcW w:w="1102" w:type="dxa"/>
            <w:shd w:val="clear" w:color="auto" w:fill="FFFFFF"/>
            <w:vAlign w:val="center"/>
          </w:tcPr>
          <w:p w14:paraId="720002C7">
            <w:pPr>
              <w:spacing w:before="0" w:after="0" w:line="240" w:lineRule="auto"/>
              <w:ind w:left="0" w:right="0" w:firstLine="0"/>
              <w:jc w:val="left"/>
            </w:pPr>
            <w:r>
              <w:rPr>
                <w:rFonts w:ascii="宋体" w:hAnsi="宋体" w:eastAsia="宋体" w:cs="宋体"/>
                <w:b w:val="0"/>
                <w:color w:val="000000"/>
                <w:sz w:val="18"/>
              </w:rPr>
              <w:t>全部业务用户（间接）</w:t>
            </w:r>
          </w:p>
        </w:tc>
      </w:tr>
      <w:tr w14:paraId="720002C8">
        <w:trPr>
          <w:cantSplit/>
          <w:jc w:val="center"/>
        </w:trPr>
        <w:tc>
          <w:tcPr>
            <w:tcW w:w="760" w:type="dxa"/>
            <w:vMerge w:val="continue"/>
            <w:shd w:val="clear" w:color="auto" w:fill="FFFFFF"/>
            <w:vAlign w:val="center"/>
          </w:tcPr>
          <w:p w14:paraId="720002C9">
            <w:pPr>
              <w:spacing w:before="0" w:after="0" w:line="240" w:lineRule="auto"/>
              <w:ind w:left="0" w:right="0" w:firstLine="0"/>
              <w:jc w:val="left"/>
            </w:pPr>
          </w:p>
        </w:tc>
        <w:tc>
          <w:tcPr>
            <w:tcW w:w="1120" w:type="dxa"/>
            <w:shd w:val="clear" w:color="auto" w:fill="FFFFFF"/>
            <w:vAlign w:val="center"/>
          </w:tcPr>
          <w:p w14:paraId="720002CA">
            <w:pPr>
              <w:spacing w:before="0" w:after="0" w:line="240" w:lineRule="auto"/>
              <w:ind w:left="0" w:right="0" w:firstLine="0"/>
              <w:jc w:val="left"/>
            </w:pPr>
            <w:r>
              <w:rPr>
                <w:rFonts w:ascii="宋体" w:hAnsi="宋体" w:eastAsia="宋体" w:cs="宋体"/>
                <w:b w:val="0"/>
                <w:color w:val="000000"/>
                <w:sz w:val="18"/>
              </w:rPr>
              <w:t>工具运行框架</w:t>
            </w:r>
          </w:p>
        </w:tc>
        <w:tc>
          <w:tcPr>
            <w:tcW w:w="1430" w:type="dxa"/>
            <w:shd w:val="clear" w:color="auto" w:fill="FFFFFF"/>
            <w:vAlign w:val="center"/>
          </w:tcPr>
          <w:p w14:paraId="720002CB">
            <w:pPr>
              <w:spacing w:before="0" w:after="0" w:line="240" w:lineRule="auto"/>
              <w:ind w:left="0" w:right="0" w:firstLine="0"/>
              <w:jc w:val="left"/>
            </w:pPr>
            <w:r>
              <w:rPr>
                <w:rFonts w:ascii="宋体" w:hAnsi="宋体" w:eastAsia="宋体" w:cs="宋体"/>
                <w:b w:val="0"/>
                <w:color w:val="000000"/>
                <w:sz w:val="18"/>
              </w:rPr>
              <w:t>P-ZLTC-AI-GJYXKJ-043</w:t>
            </w:r>
          </w:p>
        </w:tc>
        <w:tc>
          <w:tcPr>
            <w:tcW w:w="2119" w:type="dxa"/>
            <w:shd w:val="clear" w:color="auto" w:fill="FFFFFF"/>
            <w:vAlign w:val="center"/>
          </w:tcPr>
          <w:p w14:paraId="720002CC">
            <w:pPr>
              <w:spacing w:before="0" w:after="0" w:line="240" w:lineRule="auto"/>
              <w:ind w:left="0" w:right="0" w:firstLine="0"/>
              <w:jc w:val="left"/>
            </w:pPr>
            <w:r>
              <w:rPr>
                <w:rFonts w:ascii="宋体" w:hAnsi="宋体" w:eastAsia="宋体" w:cs="宋体"/>
                <w:b w:val="0"/>
                <w:color w:val="000000"/>
                <w:sz w:val="18"/>
              </w:rPr>
              <w:t>查询模板执行；数据返回状态解释；查询对应判定标准与参数归一；未知取值防御；必需与可选证据分层处理；取证编排；内部场景能力和外部服务调用适配。详见5.4.2.1。</w:t>
            </w:r>
          </w:p>
        </w:tc>
        <w:tc>
          <w:tcPr>
            <w:tcW w:w="1521" w:type="dxa"/>
            <w:shd w:val="clear" w:color="auto" w:fill="FFFFFF"/>
            <w:vAlign w:val="center"/>
          </w:tcPr>
          <w:p w14:paraId="720002CD">
            <w:pPr>
              <w:spacing w:before="0" w:after="0" w:line="240" w:lineRule="auto"/>
              <w:ind w:left="0" w:right="0" w:firstLine="0"/>
              <w:jc w:val="left"/>
            </w:pPr>
            <w:r>
              <w:rPr>
                <w:rFonts w:ascii="宋体" w:hAnsi="宋体" w:eastAsia="宋体" w:cs="宋体"/>
                <w:b w:val="0"/>
                <w:color w:val="000000"/>
                <w:sz w:val="18"/>
              </w:rPr>
              <w:t>查询模板、AI数据治理服务、平台业务授权与统一数据服务层校验结果；内部场景能力及已接入外部服务</w:t>
            </w:r>
          </w:p>
        </w:tc>
        <w:tc>
          <w:tcPr>
            <w:tcW w:w="1020" w:type="dxa"/>
            <w:shd w:val="clear" w:color="auto" w:fill="FFFFFF"/>
            <w:vAlign w:val="center"/>
          </w:tcPr>
          <w:p w14:paraId="720002CE">
            <w:pPr>
              <w:spacing w:before="0" w:after="0" w:line="240" w:lineRule="auto"/>
              <w:ind w:left="0" w:right="0" w:firstLine="0"/>
              <w:jc w:val="left"/>
            </w:pPr>
            <w:r>
              <w:rPr>
                <w:rFonts w:ascii="宋体" w:hAnsi="宋体" w:eastAsia="宋体" w:cs="宋体"/>
                <w:b w:val="0"/>
                <w:color w:val="000000"/>
                <w:sz w:val="18"/>
              </w:rPr>
              <w:t>场景子智能体、执行链路记录</w:t>
            </w:r>
          </w:p>
        </w:tc>
        <w:tc>
          <w:tcPr>
            <w:tcW w:w="1102" w:type="dxa"/>
            <w:shd w:val="clear" w:color="auto" w:fill="FFFFFF"/>
            <w:vAlign w:val="center"/>
          </w:tcPr>
          <w:p w14:paraId="720002CF">
            <w:pPr>
              <w:spacing w:before="0" w:after="0" w:line="240" w:lineRule="auto"/>
              <w:ind w:left="0" w:right="0" w:firstLine="0"/>
              <w:jc w:val="left"/>
            </w:pPr>
            <w:r>
              <w:rPr>
                <w:rFonts w:ascii="宋体" w:hAnsi="宋体" w:eastAsia="宋体" w:cs="宋体"/>
                <w:b w:val="0"/>
                <w:color w:val="000000"/>
                <w:sz w:val="18"/>
              </w:rPr>
              <w:t>平台运营（配置）</w:t>
            </w:r>
          </w:p>
        </w:tc>
      </w:tr>
      <w:tr w14:paraId="720002D0">
        <w:trPr>
          <w:cantSplit/>
          <w:jc w:val="center"/>
        </w:trPr>
        <w:tc>
          <w:tcPr>
            <w:tcW w:w="760" w:type="dxa"/>
            <w:vMerge w:val="continue"/>
            <w:shd w:val="clear" w:color="auto" w:fill="FFFFFF"/>
            <w:vAlign w:val="center"/>
          </w:tcPr>
          <w:p w14:paraId="720002D1">
            <w:pPr>
              <w:spacing w:before="0" w:after="0" w:line="240" w:lineRule="auto"/>
              <w:ind w:left="0" w:right="0" w:firstLine="0"/>
              <w:jc w:val="left"/>
            </w:pPr>
          </w:p>
        </w:tc>
        <w:tc>
          <w:tcPr>
            <w:tcW w:w="1120" w:type="dxa"/>
            <w:shd w:val="clear" w:color="auto" w:fill="FFFFFF"/>
            <w:vAlign w:val="center"/>
          </w:tcPr>
          <w:p w14:paraId="720002D2">
            <w:pPr>
              <w:spacing w:before="0" w:after="0" w:line="240" w:lineRule="auto"/>
              <w:ind w:left="0" w:right="0" w:firstLine="0"/>
              <w:jc w:val="left"/>
            </w:pPr>
            <w:r>
              <w:rPr>
                <w:rFonts w:ascii="宋体" w:hAnsi="宋体" w:eastAsia="宋体" w:cs="宋体"/>
                <w:b w:val="0"/>
                <w:color w:val="000000"/>
                <w:sz w:val="18"/>
              </w:rPr>
              <w:t>实体消歧服务</w:t>
            </w:r>
          </w:p>
        </w:tc>
        <w:tc>
          <w:tcPr>
            <w:tcW w:w="1430" w:type="dxa"/>
            <w:shd w:val="clear" w:color="auto" w:fill="FFFFFF"/>
            <w:vAlign w:val="center"/>
          </w:tcPr>
          <w:p w14:paraId="720002D3">
            <w:pPr>
              <w:spacing w:before="0" w:after="0" w:line="240" w:lineRule="auto"/>
              <w:ind w:left="0" w:right="0" w:firstLine="0"/>
              <w:jc w:val="left"/>
            </w:pPr>
            <w:r>
              <w:rPr>
                <w:rFonts w:ascii="宋体" w:hAnsi="宋体" w:eastAsia="宋体" w:cs="宋体"/>
                <w:b w:val="0"/>
                <w:color w:val="000000"/>
                <w:sz w:val="18"/>
              </w:rPr>
              <w:t>P-ZLTC-AI-STXQFW-044</w:t>
            </w:r>
          </w:p>
        </w:tc>
        <w:tc>
          <w:tcPr>
            <w:tcW w:w="2119" w:type="dxa"/>
            <w:shd w:val="clear" w:color="auto" w:fill="FFFFFF"/>
            <w:vAlign w:val="center"/>
          </w:tcPr>
          <w:p w14:paraId="720002D4">
            <w:pPr>
              <w:spacing w:before="0" w:after="0" w:line="240" w:lineRule="auto"/>
              <w:ind w:left="0" w:right="0" w:firstLine="0"/>
              <w:jc w:val="left"/>
            </w:pPr>
            <w:r>
              <w:rPr>
                <w:rFonts w:ascii="宋体" w:hAnsi="宋体" w:eastAsia="宋体" w:cs="宋体"/>
                <w:b w:val="0"/>
                <w:color w:val="000000"/>
                <w:sz w:val="18"/>
              </w:rPr>
              <w:t>现场别名词库初始建设；精确、别名与语义匹配三路召回；歧义时反问确认；消歧失败案例形成别名建议，经审核后持续补充词库。详见5.4.2.2。</w:t>
            </w:r>
          </w:p>
        </w:tc>
        <w:tc>
          <w:tcPr>
            <w:tcW w:w="1521" w:type="dxa"/>
            <w:shd w:val="clear" w:color="auto" w:fill="FFFFFF"/>
            <w:vAlign w:val="center"/>
          </w:tcPr>
          <w:p w14:paraId="720002D5">
            <w:pPr>
              <w:spacing w:before="0" w:after="0" w:line="240" w:lineRule="auto"/>
              <w:ind w:left="0" w:right="0" w:firstLine="0"/>
              <w:jc w:val="left"/>
            </w:pPr>
            <w:r>
              <w:rPr>
                <w:rFonts w:ascii="宋体" w:hAnsi="宋体" w:eastAsia="宋体" w:cs="宋体"/>
                <w:b w:val="0"/>
                <w:color w:val="000000"/>
                <w:sz w:val="18"/>
              </w:rPr>
              <w:t>AI数据治理提供的主数据实例与标准编码映射；现场调研采集的俗称、简称及别名词库</w:t>
            </w:r>
          </w:p>
        </w:tc>
        <w:tc>
          <w:tcPr>
            <w:tcW w:w="1020" w:type="dxa"/>
            <w:shd w:val="clear" w:color="auto" w:fill="FFFFFF"/>
            <w:vAlign w:val="center"/>
          </w:tcPr>
          <w:p w14:paraId="720002D6">
            <w:pPr>
              <w:spacing w:before="0" w:after="0" w:line="240" w:lineRule="auto"/>
              <w:ind w:left="0" w:right="0" w:firstLine="0"/>
              <w:jc w:val="left"/>
            </w:pPr>
            <w:r>
              <w:rPr>
                <w:rFonts w:ascii="宋体" w:hAnsi="宋体" w:eastAsia="宋体" w:cs="宋体"/>
                <w:b w:val="0"/>
                <w:color w:val="000000"/>
                <w:sz w:val="18"/>
              </w:rPr>
              <w:t>主智能体、场景子智能体、别名建议清单</w:t>
            </w:r>
          </w:p>
        </w:tc>
        <w:tc>
          <w:tcPr>
            <w:tcW w:w="1102" w:type="dxa"/>
            <w:shd w:val="clear" w:color="auto" w:fill="FFFFFF"/>
            <w:vAlign w:val="center"/>
          </w:tcPr>
          <w:p w14:paraId="720002D7">
            <w:pPr>
              <w:spacing w:before="0" w:after="0" w:line="240" w:lineRule="auto"/>
              <w:ind w:left="0" w:right="0" w:firstLine="0"/>
              <w:jc w:val="left"/>
            </w:pPr>
            <w:r>
              <w:rPr>
                <w:rFonts w:ascii="宋体" w:hAnsi="宋体" w:eastAsia="宋体" w:cs="宋体"/>
                <w:b w:val="0"/>
                <w:color w:val="000000"/>
                <w:sz w:val="18"/>
              </w:rPr>
              <w:t>全部业务用户（间接）</w:t>
            </w:r>
          </w:p>
        </w:tc>
      </w:tr>
      <w:tr w14:paraId="720002D8">
        <w:trPr>
          <w:cantSplit/>
          <w:jc w:val="center"/>
        </w:trPr>
        <w:tc>
          <w:tcPr>
            <w:tcW w:w="760" w:type="dxa"/>
            <w:vMerge w:val="continue"/>
            <w:shd w:val="clear" w:color="auto" w:fill="FFFFFF"/>
            <w:vAlign w:val="center"/>
          </w:tcPr>
          <w:p w14:paraId="720002D9">
            <w:pPr>
              <w:spacing w:before="0" w:after="0" w:line="240" w:lineRule="auto"/>
              <w:ind w:left="0" w:right="0" w:firstLine="0"/>
              <w:jc w:val="left"/>
            </w:pPr>
          </w:p>
        </w:tc>
        <w:tc>
          <w:tcPr>
            <w:tcW w:w="1120" w:type="dxa"/>
            <w:shd w:val="clear" w:color="auto" w:fill="FFFFFF"/>
            <w:vAlign w:val="center"/>
          </w:tcPr>
          <w:p w14:paraId="720002DA">
            <w:pPr>
              <w:spacing w:before="0" w:after="0" w:line="240" w:lineRule="auto"/>
              <w:ind w:left="0" w:right="0" w:firstLine="0"/>
              <w:jc w:val="left"/>
            </w:pPr>
            <w:r>
              <w:rPr>
                <w:rFonts w:ascii="宋体" w:hAnsi="宋体" w:eastAsia="宋体" w:cs="宋体"/>
                <w:b w:val="0"/>
                <w:color w:val="000000"/>
                <w:sz w:val="18"/>
              </w:rPr>
              <w:t>统计特征计算</w:t>
            </w:r>
          </w:p>
        </w:tc>
        <w:tc>
          <w:tcPr>
            <w:tcW w:w="1430" w:type="dxa"/>
            <w:shd w:val="clear" w:color="auto" w:fill="FFFFFF"/>
            <w:vAlign w:val="center"/>
          </w:tcPr>
          <w:p w14:paraId="720002DB">
            <w:pPr>
              <w:spacing w:before="0" w:after="0" w:line="240" w:lineRule="auto"/>
              <w:ind w:left="0" w:right="0" w:firstLine="0"/>
              <w:jc w:val="left"/>
            </w:pPr>
            <w:r>
              <w:rPr>
                <w:rFonts w:ascii="宋体" w:hAnsi="宋体" w:eastAsia="宋体" w:cs="宋体"/>
                <w:b w:val="0"/>
                <w:color w:val="000000"/>
                <w:sz w:val="18"/>
              </w:rPr>
              <w:t>P-ZLTC-AI-TJTZJS-045</w:t>
            </w:r>
          </w:p>
        </w:tc>
        <w:tc>
          <w:tcPr>
            <w:tcW w:w="2119" w:type="dxa"/>
            <w:shd w:val="clear" w:color="auto" w:fill="FFFFFF"/>
            <w:vAlign w:val="center"/>
          </w:tcPr>
          <w:p w14:paraId="720002DC">
            <w:pPr>
              <w:spacing w:before="0" w:after="0" w:line="240" w:lineRule="auto"/>
              <w:ind w:left="0" w:right="0" w:firstLine="0"/>
              <w:jc w:val="left"/>
            </w:pPr>
            <w:r>
              <w:rPr>
                <w:rFonts w:ascii="宋体" w:hAnsi="宋体" w:eastAsia="宋体" w:cs="宋体"/>
                <w:b w:val="0"/>
                <w:color w:val="000000"/>
                <w:sz w:val="18"/>
              </w:rPr>
              <w:t>变点识别；趋势斜率计算；阶跃识别等时序特征计算。详见5.4.2.3。</w:t>
            </w:r>
          </w:p>
        </w:tc>
        <w:tc>
          <w:tcPr>
            <w:tcW w:w="1521" w:type="dxa"/>
            <w:shd w:val="clear" w:color="auto" w:fill="FFFFFF"/>
            <w:vAlign w:val="center"/>
          </w:tcPr>
          <w:p w14:paraId="720002DD">
            <w:pPr>
              <w:spacing w:before="0" w:after="0" w:line="240" w:lineRule="auto"/>
              <w:ind w:left="0" w:right="0" w:firstLine="0"/>
              <w:jc w:val="left"/>
            </w:pPr>
            <w:r>
              <w:rPr>
                <w:rFonts w:ascii="宋体" w:hAnsi="宋体" w:eastAsia="宋体" w:cs="宋体"/>
                <w:b w:val="0"/>
                <w:color w:val="000000"/>
                <w:sz w:val="18"/>
              </w:rPr>
              <w:t>经AI数据治理服务取回的时序数据</w:t>
            </w:r>
          </w:p>
        </w:tc>
        <w:tc>
          <w:tcPr>
            <w:tcW w:w="1020" w:type="dxa"/>
            <w:shd w:val="clear" w:color="auto" w:fill="FFFFFF"/>
            <w:vAlign w:val="center"/>
          </w:tcPr>
          <w:p w14:paraId="720002DE">
            <w:pPr>
              <w:spacing w:before="0" w:after="0" w:line="240" w:lineRule="auto"/>
              <w:ind w:left="0" w:right="0" w:firstLine="0"/>
              <w:jc w:val="left"/>
            </w:pPr>
            <w:r>
              <w:rPr>
                <w:rFonts w:ascii="宋体" w:hAnsi="宋体" w:eastAsia="宋体" w:cs="宋体"/>
                <w:b w:val="0"/>
                <w:color w:val="000000"/>
                <w:sz w:val="18"/>
              </w:rPr>
              <w:t>场景子智能体的研判输入</w:t>
            </w:r>
          </w:p>
        </w:tc>
        <w:tc>
          <w:tcPr>
            <w:tcW w:w="1102" w:type="dxa"/>
            <w:shd w:val="clear" w:color="auto" w:fill="FFFFFF"/>
            <w:vAlign w:val="center"/>
          </w:tcPr>
          <w:p w14:paraId="720002DF">
            <w:pPr>
              <w:spacing w:before="0" w:after="0" w:line="240" w:lineRule="auto"/>
              <w:ind w:left="0" w:right="0" w:firstLine="0"/>
              <w:jc w:val="left"/>
            </w:pPr>
            <w:r>
              <w:rPr>
                <w:rFonts w:ascii="宋体" w:hAnsi="宋体" w:eastAsia="宋体" w:cs="宋体"/>
                <w:b w:val="0"/>
                <w:color w:val="000000"/>
                <w:sz w:val="18"/>
              </w:rPr>
              <w:t>全部业务用户（间接）</w:t>
            </w:r>
          </w:p>
        </w:tc>
      </w:tr>
      <w:tr w14:paraId="720002E0">
        <w:trPr>
          <w:cantSplit/>
          <w:jc w:val="center"/>
        </w:trPr>
        <w:tc>
          <w:tcPr>
            <w:tcW w:w="760" w:type="dxa"/>
            <w:vMerge w:val="continue"/>
            <w:shd w:val="clear" w:color="auto" w:fill="FFFFFF"/>
            <w:vAlign w:val="center"/>
          </w:tcPr>
          <w:p w14:paraId="720002E1">
            <w:pPr>
              <w:spacing w:before="0" w:after="0" w:line="240" w:lineRule="auto"/>
              <w:ind w:left="0" w:right="0" w:firstLine="0"/>
              <w:jc w:val="left"/>
            </w:pPr>
          </w:p>
        </w:tc>
        <w:tc>
          <w:tcPr>
            <w:tcW w:w="1120" w:type="dxa"/>
            <w:shd w:val="clear" w:color="auto" w:fill="FFFFFF"/>
            <w:vAlign w:val="center"/>
          </w:tcPr>
          <w:p w14:paraId="720002E2">
            <w:pPr>
              <w:spacing w:before="0" w:after="0" w:line="240" w:lineRule="auto"/>
              <w:ind w:left="0" w:right="0" w:firstLine="0"/>
              <w:jc w:val="left"/>
            </w:pPr>
            <w:r>
              <w:rPr>
                <w:rFonts w:ascii="宋体" w:hAnsi="宋体" w:eastAsia="宋体" w:cs="宋体"/>
                <w:b w:val="0"/>
                <w:color w:val="000000"/>
                <w:sz w:val="18"/>
              </w:rPr>
              <w:t>大模型接入网关</w:t>
            </w:r>
          </w:p>
        </w:tc>
        <w:tc>
          <w:tcPr>
            <w:tcW w:w="1430" w:type="dxa"/>
            <w:shd w:val="clear" w:color="auto" w:fill="FFFFFF"/>
            <w:vAlign w:val="center"/>
          </w:tcPr>
          <w:p w14:paraId="720002E3">
            <w:pPr>
              <w:spacing w:before="0" w:after="0" w:line="240" w:lineRule="auto"/>
              <w:ind w:left="0" w:right="0" w:firstLine="0"/>
              <w:jc w:val="left"/>
            </w:pPr>
            <w:r>
              <w:rPr>
                <w:rFonts w:ascii="宋体" w:hAnsi="宋体" w:eastAsia="宋体" w:cs="宋体"/>
                <w:b w:val="0"/>
                <w:color w:val="000000"/>
                <w:sz w:val="18"/>
              </w:rPr>
              <w:t>P-ZLTC-AI-DMXJRWG-046</w:t>
            </w:r>
          </w:p>
        </w:tc>
        <w:tc>
          <w:tcPr>
            <w:tcW w:w="2119" w:type="dxa"/>
            <w:shd w:val="clear" w:color="auto" w:fill="FFFFFF"/>
            <w:vAlign w:val="center"/>
          </w:tcPr>
          <w:p w14:paraId="720002E4">
            <w:pPr>
              <w:spacing w:before="0" w:after="0" w:line="240" w:lineRule="auto"/>
              <w:ind w:left="0" w:right="0" w:firstLine="0"/>
              <w:jc w:val="left"/>
            </w:pPr>
            <w:r>
              <w:rPr>
                <w:rFonts w:ascii="宋体" w:hAnsi="宋体" w:eastAsia="宋体" w:cs="宋体"/>
                <w:b w:val="0"/>
                <w:color w:val="000000"/>
                <w:sz w:val="18"/>
              </w:rPr>
              <w:t>本地模型部署、适配与性能调优；模型服务接入与路由、降级、配额计量；版本管理与平滑切换；运行监控与超阈值告警；外部模型服务登记接入。详见5.4.2.4。</w:t>
            </w:r>
          </w:p>
        </w:tc>
        <w:tc>
          <w:tcPr>
            <w:tcW w:w="1521" w:type="dxa"/>
            <w:shd w:val="clear" w:color="auto" w:fill="FFFFFF"/>
            <w:vAlign w:val="center"/>
          </w:tcPr>
          <w:p w14:paraId="720002E5">
            <w:pPr>
              <w:spacing w:before="0" w:after="0" w:line="240" w:lineRule="auto"/>
              <w:ind w:left="0" w:right="0" w:firstLine="0"/>
              <w:jc w:val="left"/>
            </w:pPr>
            <w:r>
              <w:rPr>
                <w:rFonts w:ascii="宋体" w:hAnsi="宋体" w:eastAsia="宋体" w:cs="宋体"/>
                <w:b w:val="0"/>
                <w:color w:val="000000"/>
                <w:sz w:val="18"/>
              </w:rPr>
              <w:t>本地化模型与算力环境；已确认的模型清单、版本及登记的模型服务</w:t>
            </w:r>
          </w:p>
        </w:tc>
        <w:tc>
          <w:tcPr>
            <w:tcW w:w="1020" w:type="dxa"/>
            <w:shd w:val="clear" w:color="auto" w:fill="FFFFFF"/>
            <w:vAlign w:val="center"/>
          </w:tcPr>
          <w:p w14:paraId="720002E6">
            <w:pPr>
              <w:spacing w:before="0" w:after="0" w:line="240" w:lineRule="auto"/>
              <w:ind w:left="0" w:right="0" w:firstLine="0"/>
              <w:jc w:val="left"/>
            </w:pPr>
            <w:r>
              <w:rPr>
                <w:rFonts w:ascii="宋体" w:hAnsi="宋体" w:eastAsia="宋体" w:cs="宋体"/>
                <w:b w:val="0"/>
                <w:color w:val="000000"/>
                <w:sz w:val="18"/>
              </w:rPr>
              <w:t>主智能体、场景子智能体、运维后台</w:t>
            </w:r>
          </w:p>
        </w:tc>
        <w:tc>
          <w:tcPr>
            <w:tcW w:w="1102" w:type="dxa"/>
            <w:shd w:val="clear" w:color="auto" w:fill="FFFFFF"/>
            <w:vAlign w:val="center"/>
          </w:tcPr>
          <w:p w14:paraId="720002E7">
            <w:pPr>
              <w:spacing w:before="0" w:after="0" w:line="240" w:lineRule="auto"/>
              <w:ind w:left="0" w:right="0" w:firstLine="0"/>
              <w:jc w:val="left"/>
            </w:pPr>
            <w:r>
              <w:rPr>
                <w:rFonts w:ascii="宋体" w:hAnsi="宋体" w:eastAsia="宋体" w:cs="宋体"/>
                <w:b w:val="0"/>
                <w:color w:val="000000"/>
                <w:sz w:val="18"/>
              </w:rPr>
              <w:t>平台管理员、运维人员</w:t>
            </w:r>
          </w:p>
        </w:tc>
      </w:tr>
      <w:tr w14:paraId="720002E8">
        <w:trPr>
          <w:cantSplit/>
          <w:jc w:val="center"/>
        </w:trPr>
        <w:tc>
          <w:tcPr>
            <w:tcW w:w="760" w:type="dxa"/>
            <w:vMerge w:val="continue"/>
            <w:shd w:val="clear" w:color="auto" w:fill="FFFFFF"/>
            <w:vAlign w:val="center"/>
          </w:tcPr>
          <w:p w14:paraId="720002E9">
            <w:pPr>
              <w:spacing w:before="0" w:after="0" w:line="240" w:lineRule="auto"/>
              <w:ind w:left="0" w:right="0" w:firstLine="0"/>
              <w:jc w:val="left"/>
            </w:pPr>
          </w:p>
        </w:tc>
        <w:tc>
          <w:tcPr>
            <w:tcW w:w="1120" w:type="dxa"/>
            <w:shd w:val="clear" w:color="auto" w:fill="FFFFFF"/>
            <w:vAlign w:val="center"/>
          </w:tcPr>
          <w:p w14:paraId="720002EA">
            <w:pPr>
              <w:spacing w:before="0" w:after="0" w:line="240" w:lineRule="auto"/>
              <w:ind w:left="0" w:right="0" w:firstLine="0"/>
              <w:jc w:val="left"/>
            </w:pPr>
            <w:r>
              <w:rPr>
                <w:rFonts w:ascii="宋体" w:hAnsi="宋体" w:eastAsia="宋体" w:cs="宋体"/>
                <w:b w:val="0"/>
                <w:color w:val="000000"/>
                <w:sz w:val="18"/>
              </w:rPr>
              <w:t>开放接口与事件接入总线</w:t>
            </w:r>
          </w:p>
        </w:tc>
        <w:tc>
          <w:tcPr>
            <w:tcW w:w="1430" w:type="dxa"/>
            <w:shd w:val="clear" w:color="auto" w:fill="FFFFFF"/>
            <w:vAlign w:val="center"/>
          </w:tcPr>
          <w:p w14:paraId="720002EB">
            <w:pPr>
              <w:spacing w:before="0" w:after="0" w:line="240" w:lineRule="auto"/>
              <w:ind w:left="0" w:right="0" w:firstLine="0"/>
              <w:jc w:val="left"/>
            </w:pPr>
            <w:r>
              <w:rPr>
                <w:rFonts w:ascii="宋体" w:hAnsi="宋体" w:eastAsia="宋体" w:cs="宋体"/>
                <w:b w:val="0"/>
                <w:color w:val="000000"/>
                <w:sz w:val="18"/>
              </w:rPr>
              <w:t>P-ZLTC-AI-KFJKYSJJRZX-047</w:t>
            </w:r>
          </w:p>
        </w:tc>
        <w:tc>
          <w:tcPr>
            <w:tcW w:w="2119" w:type="dxa"/>
            <w:shd w:val="clear" w:color="auto" w:fill="FFFFFF"/>
            <w:vAlign w:val="center"/>
          </w:tcPr>
          <w:p w14:paraId="720002EC">
            <w:pPr>
              <w:spacing w:before="0" w:after="0" w:line="240" w:lineRule="auto"/>
              <w:ind w:left="0" w:right="0" w:firstLine="0"/>
              <w:jc w:val="left"/>
            </w:pPr>
            <w:r>
              <w:rPr>
                <w:rFonts w:ascii="宋体" w:hAnsi="宋体" w:eastAsia="宋体" w:cs="宋体"/>
                <w:b w:val="0"/>
                <w:color w:val="000000"/>
                <w:sz w:val="18"/>
              </w:rPr>
              <w:t>问答、消息推送、图片识别及大屏分析结果接口；鉴权、限流、调用监控与对账；数据订阅规则配置、接收日志留存不少于一年、异常告警及可配置重传；按事件卡接入路由；预留回写扩展接口，业务单据仍由原系统生成流转。详见5.4.2.5。</w:t>
            </w:r>
          </w:p>
        </w:tc>
        <w:tc>
          <w:tcPr>
            <w:tcW w:w="1521" w:type="dxa"/>
            <w:shd w:val="clear" w:color="auto" w:fill="FFFFFF"/>
            <w:vAlign w:val="center"/>
          </w:tcPr>
          <w:p w14:paraId="720002ED">
            <w:pPr>
              <w:spacing w:before="0" w:after="0" w:line="240" w:lineRule="auto"/>
              <w:ind w:left="0" w:right="0" w:firstLine="0"/>
              <w:jc w:val="left"/>
            </w:pPr>
            <w:r>
              <w:rPr>
                <w:rFonts w:ascii="宋体" w:hAnsi="宋体" w:eastAsia="宋体" w:cs="宋体"/>
                <w:b w:val="0"/>
                <w:color w:val="000000"/>
                <w:sz w:val="18"/>
              </w:rPr>
              <w:t>外部系统调用；AI数据治理提供的数据与事件；数据订阅规则、事件登记卡及平台业务授权配置</w:t>
            </w:r>
          </w:p>
        </w:tc>
        <w:tc>
          <w:tcPr>
            <w:tcW w:w="1020" w:type="dxa"/>
            <w:shd w:val="clear" w:color="auto" w:fill="FFFFFF"/>
            <w:vAlign w:val="center"/>
          </w:tcPr>
          <w:p w14:paraId="720002EE">
            <w:pPr>
              <w:spacing w:before="0" w:after="0" w:line="240" w:lineRule="auto"/>
              <w:ind w:left="0" w:right="0" w:firstLine="0"/>
              <w:jc w:val="left"/>
            </w:pPr>
            <w:r>
              <w:rPr>
                <w:rFonts w:ascii="宋体" w:hAnsi="宋体" w:eastAsia="宋体" w:cs="宋体"/>
                <w:b w:val="0"/>
                <w:color w:val="000000"/>
                <w:sz w:val="18"/>
              </w:rPr>
              <w:t>事件订阅推送、外部调用方与大屏系统；接收日志、运维告警</w:t>
            </w:r>
          </w:p>
        </w:tc>
        <w:tc>
          <w:tcPr>
            <w:tcW w:w="1102" w:type="dxa"/>
            <w:shd w:val="clear" w:color="auto" w:fill="FFFFFF"/>
            <w:vAlign w:val="center"/>
          </w:tcPr>
          <w:p w14:paraId="720002EF">
            <w:pPr>
              <w:spacing w:before="0" w:after="0" w:line="240" w:lineRule="auto"/>
              <w:ind w:left="0" w:right="0" w:firstLine="0"/>
              <w:jc w:val="left"/>
            </w:pPr>
            <w:r>
              <w:rPr>
                <w:rFonts w:ascii="宋体" w:hAnsi="宋体" w:eastAsia="宋体" w:cs="宋体"/>
                <w:b w:val="0"/>
                <w:color w:val="000000"/>
                <w:sz w:val="18"/>
              </w:rPr>
              <w:t>平台管理员、外部系统</w:t>
            </w:r>
          </w:p>
        </w:tc>
      </w:tr>
      <w:tr w14:paraId="720002F0">
        <w:trPr>
          <w:cantSplit/>
          <w:jc w:val="center"/>
        </w:trPr>
        <w:tc>
          <w:tcPr>
            <w:tcW w:w="760" w:type="dxa"/>
            <w:vMerge w:val="continue"/>
            <w:shd w:val="clear" w:color="auto" w:fill="FFFFFF"/>
            <w:vAlign w:val="center"/>
          </w:tcPr>
          <w:p w14:paraId="720002F1">
            <w:pPr>
              <w:spacing w:before="0" w:after="0" w:line="240" w:lineRule="auto"/>
              <w:ind w:left="0" w:right="0" w:firstLine="0"/>
              <w:jc w:val="left"/>
            </w:pPr>
          </w:p>
        </w:tc>
        <w:tc>
          <w:tcPr>
            <w:tcW w:w="1120" w:type="dxa"/>
            <w:shd w:val="clear" w:color="auto" w:fill="FFFFFF"/>
            <w:vAlign w:val="center"/>
          </w:tcPr>
          <w:p w14:paraId="720002F2">
            <w:pPr>
              <w:spacing w:before="0" w:after="0" w:line="240" w:lineRule="auto"/>
              <w:ind w:left="0" w:right="0" w:firstLine="0"/>
              <w:jc w:val="left"/>
            </w:pPr>
            <w:r>
              <w:rPr>
                <w:rFonts w:ascii="宋体" w:hAnsi="宋体" w:eastAsia="宋体" w:cs="宋体"/>
                <w:b w:val="0"/>
                <w:color w:val="000000"/>
                <w:sz w:val="18"/>
              </w:rPr>
              <w:t>评估运营中心</w:t>
            </w:r>
          </w:p>
        </w:tc>
        <w:tc>
          <w:tcPr>
            <w:tcW w:w="1430" w:type="dxa"/>
            <w:shd w:val="clear" w:color="auto" w:fill="FFFFFF"/>
            <w:vAlign w:val="center"/>
          </w:tcPr>
          <w:p w14:paraId="720002F3">
            <w:pPr>
              <w:spacing w:before="0" w:after="0" w:line="240" w:lineRule="auto"/>
              <w:ind w:left="0" w:right="0" w:firstLine="0"/>
              <w:jc w:val="left"/>
            </w:pPr>
            <w:r>
              <w:rPr>
                <w:rFonts w:ascii="宋体" w:hAnsi="宋体" w:eastAsia="宋体" w:cs="宋体"/>
                <w:b w:val="0"/>
                <w:color w:val="000000"/>
                <w:sz w:val="18"/>
              </w:rPr>
              <w:t>P-ZLTC-AI-PGYYZX-048</w:t>
            </w:r>
          </w:p>
        </w:tc>
        <w:tc>
          <w:tcPr>
            <w:tcW w:w="2119" w:type="dxa"/>
            <w:shd w:val="clear" w:color="auto" w:fill="FFFFFF"/>
            <w:vAlign w:val="center"/>
          </w:tcPr>
          <w:p w14:paraId="720002F4">
            <w:pPr>
              <w:spacing w:before="0" w:after="0" w:line="240" w:lineRule="auto"/>
              <w:ind w:left="0" w:right="0" w:firstLine="0"/>
              <w:jc w:val="left"/>
            </w:pPr>
            <w:r>
              <w:rPr>
                <w:rFonts w:ascii="宋体" w:hAnsi="宋体" w:eastAsia="宋体" w:cs="宋体"/>
                <w:b w:val="0"/>
                <w:color w:val="000000"/>
                <w:sz w:val="18"/>
              </w:rPr>
              <w:t>评估集管理与验收基线锁定；全链路执行记录与检索；问题工单闭环（归因分类、修复路由、回归验证、沉淀）；平台使用与价值统计；运营报告与移交。详见5.4.2.6。</w:t>
            </w:r>
          </w:p>
        </w:tc>
        <w:tc>
          <w:tcPr>
            <w:tcW w:w="1521" w:type="dxa"/>
            <w:shd w:val="clear" w:color="auto" w:fill="FFFFFF"/>
            <w:vAlign w:val="center"/>
          </w:tcPr>
          <w:p w14:paraId="720002F5">
            <w:pPr>
              <w:spacing w:before="0" w:after="0" w:line="240" w:lineRule="auto"/>
              <w:ind w:left="0" w:right="0" w:firstLine="0"/>
              <w:jc w:val="left"/>
            </w:pPr>
            <w:r>
              <w:rPr>
                <w:rFonts w:ascii="宋体" w:hAnsi="宋体" w:eastAsia="宋体" w:cs="宋体"/>
                <w:b w:val="0"/>
                <w:color w:val="000000"/>
                <w:sz w:val="18"/>
              </w:rPr>
              <w:t>各场景评估集、问答执行记录、用户反馈及平台运行统计</w:t>
            </w:r>
          </w:p>
        </w:tc>
        <w:tc>
          <w:tcPr>
            <w:tcW w:w="1020" w:type="dxa"/>
            <w:shd w:val="clear" w:color="auto" w:fill="FFFFFF"/>
            <w:vAlign w:val="center"/>
          </w:tcPr>
          <w:p w14:paraId="720002F6">
            <w:pPr>
              <w:spacing w:before="0" w:after="0" w:line="240" w:lineRule="auto"/>
              <w:ind w:left="0" w:right="0" w:firstLine="0"/>
              <w:jc w:val="left"/>
            </w:pPr>
            <w:r>
              <w:rPr>
                <w:rFonts w:ascii="宋体" w:hAnsi="宋体" w:eastAsia="宋体" w:cs="宋体"/>
                <w:b w:val="0"/>
                <w:color w:val="000000"/>
                <w:sz w:val="18"/>
              </w:rPr>
              <w:t>回归结论、问题工单、运营报告、使用与价值统计</w:t>
            </w:r>
          </w:p>
        </w:tc>
        <w:tc>
          <w:tcPr>
            <w:tcW w:w="1102" w:type="dxa"/>
            <w:shd w:val="clear" w:color="auto" w:fill="FFFFFF"/>
            <w:vAlign w:val="center"/>
          </w:tcPr>
          <w:p w14:paraId="720002F7">
            <w:pPr>
              <w:spacing w:before="0" w:after="0" w:line="240" w:lineRule="auto"/>
              <w:ind w:left="0" w:right="0" w:firstLine="0"/>
              <w:jc w:val="left"/>
            </w:pPr>
            <w:r>
              <w:rPr>
                <w:rFonts w:ascii="宋体" w:hAnsi="宋体" w:eastAsia="宋体" w:cs="宋体"/>
                <w:b w:val="0"/>
                <w:color w:val="000000"/>
                <w:sz w:val="18"/>
              </w:rPr>
              <w:t>平台运营、管理层</w:t>
            </w:r>
          </w:p>
        </w:tc>
      </w:tr>
      <w:tr w14:paraId="720002F8">
        <w:trPr>
          <w:cantSplit/>
          <w:jc w:val="center"/>
        </w:trPr>
        <w:tc>
          <w:tcPr>
            <w:tcW w:w="760" w:type="dxa"/>
            <w:vMerge w:val="continue"/>
            <w:shd w:val="clear" w:color="auto" w:fill="FFFFFF"/>
            <w:vAlign w:val="center"/>
          </w:tcPr>
          <w:p w14:paraId="720002F9">
            <w:pPr>
              <w:spacing w:before="0" w:after="0" w:line="240" w:lineRule="auto"/>
              <w:ind w:left="0" w:right="0" w:firstLine="0"/>
              <w:jc w:val="left"/>
            </w:pPr>
          </w:p>
        </w:tc>
        <w:tc>
          <w:tcPr>
            <w:tcW w:w="1120" w:type="dxa"/>
            <w:shd w:val="clear" w:color="auto" w:fill="FFFFFF"/>
            <w:vAlign w:val="center"/>
          </w:tcPr>
          <w:p w14:paraId="720002FA">
            <w:pPr>
              <w:spacing w:before="0" w:after="0" w:line="240" w:lineRule="auto"/>
              <w:ind w:left="0" w:right="0" w:firstLine="0"/>
              <w:jc w:val="left"/>
            </w:pPr>
            <w:r>
              <w:rPr>
                <w:rFonts w:ascii="宋体" w:hAnsi="宋体" w:eastAsia="宋体" w:cs="宋体"/>
                <w:b w:val="0"/>
                <w:color w:val="000000"/>
                <w:sz w:val="18"/>
              </w:rPr>
              <w:t>系统管理</w:t>
            </w:r>
          </w:p>
        </w:tc>
        <w:tc>
          <w:tcPr>
            <w:tcW w:w="1430" w:type="dxa"/>
            <w:shd w:val="clear" w:color="auto" w:fill="FFFFFF"/>
            <w:vAlign w:val="center"/>
          </w:tcPr>
          <w:p w14:paraId="720002FB">
            <w:pPr>
              <w:spacing w:before="0" w:after="0" w:line="240" w:lineRule="auto"/>
              <w:ind w:left="0" w:right="0" w:firstLine="0"/>
              <w:jc w:val="left"/>
            </w:pPr>
            <w:r>
              <w:rPr>
                <w:rFonts w:ascii="宋体" w:hAnsi="宋体" w:eastAsia="宋体" w:cs="宋体"/>
                <w:b w:val="0"/>
                <w:color w:val="000000"/>
                <w:sz w:val="18"/>
              </w:rPr>
              <w:t>P-ZLTC-AI-XTGL-049</w:t>
            </w:r>
          </w:p>
        </w:tc>
        <w:tc>
          <w:tcPr>
            <w:tcW w:w="2119" w:type="dxa"/>
            <w:shd w:val="clear" w:color="auto" w:fill="FFFFFF"/>
            <w:vAlign w:val="center"/>
          </w:tcPr>
          <w:p w14:paraId="720002FC">
            <w:pPr>
              <w:spacing w:before="0" w:after="0" w:line="240" w:lineRule="auto"/>
              <w:ind w:left="0" w:right="0" w:firstLine="0"/>
              <w:jc w:val="left"/>
            </w:pPr>
            <w:r>
              <w:rPr>
                <w:rFonts w:ascii="宋体" w:hAnsi="宋体" w:eastAsia="宋体" w:cs="宋体"/>
                <w:b w:val="0"/>
                <w:color w:val="000000"/>
                <w:sz w:val="18"/>
              </w:rPr>
              <w:t>后台管理账号的角色分配与生命周期管理；业务权限维护页面，配置业务角色或用户可查看、取数的数据域、表及行范围，并将维护结果同步至统一数据服务层；订阅审核；事件登记卡维护；查询模板与模型服务配置；开放接口调用监控；审计日志留存。详见5.4.2.7。</w:t>
            </w:r>
          </w:p>
        </w:tc>
        <w:tc>
          <w:tcPr>
            <w:tcW w:w="1521" w:type="dxa"/>
            <w:shd w:val="clear" w:color="auto" w:fill="FFFFFF"/>
            <w:vAlign w:val="center"/>
          </w:tcPr>
          <w:p w14:paraId="720002FD">
            <w:pPr>
              <w:spacing w:before="0" w:after="0" w:line="240" w:lineRule="auto"/>
              <w:ind w:left="0" w:right="0" w:firstLine="0"/>
              <w:jc w:val="left"/>
            </w:pPr>
            <w:r>
              <w:rPr>
                <w:rFonts w:ascii="宋体" w:hAnsi="宋体" w:eastAsia="宋体" w:cs="宋体"/>
                <w:b w:val="0"/>
                <w:color w:val="000000"/>
                <w:sz w:val="18"/>
              </w:rPr>
              <w:t>统一门户业务身份；统一数据服务层提供的权限体系、数据域、表名等基础信息；平台业务授权配置与配置变更动作</w:t>
            </w:r>
          </w:p>
        </w:tc>
        <w:tc>
          <w:tcPr>
            <w:tcW w:w="1020" w:type="dxa"/>
            <w:shd w:val="clear" w:color="auto" w:fill="FFFFFF"/>
            <w:vAlign w:val="center"/>
          </w:tcPr>
          <w:p w14:paraId="720002FE">
            <w:pPr>
              <w:spacing w:before="0" w:after="0" w:line="240" w:lineRule="auto"/>
              <w:ind w:left="0" w:right="0" w:firstLine="0"/>
              <w:jc w:val="left"/>
            </w:pPr>
            <w:r>
              <w:rPr>
                <w:rFonts w:ascii="宋体" w:hAnsi="宋体" w:eastAsia="宋体" w:cs="宋体"/>
                <w:b w:val="0"/>
                <w:color w:val="000000"/>
                <w:sz w:val="18"/>
              </w:rPr>
              <w:t>各模块的运行配置、同步至统一数据服务层的业务授权规则、审计查询</w:t>
            </w:r>
          </w:p>
        </w:tc>
        <w:tc>
          <w:tcPr>
            <w:tcW w:w="1102" w:type="dxa"/>
            <w:shd w:val="clear" w:color="auto" w:fill="FFFFFF"/>
            <w:vAlign w:val="center"/>
          </w:tcPr>
          <w:p w14:paraId="720002FF">
            <w:pPr>
              <w:spacing w:before="0" w:after="0" w:line="240" w:lineRule="auto"/>
              <w:ind w:left="0" w:right="0" w:firstLine="0"/>
              <w:jc w:val="left"/>
            </w:pPr>
            <w:r>
              <w:rPr>
                <w:rFonts w:ascii="宋体" w:hAnsi="宋体" w:eastAsia="宋体" w:cs="宋体"/>
                <w:b w:val="0"/>
                <w:color w:val="000000"/>
                <w:sz w:val="18"/>
              </w:rPr>
              <w:t>平台管理员、审计角色</w:t>
            </w:r>
          </w:p>
        </w:tc>
      </w:tr>
      <w:tr w14:paraId="72000300">
        <w:trPr>
          <w:cantSplit/>
          <w:jc w:val="center"/>
        </w:trPr>
        <w:tc>
          <w:tcPr>
            <w:tcW w:w="760" w:type="dxa"/>
            <w:vMerge w:val="continue"/>
            <w:shd w:val="clear" w:color="auto" w:fill="FFFFFF"/>
            <w:vAlign w:val="center"/>
          </w:tcPr>
          <w:p w14:paraId="72000301">
            <w:pPr>
              <w:spacing w:before="0" w:after="0" w:line="240" w:lineRule="auto"/>
              <w:ind w:left="0" w:right="0" w:firstLine="0"/>
              <w:jc w:val="left"/>
            </w:pPr>
          </w:p>
        </w:tc>
        <w:tc>
          <w:tcPr>
            <w:tcW w:w="1120" w:type="dxa"/>
            <w:shd w:val="clear" w:color="auto" w:fill="FFFFFF"/>
            <w:vAlign w:val="center"/>
          </w:tcPr>
          <w:p w14:paraId="72000302">
            <w:pPr>
              <w:spacing w:before="0" w:after="0" w:line="240" w:lineRule="auto"/>
              <w:ind w:left="0" w:right="0" w:firstLine="0"/>
              <w:jc w:val="left"/>
            </w:pPr>
            <w:r>
              <w:rPr>
                <w:rFonts w:ascii="宋体" w:hAnsi="宋体" w:eastAsia="宋体" w:cs="宋体"/>
                <w:b w:val="0"/>
                <w:color w:val="000000"/>
                <w:sz w:val="18"/>
              </w:rPr>
              <w:t>内容安全防护</w:t>
            </w:r>
          </w:p>
        </w:tc>
        <w:tc>
          <w:tcPr>
            <w:tcW w:w="1430" w:type="dxa"/>
            <w:shd w:val="clear" w:color="auto" w:fill="FFFFFF"/>
            <w:vAlign w:val="center"/>
          </w:tcPr>
          <w:p w14:paraId="72000303">
            <w:pPr>
              <w:spacing w:before="0" w:after="0" w:line="240" w:lineRule="auto"/>
              <w:ind w:left="0" w:right="0" w:firstLine="0"/>
              <w:jc w:val="left"/>
            </w:pPr>
            <w:r>
              <w:rPr>
                <w:rFonts w:ascii="宋体" w:hAnsi="宋体" w:eastAsia="宋体" w:cs="宋体"/>
                <w:b w:val="0"/>
                <w:color w:val="000000"/>
                <w:sz w:val="18"/>
              </w:rPr>
              <w:t>P-ZLTC-AI-NRAQFH-050</w:t>
            </w:r>
          </w:p>
        </w:tc>
        <w:tc>
          <w:tcPr>
            <w:tcW w:w="2119" w:type="dxa"/>
            <w:shd w:val="clear" w:color="auto" w:fill="FFFFFF"/>
            <w:vAlign w:val="center"/>
          </w:tcPr>
          <w:p w14:paraId="72000304">
            <w:pPr>
              <w:spacing w:before="0" w:after="0" w:line="240" w:lineRule="auto"/>
              <w:ind w:left="0" w:right="0" w:firstLine="0"/>
              <w:jc w:val="left"/>
            </w:pPr>
            <w:r>
              <w:rPr>
                <w:rFonts w:ascii="宋体" w:hAnsi="宋体" w:eastAsia="宋体" w:cs="宋体"/>
                <w:b w:val="0"/>
                <w:color w:val="000000"/>
                <w:sz w:val="18"/>
              </w:rPr>
              <w:t>提示词规范约束；面向外部暴露面的输出侧内容过滤；注入与诱导测试用例集的维护与执行。详见5.4.2.8。</w:t>
            </w:r>
          </w:p>
        </w:tc>
        <w:tc>
          <w:tcPr>
            <w:tcW w:w="1521" w:type="dxa"/>
            <w:shd w:val="clear" w:color="auto" w:fill="FFFFFF"/>
            <w:vAlign w:val="center"/>
          </w:tcPr>
          <w:p w14:paraId="72000305">
            <w:pPr>
              <w:spacing w:before="0" w:after="0" w:line="240" w:lineRule="auto"/>
              <w:ind w:left="0" w:right="0" w:firstLine="0"/>
              <w:jc w:val="left"/>
            </w:pPr>
            <w:r>
              <w:rPr>
                <w:rFonts w:ascii="宋体" w:hAnsi="宋体" w:eastAsia="宋体" w:cs="宋体"/>
                <w:b w:val="0"/>
                <w:color w:val="000000"/>
                <w:sz w:val="18"/>
              </w:rPr>
              <w:t>敏感词表配置、测试用例集</w:t>
            </w:r>
          </w:p>
        </w:tc>
        <w:tc>
          <w:tcPr>
            <w:tcW w:w="1020" w:type="dxa"/>
            <w:shd w:val="clear" w:color="auto" w:fill="FFFFFF"/>
            <w:vAlign w:val="center"/>
          </w:tcPr>
          <w:p w14:paraId="72000306">
            <w:pPr>
              <w:spacing w:before="0" w:after="0" w:line="240" w:lineRule="auto"/>
              <w:ind w:left="0" w:right="0" w:firstLine="0"/>
              <w:jc w:val="left"/>
            </w:pPr>
            <w:r>
              <w:rPr>
                <w:rFonts w:ascii="宋体" w:hAnsi="宋体" w:eastAsia="宋体" w:cs="宋体"/>
                <w:b w:val="0"/>
                <w:color w:val="000000"/>
                <w:sz w:val="18"/>
              </w:rPr>
              <w:t>应答生成环节、红线验收结论</w:t>
            </w:r>
          </w:p>
        </w:tc>
        <w:tc>
          <w:tcPr>
            <w:tcW w:w="1102" w:type="dxa"/>
            <w:shd w:val="clear" w:color="auto" w:fill="FFFFFF"/>
            <w:vAlign w:val="center"/>
          </w:tcPr>
          <w:p w14:paraId="72000307">
            <w:pPr>
              <w:spacing w:before="0" w:after="0" w:line="240" w:lineRule="auto"/>
              <w:ind w:left="0" w:right="0" w:firstLine="0"/>
              <w:jc w:val="left"/>
            </w:pPr>
            <w:r>
              <w:rPr>
                <w:rFonts w:ascii="宋体" w:hAnsi="宋体" w:eastAsia="宋体" w:cs="宋体"/>
                <w:b w:val="0"/>
                <w:color w:val="000000"/>
                <w:sz w:val="18"/>
              </w:rPr>
              <w:t>平台管理员、平台运营</w:t>
            </w:r>
          </w:p>
        </w:tc>
      </w:tr>
      <w:tr w14:paraId="72000308">
        <w:trPr>
          <w:cantSplit/>
          <w:jc w:val="center"/>
        </w:trPr>
        <w:tc>
          <w:tcPr>
            <w:tcW w:w="760" w:type="dxa"/>
            <w:vMerge w:val="restart"/>
            <w:shd w:val="clear" w:color="auto" w:fill="FFFFFF"/>
            <w:vAlign w:val="center"/>
          </w:tcPr>
          <w:p w14:paraId="72000309">
            <w:pPr>
              <w:spacing w:before="0" w:after="0" w:line="240" w:lineRule="auto"/>
              <w:ind w:left="0" w:right="0" w:firstLine="0"/>
              <w:jc w:val="left"/>
            </w:pPr>
            <w:r>
              <w:rPr>
                <w:rFonts w:ascii="宋体" w:hAnsi="宋体" w:eastAsia="宋体" w:cs="宋体"/>
                <w:b w:val="0"/>
                <w:color w:val="000000"/>
                <w:sz w:val="18"/>
              </w:rPr>
              <w:t>知识基座</w:t>
            </w:r>
          </w:p>
        </w:tc>
        <w:tc>
          <w:tcPr>
            <w:tcW w:w="1120" w:type="dxa"/>
            <w:shd w:val="clear" w:color="auto" w:fill="FFFFFF"/>
            <w:vAlign w:val="center"/>
          </w:tcPr>
          <w:p w14:paraId="7200030A">
            <w:pPr>
              <w:spacing w:before="0" w:after="0" w:line="240" w:lineRule="auto"/>
              <w:ind w:left="0" w:right="0" w:firstLine="0"/>
              <w:jc w:val="left"/>
            </w:pPr>
            <w:r>
              <w:rPr>
                <w:rFonts w:ascii="宋体" w:hAnsi="宋体" w:eastAsia="宋体" w:cs="宋体"/>
                <w:b w:val="0"/>
                <w:color w:val="000000"/>
                <w:sz w:val="18"/>
              </w:rPr>
              <w:t>业务对象与影响因素图谱</w:t>
            </w:r>
          </w:p>
        </w:tc>
        <w:tc>
          <w:tcPr>
            <w:tcW w:w="1430" w:type="dxa"/>
            <w:shd w:val="clear" w:color="auto" w:fill="FFFFFF"/>
            <w:vAlign w:val="center"/>
          </w:tcPr>
          <w:p w14:paraId="7200030B">
            <w:pPr>
              <w:spacing w:before="0" w:after="0" w:line="240" w:lineRule="auto"/>
              <w:ind w:left="0" w:right="0" w:firstLine="0"/>
              <w:jc w:val="left"/>
            </w:pPr>
            <w:r>
              <w:rPr>
                <w:rFonts w:ascii="宋体" w:hAnsi="宋体" w:eastAsia="宋体" w:cs="宋体"/>
                <w:b w:val="0"/>
                <w:color w:val="000000"/>
                <w:sz w:val="18"/>
              </w:rPr>
              <w:t>P-ZLTC-AI-YWDXYYXYSTP-051</w:t>
            </w:r>
          </w:p>
        </w:tc>
        <w:tc>
          <w:tcPr>
            <w:tcW w:w="2119" w:type="dxa"/>
            <w:shd w:val="clear" w:color="auto" w:fill="FFFFFF"/>
            <w:vAlign w:val="center"/>
          </w:tcPr>
          <w:p w14:paraId="7200030C">
            <w:pPr>
              <w:spacing w:before="0" w:after="0" w:line="240" w:lineRule="auto"/>
              <w:ind w:left="0" w:right="0" w:firstLine="0"/>
              <w:jc w:val="left"/>
            </w:pPr>
            <w:r>
              <w:rPr>
                <w:rFonts w:ascii="宋体" w:hAnsi="宋体" w:eastAsia="宋体" w:cs="宋体"/>
                <w:b w:val="0"/>
                <w:color w:val="000000"/>
                <w:sz w:val="18"/>
              </w:rPr>
              <w:t>建设组织人员与位置、设备与测点、工艺与热力拓扑、物料与供应商、指标五域实例及自动同步；维护设备故障模式与偏差影响因素，提供消歧、关联、知识登记和能力地图。详见5.5.1。</w:t>
            </w:r>
          </w:p>
        </w:tc>
        <w:tc>
          <w:tcPr>
            <w:tcW w:w="1521" w:type="dxa"/>
            <w:shd w:val="clear" w:color="auto" w:fill="FFFFFF"/>
            <w:vAlign w:val="center"/>
          </w:tcPr>
          <w:p w14:paraId="7200030D">
            <w:pPr>
              <w:spacing w:before="0" w:after="0" w:line="240" w:lineRule="auto"/>
              <w:ind w:left="0" w:right="0" w:firstLine="0"/>
              <w:jc w:val="left"/>
            </w:pPr>
            <w:r>
              <w:rPr>
                <w:rFonts w:ascii="宋体" w:hAnsi="宋体" w:eastAsia="宋体" w:cs="宋体"/>
                <w:b w:val="0"/>
                <w:color w:val="000000"/>
                <w:sz w:val="18"/>
              </w:rPr>
              <w:t>AI数据治理提供的主数据与指标语义；设备手册、工艺包、设计资料、影响因素知识与确认案例</w:t>
            </w:r>
          </w:p>
        </w:tc>
        <w:tc>
          <w:tcPr>
            <w:tcW w:w="1020" w:type="dxa"/>
            <w:shd w:val="clear" w:color="auto" w:fill="FFFFFF"/>
            <w:vAlign w:val="center"/>
          </w:tcPr>
          <w:p w14:paraId="7200030E">
            <w:pPr>
              <w:spacing w:before="0" w:after="0" w:line="240" w:lineRule="auto"/>
              <w:ind w:left="0" w:right="0" w:firstLine="0"/>
              <w:jc w:val="left"/>
            </w:pPr>
            <w:r>
              <w:rPr>
                <w:rFonts w:ascii="宋体" w:hAnsi="宋体" w:eastAsia="宋体" w:cs="宋体"/>
                <w:b w:val="0"/>
                <w:color w:val="000000"/>
                <w:sz w:val="18"/>
              </w:rPr>
              <w:t>对象识别、场景取证、关联查询与能力匹配</w:t>
            </w:r>
          </w:p>
        </w:tc>
        <w:tc>
          <w:tcPr>
            <w:tcW w:w="1102" w:type="dxa"/>
            <w:shd w:val="clear" w:color="auto" w:fill="FFFFFF"/>
            <w:vAlign w:val="center"/>
          </w:tcPr>
          <w:p w14:paraId="7200030F">
            <w:pPr>
              <w:spacing w:before="0" w:after="0" w:line="240" w:lineRule="auto"/>
              <w:ind w:left="0" w:right="0" w:firstLine="0"/>
              <w:jc w:val="left"/>
            </w:pPr>
            <w:r>
              <w:rPr>
                <w:rFonts w:ascii="宋体" w:hAnsi="宋体" w:eastAsia="宋体" w:cs="宋体"/>
                <w:b w:val="0"/>
                <w:color w:val="000000"/>
                <w:sz w:val="18"/>
              </w:rPr>
              <w:t>知识维护员、全部业务用户</w:t>
            </w:r>
          </w:p>
        </w:tc>
      </w:tr>
      <w:tr w14:paraId="72000310">
        <w:trPr>
          <w:cantSplit/>
          <w:jc w:val="center"/>
        </w:trPr>
        <w:tc>
          <w:tcPr>
            <w:tcW w:w="760" w:type="dxa"/>
            <w:vMerge w:val="continue"/>
            <w:shd w:val="clear" w:color="auto" w:fill="FFFFFF"/>
            <w:vAlign w:val="center"/>
          </w:tcPr>
          <w:p w14:paraId="72000311">
            <w:pPr>
              <w:spacing w:before="0" w:after="0" w:line="240" w:lineRule="auto"/>
              <w:ind w:left="0" w:right="0" w:firstLine="0"/>
              <w:jc w:val="left"/>
            </w:pPr>
          </w:p>
        </w:tc>
        <w:tc>
          <w:tcPr>
            <w:tcW w:w="1120" w:type="dxa"/>
            <w:shd w:val="clear" w:color="auto" w:fill="FFFFFF"/>
            <w:vAlign w:val="center"/>
          </w:tcPr>
          <w:p w14:paraId="72000312">
            <w:pPr>
              <w:spacing w:before="0" w:after="0" w:line="240" w:lineRule="auto"/>
              <w:ind w:left="0" w:right="0" w:firstLine="0"/>
              <w:jc w:val="left"/>
            </w:pPr>
            <w:r>
              <w:rPr>
                <w:rFonts w:ascii="宋体" w:hAnsi="宋体" w:eastAsia="宋体" w:cs="宋体"/>
                <w:b w:val="0"/>
                <w:color w:val="000000"/>
                <w:sz w:val="18"/>
              </w:rPr>
              <w:t>工艺风险图谱与HAZOP、FMEA建模</w:t>
            </w:r>
          </w:p>
        </w:tc>
        <w:tc>
          <w:tcPr>
            <w:tcW w:w="1430" w:type="dxa"/>
            <w:shd w:val="clear" w:color="auto" w:fill="FFFFFF"/>
            <w:vAlign w:val="center"/>
          </w:tcPr>
          <w:p w14:paraId="72000313">
            <w:pPr>
              <w:spacing w:before="0" w:after="0" w:line="240" w:lineRule="auto"/>
              <w:ind w:left="0" w:right="0" w:firstLine="0"/>
              <w:jc w:val="left"/>
            </w:pPr>
            <w:r>
              <w:rPr>
                <w:rFonts w:ascii="宋体" w:hAnsi="宋体" w:eastAsia="宋体" w:cs="宋体"/>
                <w:b w:val="0"/>
                <w:color w:val="000000"/>
                <w:sz w:val="18"/>
              </w:rPr>
              <w:t>P-ZLTC-AI-GYFXTP-052</w:t>
            </w:r>
          </w:p>
        </w:tc>
        <w:tc>
          <w:tcPr>
            <w:tcW w:w="2119" w:type="dxa"/>
            <w:shd w:val="clear" w:color="auto" w:fill="FFFFFF"/>
            <w:vAlign w:val="center"/>
          </w:tcPr>
          <w:p w14:paraId="72000314">
            <w:pPr>
              <w:spacing w:before="0" w:after="0" w:line="240" w:lineRule="auto"/>
              <w:ind w:left="0" w:right="0" w:firstLine="0"/>
              <w:jc w:val="left"/>
            </w:pPr>
            <w:r>
              <w:rPr>
                <w:rFonts w:ascii="宋体" w:hAnsi="宋体" w:eastAsia="宋体" w:cs="宋体"/>
                <w:b w:val="0"/>
                <w:color w:val="000000"/>
                <w:sz w:val="18"/>
              </w:rPr>
              <w:t>导入设备及主要参数，复用设备模板并推荐风险链；关联连续、间歇、What-if和JSA分析，管理独立保护层及状态，支持LOPA和FMEA风险优先数计算并导出分析报表。详见5.5.1。</w:t>
            </w:r>
          </w:p>
        </w:tc>
        <w:tc>
          <w:tcPr>
            <w:tcW w:w="1521" w:type="dxa"/>
            <w:shd w:val="clear" w:color="auto" w:fill="FFFFFF"/>
            <w:vAlign w:val="center"/>
          </w:tcPr>
          <w:p w14:paraId="72000315">
            <w:pPr>
              <w:spacing w:before="0" w:after="0" w:line="240" w:lineRule="auto"/>
              <w:ind w:left="0" w:right="0" w:firstLine="0"/>
              <w:jc w:val="left"/>
            </w:pPr>
            <w:r>
              <w:rPr>
                <w:rFonts w:ascii="宋体" w:hAnsi="宋体" w:eastAsia="宋体" w:cs="宋体"/>
                <w:b w:val="0"/>
                <w:color w:val="000000"/>
                <w:sz w:val="18"/>
              </w:rPr>
              <w:t>设备清单与参数、HAZOP及FMEA资料、SOP、保护层和在线状态</w:t>
            </w:r>
          </w:p>
        </w:tc>
        <w:tc>
          <w:tcPr>
            <w:tcW w:w="1020" w:type="dxa"/>
            <w:shd w:val="clear" w:color="auto" w:fill="FFFFFF"/>
            <w:vAlign w:val="center"/>
          </w:tcPr>
          <w:p w14:paraId="72000316">
            <w:pPr>
              <w:spacing w:before="0" w:after="0" w:line="240" w:lineRule="auto"/>
              <w:ind w:left="0" w:right="0" w:firstLine="0"/>
              <w:jc w:val="left"/>
            </w:pPr>
            <w:r>
              <w:rPr>
                <w:rFonts w:ascii="宋体" w:hAnsi="宋体" w:eastAsia="宋体" w:cs="宋体"/>
                <w:b w:val="0"/>
                <w:color w:val="000000"/>
                <w:sz w:val="18"/>
              </w:rPr>
              <w:t>工艺风险与事故链知识；HAZOP、LOPA、FMEA分析成果</w:t>
            </w:r>
          </w:p>
        </w:tc>
        <w:tc>
          <w:tcPr>
            <w:tcW w:w="1102" w:type="dxa"/>
            <w:shd w:val="clear" w:color="auto" w:fill="FFFFFF"/>
            <w:vAlign w:val="center"/>
          </w:tcPr>
          <w:p w14:paraId="72000317">
            <w:pPr>
              <w:spacing w:before="0" w:after="0" w:line="240" w:lineRule="auto"/>
              <w:ind w:left="0" w:right="0" w:firstLine="0"/>
              <w:jc w:val="left"/>
            </w:pPr>
            <w:r>
              <w:rPr>
                <w:rFonts w:ascii="宋体" w:hAnsi="宋体" w:eastAsia="宋体" w:cs="宋体"/>
                <w:b w:val="0"/>
                <w:color w:val="000000"/>
                <w:sz w:val="18"/>
              </w:rPr>
              <w:t>工艺工程师、安全管理员、知识维护员</w:t>
            </w:r>
          </w:p>
        </w:tc>
      </w:tr>
      <w:tr w14:paraId="72000318">
        <w:trPr>
          <w:cantSplit/>
          <w:jc w:val="center"/>
        </w:trPr>
        <w:tc>
          <w:tcPr>
            <w:tcW w:w="760" w:type="dxa"/>
            <w:vMerge w:val="continue"/>
            <w:shd w:val="clear" w:color="auto" w:fill="FFFFFF"/>
            <w:vAlign w:val="center"/>
          </w:tcPr>
          <w:p w14:paraId="72000319">
            <w:pPr>
              <w:spacing w:before="0" w:after="0" w:line="240" w:lineRule="auto"/>
              <w:ind w:left="0" w:right="0" w:firstLine="0"/>
              <w:jc w:val="left"/>
            </w:pPr>
          </w:p>
        </w:tc>
        <w:tc>
          <w:tcPr>
            <w:tcW w:w="1120" w:type="dxa"/>
            <w:shd w:val="clear" w:color="auto" w:fill="FFFFFF"/>
            <w:vAlign w:val="center"/>
          </w:tcPr>
          <w:p w14:paraId="7200031A">
            <w:pPr>
              <w:spacing w:before="0" w:after="0" w:line="240" w:lineRule="auto"/>
              <w:ind w:left="0" w:right="0" w:firstLine="0"/>
              <w:jc w:val="left"/>
            </w:pPr>
            <w:r>
              <w:rPr>
                <w:rFonts w:ascii="宋体" w:hAnsi="宋体" w:eastAsia="宋体" w:cs="宋体"/>
                <w:b w:val="0"/>
                <w:color w:val="000000"/>
                <w:sz w:val="18"/>
              </w:rPr>
              <w:t>质量因果图谱</w:t>
            </w:r>
          </w:p>
        </w:tc>
        <w:tc>
          <w:tcPr>
            <w:tcW w:w="1430" w:type="dxa"/>
            <w:shd w:val="clear" w:color="auto" w:fill="FFFFFF"/>
            <w:vAlign w:val="center"/>
          </w:tcPr>
          <w:p w14:paraId="7200031B">
            <w:pPr>
              <w:spacing w:before="0" w:after="0" w:line="240" w:lineRule="auto"/>
              <w:ind w:left="0" w:right="0" w:firstLine="0"/>
              <w:jc w:val="left"/>
            </w:pPr>
            <w:r>
              <w:rPr>
                <w:rFonts w:ascii="宋体" w:hAnsi="宋体" w:eastAsia="宋体" w:cs="宋体"/>
                <w:b w:val="0"/>
                <w:color w:val="000000"/>
                <w:sz w:val="18"/>
              </w:rPr>
              <w:t>P-ZLTC-AI-ZLYGTP-053</w:t>
            </w:r>
          </w:p>
        </w:tc>
        <w:tc>
          <w:tcPr>
            <w:tcW w:w="2119" w:type="dxa"/>
            <w:shd w:val="clear" w:color="auto" w:fill="FFFFFF"/>
            <w:vAlign w:val="center"/>
          </w:tcPr>
          <w:p w14:paraId="7200031C">
            <w:pPr>
              <w:spacing w:before="0" w:after="0" w:line="240" w:lineRule="auto"/>
              <w:ind w:left="0" w:right="0" w:firstLine="0"/>
              <w:jc w:val="left"/>
            </w:pPr>
            <w:r>
              <w:rPr>
                <w:rFonts w:ascii="宋体" w:hAnsi="宋体" w:eastAsia="宋体" w:cs="宋体"/>
                <w:b w:val="0"/>
                <w:color w:val="000000"/>
                <w:sz w:val="18"/>
              </w:rPr>
              <w:t>以DE值、透光率、色值、水分等质量指标为终点，构建原料、工艺、设备及环境因素的因果网络，关联工艺参数、检验记录及批次并支持可视化查看和风险知识关联。详见5.5.1。</w:t>
            </w:r>
          </w:p>
        </w:tc>
        <w:tc>
          <w:tcPr>
            <w:tcW w:w="1521" w:type="dxa"/>
            <w:shd w:val="clear" w:color="auto" w:fill="FFFFFF"/>
            <w:vAlign w:val="center"/>
          </w:tcPr>
          <w:p w14:paraId="7200031D">
            <w:pPr>
              <w:spacing w:before="0" w:after="0" w:line="240" w:lineRule="auto"/>
              <w:ind w:left="0" w:right="0" w:firstLine="0"/>
              <w:jc w:val="left"/>
            </w:pPr>
            <w:r>
              <w:rPr>
                <w:rFonts w:ascii="宋体" w:hAnsi="宋体" w:eastAsia="宋体" w:cs="宋体"/>
                <w:b w:val="0"/>
                <w:color w:val="000000"/>
                <w:sz w:val="18"/>
              </w:rPr>
              <w:t>质量与工艺知识、DCS、MES、LIMS及在线检测数据</w:t>
            </w:r>
          </w:p>
        </w:tc>
        <w:tc>
          <w:tcPr>
            <w:tcW w:w="1020" w:type="dxa"/>
            <w:shd w:val="clear" w:color="auto" w:fill="FFFFFF"/>
            <w:vAlign w:val="center"/>
          </w:tcPr>
          <w:p w14:paraId="7200031E">
            <w:pPr>
              <w:spacing w:before="0" w:after="0" w:line="240" w:lineRule="auto"/>
              <w:ind w:left="0" w:right="0" w:firstLine="0"/>
              <w:jc w:val="left"/>
            </w:pPr>
            <w:r>
              <w:rPr>
                <w:rFonts w:ascii="宋体" w:hAnsi="宋体" w:eastAsia="宋体" w:cs="宋体"/>
                <w:b w:val="0"/>
                <w:color w:val="000000"/>
                <w:sz w:val="18"/>
              </w:rPr>
              <w:t>质量因果网络、质量诊断与追溯核证依据</w:t>
            </w:r>
          </w:p>
        </w:tc>
        <w:tc>
          <w:tcPr>
            <w:tcW w:w="1102" w:type="dxa"/>
            <w:shd w:val="clear" w:color="auto" w:fill="FFFFFF"/>
            <w:vAlign w:val="center"/>
          </w:tcPr>
          <w:p w14:paraId="7200031F">
            <w:pPr>
              <w:spacing w:before="0" w:after="0" w:line="240" w:lineRule="auto"/>
              <w:ind w:left="0" w:right="0" w:firstLine="0"/>
              <w:jc w:val="left"/>
            </w:pPr>
            <w:r>
              <w:rPr>
                <w:rFonts w:ascii="宋体" w:hAnsi="宋体" w:eastAsia="宋体" w:cs="宋体"/>
                <w:b w:val="0"/>
                <w:color w:val="000000"/>
                <w:sz w:val="18"/>
              </w:rPr>
              <w:t>质量工程师、工艺工程师、知识维护员</w:t>
            </w:r>
          </w:p>
        </w:tc>
      </w:tr>
      <w:tr w14:paraId="72000320">
        <w:trPr>
          <w:cantSplit/>
          <w:jc w:val="center"/>
        </w:trPr>
        <w:tc>
          <w:tcPr>
            <w:tcW w:w="760" w:type="dxa"/>
            <w:vMerge w:val="continue"/>
            <w:shd w:val="clear" w:color="auto" w:fill="FFFFFF"/>
            <w:vAlign w:val="center"/>
          </w:tcPr>
          <w:p w14:paraId="72000321">
            <w:pPr>
              <w:spacing w:before="0" w:after="0" w:line="240" w:lineRule="auto"/>
              <w:ind w:left="0" w:right="0" w:firstLine="0"/>
              <w:jc w:val="left"/>
            </w:pPr>
          </w:p>
        </w:tc>
        <w:tc>
          <w:tcPr>
            <w:tcW w:w="1120" w:type="dxa"/>
            <w:shd w:val="clear" w:color="auto" w:fill="FFFFFF"/>
            <w:vAlign w:val="center"/>
          </w:tcPr>
          <w:p w14:paraId="72000322">
            <w:pPr>
              <w:spacing w:before="0" w:after="0" w:line="240" w:lineRule="auto"/>
              <w:ind w:left="0" w:right="0" w:firstLine="0"/>
              <w:jc w:val="left"/>
            </w:pPr>
            <w:r>
              <w:rPr>
                <w:rFonts w:ascii="宋体" w:hAnsi="宋体" w:eastAsia="宋体" w:cs="宋体"/>
                <w:b w:val="0"/>
                <w:color w:val="000000"/>
                <w:sz w:val="18"/>
              </w:rPr>
              <w:t>日常风险分析与模拟</w:t>
            </w:r>
          </w:p>
        </w:tc>
        <w:tc>
          <w:tcPr>
            <w:tcW w:w="1430" w:type="dxa"/>
            <w:shd w:val="clear" w:color="auto" w:fill="FFFFFF"/>
            <w:vAlign w:val="center"/>
          </w:tcPr>
          <w:p w14:paraId="72000323">
            <w:pPr>
              <w:spacing w:before="0" w:after="0" w:line="240" w:lineRule="auto"/>
              <w:ind w:left="0" w:right="0" w:firstLine="0"/>
              <w:jc w:val="left"/>
            </w:pPr>
            <w:r>
              <w:rPr>
                <w:rFonts w:ascii="宋体" w:hAnsi="宋体" w:eastAsia="宋体" w:cs="宋体"/>
                <w:b w:val="0"/>
                <w:color w:val="000000"/>
                <w:sz w:val="18"/>
              </w:rPr>
              <w:t>P-ZLTC-AI-RCFXFXYMN-054</w:t>
            </w:r>
          </w:p>
        </w:tc>
        <w:tc>
          <w:tcPr>
            <w:tcW w:w="2119" w:type="dxa"/>
            <w:shd w:val="clear" w:color="auto" w:fill="FFFFFF"/>
            <w:vAlign w:val="center"/>
          </w:tcPr>
          <w:p w14:paraId="72000324">
            <w:pPr>
              <w:spacing w:before="0" w:after="0" w:line="240" w:lineRule="auto"/>
              <w:ind w:left="0" w:right="0" w:firstLine="0"/>
              <w:jc w:val="left"/>
            </w:pPr>
            <w:r>
              <w:rPr>
                <w:rFonts w:ascii="宋体" w:hAnsi="宋体" w:eastAsia="宋体" w:cs="宋体"/>
                <w:b w:val="0"/>
                <w:color w:val="000000"/>
                <w:sz w:val="18"/>
              </w:rPr>
              <w:t>按设备、工艺偏离或中间事件查看潜在后果及事故链，分析防护屏障作用与失效路径，模拟联锁摘除对风险的影响，并按装置统计比较风险。详见5.5.5。</w:t>
            </w:r>
          </w:p>
        </w:tc>
        <w:tc>
          <w:tcPr>
            <w:tcW w:w="1521" w:type="dxa"/>
            <w:shd w:val="clear" w:color="auto" w:fill="FFFFFF"/>
            <w:vAlign w:val="center"/>
          </w:tcPr>
          <w:p w14:paraId="72000325">
            <w:pPr>
              <w:spacing w:before="0" w:after="0" w:line="240" w:lineRule="auto"/>
              <w:ind w:left="0" w:right="0" w:firstLine="0"/>
              <w:jc w:val="left"/>
            </w:pPr>
            <w:r>
              <w:rPr>
                <w:rFonts w:ascii="宋体" w:hAnsi="宋体" w:eastAsia="宋体" w:cs="宋体"/>
                <w:b w:val="0"/>
                <w:color w:val="000000"/>
                <w:sz w:val="18"/>
              </w:rPr>
              <w:t>工艺风险图谱、设备和工况信息、防护屏障及联锁状态</w:t>
            </w:r>
          </w:p>
        </w:tc>
        <w:tc>
          <w:tcPr>
            <w:tcW w:w="1020" w:type="dxa"/>
            <w:shd w:val="clear" w:color="auto" w:fill="FFFFFF"/>
            <w:vAlign w:val="center"/>
          </w:tcPr>
          <w:p w14:paraId="72000326">
            <w:pPr>
              <w:spacing w:before="0" w:after="0" w:line="240" w:lineRule="auto"/>
              <w:ind w:left="0" w:right="0" w:firstLine="0"/>
              <w:jc w:val="left"/>
            </w:pPr>
            <w:r>
              <w:rPr>
                <w:rFonts w:ascii="宋体" w:hAnsi="宋体" w:eastAsia="宋体" w:cs="宋体"/>
                <w:b w:val="0"/>
                <w:color w:val="000000"/>
                <w:sz w:val="18"/>
              </w:rPr>
              <w:t>领结图、事故链、防护措施分析、风险模拟和装置风险统计</w:t>
            </w:r>
          </w:p>
        </w:tc>
        <w:tc>
          <w:tcPr>
            <w:tcW w:w="1102" w:type="dxa"/>
            <w:shd w:val="clear" w:color="auto" w:fill="FFFFFF"/>
            <w:vAlign w:val="center"/>
          </w:tcPr>
          <w:p w14:paraId="72000327">
            <w:pPr>
              <w:spacing w:before="0" w:after="0" w:line="240" w:lineRule="auto"/>
              <w:ind w:left="0" w:right="0" w:firstLine="0"/>
              <w:jc w:val="left"/>
            </w:pPr>
            <w:r>
              <w:rPr>
                <w:rFonts w:ascii="宋体" w:hAnsi="宋体" w:eastAsia="宋体" w:cs="宋体"/>
                <w:b w:val="0"/>
                <w:color w:val="000000"/>
                <w:sz w:val="18"/>
              </w:rPr>
              <w:t>工艺工程师、安全管理员、操作人员</w:t>
            </w:r>
          </w:p>
        </w:tc>
      </w:tr>
      <w:tr w14:paraId="72000328">
        <w:trPr>
          <w:cantSplit/>
          <w:jc w:val="center"/>
        </w:trPr>
        <w:tc>
          <w:tcPr>
            <w:tcW w:w="760" w:type="dxa"/>
            <w:vMerge w:val="continue"/>
            <w:shd w:val="clear" w:color="auto" w:fill="FFFFFF"/>
            <w:vAlign w:val="center"/>
          </w:tcPr>
          <w:p w14:paraId="72000329">
            <w:pPr>
              <w:spacing w:before="0" w:after="0" w:line="240" w:lineRule="auto"/>
              <w:ind w:left="0" w:right="0" w:firstLine="0"/>
              <w:jc w:val="left"/>
            </w:pPr>
          </w:p>
        </w:tc>
        <w:tc>
          <w:tcPr>
            <w:tcW w:w="1120" w:type="dxa"/>
            <w:shd w:val="clear" w:color="auto" w:fill="FFFFFF"/>
            <w:vAlign w:val="center"/>
          </w:tcPr>
          <w:p w14:paraId="7200032A">
            <w:pPr>
              <w:spacing w:before="0" w:after="0" w:line="240" w:lineRule="auto"/>
              <w:ind w:left="0" w:right="0" w:firstLine="0"/>
              <w:jc w:val="left"/>
            </w:pPr>
            <w:r>
              <w:rPr>
                <w:rFonts w:ascii="宋体" w:hAnsi="宋体" w:eastAsia="宋体" w:cs="宋体"/>
                <w:b w:val="0"/>
                <w:color w:val="000000"/>
                <w:sz w:val="18"/>
              </w:rPr>
              <w:t>知识库引擎与工艺知识库</w:t>
            </w:r>
          </w:p>
        </w:tc>
        <w:tc>
          <w:tcPr>
            <w:tcW w:w="1430" w:type="dxa"/>
            <w:shd w:val="clear" w:color="auto" w:fill="FFFFFF"/>
            <w:vAlign w:val="center"/>
          </w:tcPr>
          <w:p w14:paraId="7200032B">
            <w:pPr>
              <w:spacing w:before="0" w:after="0" w:line="240" w:lineRule="auto"/>
              <w:ind w:left="0" w:right="0" w:firstLine="0"/>
              <w:jc w:val="left"/>
            </w:pPr>
            <w:r>
              <w:rPr>
                <w:rFonts w:ascii="宋体" w:hAnsi="宋体" w:eastAsia="宋体" w:cs="宋体"/>
                <w:b w:val="0"/>
                <w:color w:val="000000"/>
                <w:sz w:val="18"/>
              </w:rPr>
              <w:t>P-ZLTC-AI-ZSKYQ-055</w:t>
            </w:r>
          </w:p>
        </w:tc>
        <w:tc>
          <w:tcPr>
            <w:tcW w:w="2119" w:type="dxa"/>
            <w:shd w:val="clear" w:color="auto" w:fill="FFFFFF"/>
            <w:vAlign w:val="center"/>
          </w:tcPr>
          <w:p w14:paraId="7200032C">
            <w:pPr>
              <w:spacing w:before="0" w:after="0" w:line="240" w:lineRule="auto"/>
              <w:ind w:left="0" w:right="0" w:firstLine="0"/>
              <w:jc w:val="left"/>
            </w:pPr>
            <w:r>
              <w:rPr>
                <w:rFonts w:ascii="宋体" w:hAnsi="宋体" w:eastAsia="宋体" w:cs="宋体"/>
                <w:b w:val="0"/>
                <w:color w:val="000000"/>
                <w:sz w:val="18"/>
              </w:rPr>
              <w:t>建设设备、质量、工艺文档、安环与制度、供应链、物料、组织架构七类文档库，完成清点、解析切分、分级标签和检索验证；提供片段检索排序、权限过滤、更新重建与下架删除；工艺知识库关联工艺文档、风险与质量图谱及确认案例。详见5.5.2。</w:t>
            </w:r>
          </w:p>
        </w:tc>
        <w:tc>
          <w:tcPr>
            <w:tcW w:w="1521" w:type="dxa"/>
            <w:shd w:val="clear" w:color="auto" w:fill="FFFFFF"/>
            <w:vAlign w:val="center"/>
          </w:tcPr>
          <w:p w14:paraId="7200032D">
            <w:pPr>
              <w:spacing w:before="0" w:after="0" w:line="240" w:lineRule="auto"/>
              <w:ind w:left="0" w:right="0" w:firstLine="0"/>
              <w:jc w:val="left"/>
            </w:pPr>
            <w:r>
              <w:rPr>
                <w:rFonts w:ascii="宋体" w:hAnsi="宋体" w:eastAsia="宋体" w:cs="宋体"/>
                <w:b w:val="0"/>
                <w:color w:val="000000"/>
                <w:sz w:val="18"/>
              </w:rPr>
              <w:t>业主七类目文档、文档清单与持有人信息；涉密分级及角色可见性标签</w:t>
            </w:r>
          </w:p>
        </w:tc>
        <w:tc>
          <w:tcPr>
            <w:tcW w:w="1020" w:type="dxa"/>
            <w:shd w:val="clear" w:color="auto" w:fill="FFFFFF"/>
            <w:vAlign w:val="center"/>
          </w:tcPr>
          <w:p w14:paraId="7200032E">
            <w:pPr>
              <w:spacing w:before="0" w:after="0" w:line="240" w:lineRule="auto"/>
              <w:ind w:left="0" w:right="0" w:firstLine="0"/>
              <w:jc w:val="left"/>
            </w:pPr>
            <w:r>
              <w:rPr>
                <w:rFonts w:ascii="宋体" w:hAnsi="宋体" w:eastAsia="宋体" w:cs="宋体"/>
                <w:b w:val="0"/>
                <w:color w:val="000000"/>
                <w:sz w:val="18"/>
              </w:rPr>
              <w:t>知识问答场景、原文引用输出</w:t>
            </w:r>
          </w:p>
        </w:tc>
        <w:tc>
          <w:tcPr>
            <w:tcW w:w="1102" w:type="dxa"/>
            <w:shd w:val="clear" w:color="auto" w:fill="FFFFFF"/>
            <w:vAlign w:val="center"/>
          </w:tcPr>
          <w:p w14:paraId="7200032F">
            <w:pPr>
              <w:spacing w:before="0" w:after="0" w:line="240" w:lineRule="auto"/>
              <w:ind w:left="0" w:right="0" w:firstLine="0"/>
              <w:jc w:val="left"/>
            </w:pPr>
            <w:r>
              <w:rPr>
                <w:rFonts w:ascii="宋体" w:hAnsi="宋体" w:eastAsia="宋体" w:cs="宋体"/>
                <w:b w:val="0"/>
                <w:color w:val="000000"/>
                <w:sz w:val="18"/>
              </w:rPr>
              <w:t>全部业务用户（间接）、知识维护员</w:t>
            </w:r>
          </w:p>
        </w:tc>
      </w:tr>
      <w:tr w14:paraId="72000330">
        <w:trPr>
          <w:cantSplit/>
          <w:jc w:val="center"/>
        </w:trPr>
        <w:tc>
          <w:tcPr>
            <w:tcW w:w="760" w:type="dxa"/>
            <w:vMerge w:val="continue"/>
            <w:shd w:val="clear" w:color="auto" w:fill="FFFFFF"/>
            <w:vAlign w:val="center"/>
          </w:tcPr>
          <w:p w14:paraId="72000331">
            <w:pPr>
              <w:spacing w:before="0" w:after="0" w:line="240" w:lineRule="auto"/>
              <w:ind w:left="0" w:right="0" w:firstLine="0"/>
              <w:jc w:val="left"/>
            </w:pPr>
          </w:p>
        </w:tc>
        <w:tc>
          <w:tcPr>
            <w:tcW w:w="1120" w:type="dxa"/>
            <w:shd w:val="clear" w:color="auto" w:fill="FFFFFF"/>
            <w:vAlign w:val="center"/>
          </w:tcPr>
          <w:p w14:paraId="72000332">
            <w:pPr>
              <w:spacing w:before="0" w:after="0" w:line="240" w:lineRule="auto"/>
              <w:ind w:left="0" w:right="0" w:firstLine="0"/>
              <w:jc w:val="left"/>
            </w:pPr>
            <w:r>
              <w:rPr>
                <w:rFonts w:ascii="宋体" w:hAnsi="宋体" w:eastAsia="宋体" w:cs="宋体"/>
                <w:b w:val="0"/>
                <w:color w:val="000000"/>
                <w:sz w:val="18"/>
              </w:rPr>
              <w:t>知识工作台</w:t>
            </w:r>
          </w:p>
        </w:tc>
        <w:tc>
          <w:tcPr>
            <w:tcW w:w="1430" w:type="dxa"/>
            <w:shd w:val="clear" w:color="auto" w:fill="FFFFFF"/>
            <w:vAlign w:val="center"/>
          </w:tcPr>
          <w:p w14:paraId="72000333">
            <w:pPr>
              <w:spacing w:before="0" w:after="0" w:line="240" w:lineRule="auto"/>
              <w:ind w:left="0" w:right="0" w:firstLine="0"/>
              <w:jc w:val="left"/>
            </w:pPr>
            <w:r>
              <w:rPr>
                <w:rFonts w:ascii="宋体" w:hAnsi="宋体" w:eastAsia="宋体" w:cs="宋体"/>
                <w:b w:val="0"/>
                <w:color w:val="000000"/>
                <w:sz w:val="18"/>
              </w:rPr>
              <w:t>P-ZLTC-AI-ZSGZT-056</w:t>
            </w:r>
          </w:p>
        </w:tc>
        <w:tc>
          <w:tcPr>
            <w:tcW w:w="2119" w:type="dxa"/>
            <w:shd w:val="clear" w:color="auto" w:fill="FFFFFF"/>
            <w:vAlign w:val="center"/>
          </w:tcPr>
          <w:p w14:paraId="72000334">
            <w:pPr>
              <w:spacing w:before="0" w:after="0" w:line="240" w:lineRule="auto"/>
              <w:ind w:left="0" w:right="0" w:firstLine="0"/>
              <w:jc w:val="left"/>
            </w:pPr>
            <w:r>
              <w:rPr>
                <w:rFonts w:ascii="宋体" w:hAnsi="宋体" w:eastAsia="宋体" w:cs="宋体"/>
                <w:b w:val="0"/>
                <w:color w:val="000000"/>
                <w:sz w:val="18"/>
              </w:rPr>
              <w:t>汇集五通道待办，开展知识审核、入库和生效；维护图谱、能力卡与别名；管理企业共享及装置知识、设备模板复用和版本；审核确认案例、结构化反馈与新异常模式，验证后回灌知识。详见5.5.4。</w:t>
            </w:r>
          </w:p>
        </w:tc>
        <w:tc>
          <w:tcPr>
            <w:tcW w:w="1521" w:type="dxa"/>
            <w:shd w:val="clear" w:color="auto" w:fill="FFFFFF"/>
            <w:vAlign w:val="center"/>
          </w:tcPr>
          <w:p w14:paraId="72000335">
            <w:pPr>
              <w:spacing w:before="0" w:after="0" w:line="240" w:lineRule="auto"/>
              <w:ind w:left="0" w:right="0" w:firstLine="0"/>
              <w:jc w:val="left"/>
            </w:pPr>
            <w:r>
              <w:rPr>
                <w:rFonts w:ascii="宋体" w:hAnsi="宋体" w:eastAsia="宋体" w:cs="宋体"/>
                <w:b w:val="0"/>
                <w:color w:val="000000"/>
                <w:sz w:val="18"/>
              </w:rPr>
              <w:t>知识缺口、确认案例、别名建议、点踩工单及数据接入需求五类线索</w:t>
            </w:r>
          </w:p>
        </w:tc>
        <w:tc>
          <w:tcPr>
            <w:tcW w:w="1020" w:type="dxa"/>
            <w:shd w:val="clear" w:color="auto" w:fill="FFFFFF"/>
            <w:vAlign w:val="center"/>
          </w:tcPr>
          <w:p w14:paraId="72000336">
            <w:pPr>
              <w:spacing w:before="0" w:after="0" w:line="240" w:lineRule="auto"/>
              <w:ind w:left="0" w:right="0" w:firstLine="0"/>
              <w:jc w:val="left"/>
            </w:pPr>
            <w:r>
              <w:rPr>
                <w:rFonts w:ascii="宋体" w:hAnsi="宋体" w:eastAsia="宋体" w:cs="宋体"/>
                <w:b w:val="0"/>
                <w:color w:val="000000"/>
                <w:sz w:val="18"/>
              </w:rPr>
              <w:t>知识与案例资产、相关评估集回归、提问人通知</w:t>
            </w:r>
          </w:p>
        </w:tc>
        <w:tc>
          <w:tcPr>
            <w:tcW w:w="1102" w:type="dxa"/>
            <w:shd w:val="clear" w:color="auto" w:fill="FFFFFF"/>
            <w:vAlign w:val="center"/>
          </w:tcPr>
          <w:p w14:paraId="72000337">
            <w:pPr>
              <w:spacing w:before="0" w:after="0" w:line="240" w:lineRule="auto"/>
              <w:ind w:left="0" w:right="0" w:firstLine="0"/>
              <w:jc w:val="left"/>
            </w:pPr>
            <w:r>
              <w:rPr>
                <w:rFonts w:ascii="宋体" w:hAnsi="宋体" w:eastAsia="宋体" w:cs="宋体"/>
                <w:b w:val="0"/>
                <w:color w:val="000000"/>
                <w:sz w:val="18"/>
              </w:rPr>
              <w:t>知识维护员</w:t>
            </w:r>
          </w:p>
        </w:tc>
      </w:tr>
      <w:tr w14:paraId="72000338">
        <w:trPr>
          <w:cantSplit/>
          <w:jc w:val="center"/>
        </w:trPr>
        <w:tc>
          <w:tcPr>
            <w:tcW w:w="760" w:type="dxa"/>
            <w:shd w:val="clear" w:color="auto" w:fill="FFFFFF"/>
            <w:vAlign w:val="center"/>
          </w:tcPr>
          <w:p w14:paraId="72000339">
            <w:pPr>
              <w:spacing w:before="0" w:after="0" w:line="240" w:lineRule="auto"/>
              <w:ind w:left="0" w:right="0" w:firstLine="0"/>
              <w:jc w:val="left"/>
            </w:pPr>
            <w:r>
              <w:rPr>
                <w:rFonts w:ascii="宋体" w:hAnsi="宋体" w:eastAsia="宋体" w:cs="宋体"/>
                <w:b w:val="0"/>
                <w:color w:val="000000"/>
                <w:sz w:val="18"/>
              </w:rPr>
              <w:t>数据底座</w:t>
            </w:r>
          </w:p>
        </w:tc>
        <w:tc>
          <w:tcPr>
            <w:tcW w:w="1120" w:type="dxa"/>
            <w:shd w:val="clear" w:color="auto" w:fill="FFFFFF"/>
            <w:vAlign w:val="center"/>
          </w:tcPr>
          <w:p w14:paraId="7200033A">
            <w:pPr>
              <w:spacing w:before="0" w:after="0" w:line="240" w:lineRule="auto"/>
              <w:ind w:left="0" w:right="0" w:firstLine="0"/>
              <w:jc w:val="left"/>
            </w:pPr>
            <w:r>
              <w:rPr>
                <w:rFonts w:ascii="宋体" w:hAnsi="宋体" w:eastAsia="宋体" w:cs="宋体"/>
                <w:b w:val="0"/>
                <w:color w:val="000000"/>
                <w:sz w:val="18"/>
              </w:rPr>
              <w:t>AI数据治理</w:t>
            </w:r>
          </w:p>
        </w:tc>
        <w:tc>
          <w:tcPr>
            <w:tcW w:w="1430" w:type="dxa"/>
            <w:shd w:val="clear" w:color="auto" w:fill="FFFFFF"/>
            <w:vAlign w:val="center"/>
          </w:tcPr>
          <w:p w14:paraId="7200033B">
            <w:pPr>
              <w:spacing w:before="0" w:after="0" w:line="240" w:lineRule="auto"/>
              <w:ind w:left="0" w:right="0" w:firstLine="0"/>
              <w:jc w:val="left"/>
            </w:pPr>
            <w:r>
              <w:rPr>
                <w:rFonts w:ascii="宋体" w:hAnsi="宋体" w:eastAsia="宋体" w:cs="宋体"/>
                <w:b w:val="0"/>
                <w:color w:val="000000"/>
                <w:sz w:val="18"/>
              </w:rPr>
              <w:t>P-ZLTC-AI-SJZLPTNR-057</w:t>
            </w:r>
          </w:p>
        </w:tc>
        <w:tc>
          <w:tcPr>
            <w:tcW w:w="2119" w:type="dxa"/>
            <w:shd w:val="clear" w:color="auto" w:fill="FFFFFF"/>
            <w:vAlign w:val="center"/>
          </w:tcPr>
          <w:p w14:paraId="7200033C">
            <w:pPr>
              <w:spacing w:before="0" w:after="0" w:line="240" w:lineRule="auto"/>
              <w:ind w:left="0" w:right="0" w:firstLine="0"/>
              <w:jc w:val="left"/>
            </w:pPr>
            <w:r>
              <w:rPr>
                <w:rFonts w:ascii="宋体" w:hAnsi="宋体" w:eastAsia="宋体" w:cs="宋体"/>
                <w:b w:val="0"/>
                <w:color w:val="000000"/>
                <w:sz w:val="18"/>
              </w:rPr>
              <w:t>场景需求与资产盘点、来源确认与供给；统一对象编码、测点字典、指标口径和判定基准；质量、分级分类及时效治理；资产目录、跨系统业务串联、批次谱系及时间切片数据准备；确认确定性计算规则与复核；数据使用约定、场景准入、真实案例验证和运行移交。详见5.6.1。</w:t>
            </w:r>
          </w:p>
        </w:tc>
        <w:tc>
          <w:tcPr>
            <w:tcW w:w="1521" w:type="dxa"/>
            <w:shd w:val="clear" w:color="auto" w:fill="FFFFFF"/>
            <w:vAlign w:val="center"/>
          </w:tcPr>
          <w:p w14:paraId="7200033D">
            <w:pPr>
              <w:spacing w:before="0" w:after="0" w:line="240" w:lineRule="auto"/>
              <w:ind w:left="0" w:right="0" w:firstLine="0"/>
              <w:jc w:val="left"/>
            </w:pPr>
            <w:r>
              <w:rPr>
                <w:rFonts w:ascii="宋体" w:hAnsi="宋体" w:eastAsia="宋体" w:cs="宋体"/>
                <w:b w:val="0"/>
                <w:color w:val="000000"/>
                <w:sz w:val="18"/>
              </w:rPr>
              <w:t>各场景确认的数据需求、权威来源、业务签认结果和数据问题处理记录</w:t>
            </w:r>
          </w:p>
        </w:tc>
        <w:tc>
          <w:tcPr>
            <w:tcW w:w="1020" w:type="dxa"/>
            <w:shd w:val="clear" w:color="auto" w:fill="FFFFFF"/>
            <w:vAlign w:val="center"/>
          </w:tcPr>
          <w:p w14:paraId="7200033E">
            <w:pPr>
              <w:spacing w:before="0" w:after="0" w:line="240" w:lineRule="auto"/>
              <w:ind w:left="0" w:right="0" w:firstLine="0"/>
              <w:jc w:val="left"/>
            </w:pPr>
            <w:r>
              <w:rPr>
                <w:rFonts w:ascii="宋体" w:hAnsi="宋体" w:eastAsia="宋体" w:cs="宋体"/>
                <w:b w:val="0"/>
                <w:color w:val="000000"/>
                <w:sz w:val="18"/>
              </w:rPr>
              <w:t>全部场景使用的治理成果、资产目录与数据准备清单；核算结果、验证及移交记录</w:t>
            </w:r>
          </w:p>
        </w:tc>
        <w:tc>
          <w:tcPr>
            <w:tcW w:w="1102" w:type="dxa"/>
            <w:shd w:val="clear" w:color="auto" w:fill="FFFFFF"/>
            <w:vAlign w:val="center"/>
          </w:tcPr>
          <w:p w14:paraId="7200033F">
            <w:pPr>
              <w:spacing w:before="0" w:after="0" w:line="240" w:lineRule="auto"/>
              <w:ind w:left="0" w:right="0" w:firstLine="0"/>
              <w:jc w:val="left"/>
            </w:pPr>
            <w:r>
              <w:rPr>
                <w:rFonts w:ascii="宋体" w:hAnsi="宋体" w:eastAsia="宋体" w:cs="宋体"/>
                <w:b w:val="0"/>
                <w:color w:val="000000"/>
                <w:sz w:val="18"/>
              </w:rPr>
              <w:t>全部角色（间接）、数据管理员</w:t>
            </w:r>
          </w:p>
        </w:tc>
      </w:tr>
    </w:tbl>
    <w:p w14:paraId="607AC1BF">
      <w:pPr>
        <w:pStyle w:val="4"/>
        <w:snapToGrid w:val="0"/>
      </w:pPr>
      <w:bookmarkStart w:id="49" w:name="s5_1_3"/>
      <w:r>
        <w:rPr>
          <w:rFonts w:ascii="黑体" w:hAnsi="黑体" w:eastAsia="黑体" w:cs="黑体"/>
          <w:b/>
          <w:color w:val="000000"/>
        </w:rPr>
        <w:t>5.1.3　用户角色与功能权限</w:t>
      </w:r>
      <w:bookmarkEnd w:id="49"/>
    </w:p>
    <w:p w14:paraId="239B05D5">
      <w:pPr>
        <w:pStyle w:val="15"/>
        <w:snapToGrid w:val="0"/>
        <w:jc w:val="center"/>
      </w:pPr>
      <w:r>
        <w:t>表5-2　用户角色与使用能力</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016"/>
        <w:gridCol w:w="4032"/>
        <w:gridCol w:w="3024"/>
      </w:tblGrid>
      <w:tr w14:paraId="59E0699A">
        <w:trPr>
          <w:cantSplit/>
          <w:tblHeader/>
        </w:trPr>
        <w:tc>
          <w:tcPr>
            <w:tcW w:w="2016" w:type="dxa"/>
            <w:vAlign w:val="center"/>
          </w:tcPr>
          <w:p w14:paraId="13A273F4">
            <w:pPr>
              <w:pStyle w:val="14"/>
              <w:snapToGrid w:val="0"/>
              <w:jc w:val="center"/>
            </w:pPr>
            <w:r>
              <w:rPr>
                <w:b/>
              </w:rPr>
              <w:t>业务角色</w:t>
            </w:r>
          </w:p>
        </w:tc>
        <w:tc>
          <w:tcPr>
            <w:tcW w:w="4032" w:type="dxa"/>
            <w:vAlign w:val="center"/>
          </w:tcPr>
          <w:p w14:paraId="5C0B0E9E">
            <w:pPr>
              <w:pStyle w:val="14"/>
              <w:snapToGrid w:val="0"/>
              <w:jc w:val="center"/>
            </w:pPr>
            <w:r>
              <w:rPr>
                <w:b/>
              </w:rPr>
              <w:t>主要使用能力</w:t>
            </w:r>
          </w:p>
        </w:tc>
        <w:tc>
          <w:tcPr>
            <w:tcW w:w="3024" w:type="dxa"/>
            <w:vAlign w:val="center"/>
          </w:tcPr>
          <w:p w14:paraId="7BD0572F">
            <w:pPr>
              <w:pStyle w:val="14"/>
              <w:snapToGrid w:val="0"/>
              <w:jc w:val="center"/>
            </w:pPr>
            <w:r>
              <w:rPr>
                <w:b/>
              </w:rPr>
              <w:t>可执行业务操作</w:t>
            </w:r>
          </w:p>
        </w:tc>
      </w:tr>
      <w:tr w14:paraId="66C9A354">
        <w:trPr>
          <w:cantSplit/>
        </w:trPr>
        <w:tc>
          <w:tcPr>
            <w:tcW w:w="2016" w:type="dxa"/>
            <w:vAlign w:val="center"/>
          </w:tcPr>
          <w:p w14:paraId="43A18EEC">
            <w:pPr>
              <w:pStyle w:val="14"/>
              <w:snapToGrid w:val="0"/>
              <w:jc w:val="center"/>
            </w:pPr>
            <w:r>
              <w:t>管理人员</w:t>
            </w:r>
          </w:p>
        </w:tc>
        <w:tc>
          <w:tcPr>
            <w:tcW w:w="4032" w:type="dxa"/>
            <w:vAlign w:val="center"/>
          </w:tcPr>
          <w:p w14:paraId="5F9A8A2A">
            <w:pPr>
              <w:pStyle w:val="14"/>
              <w:snapToGrid w:val="0"/>
              <w:jc w:val="left"/>
            </w:pPr>
            <w:r>
              <w:t>综合问数、成本能耗、异常及供应链结果</w:t>
            </w:r>
          </w:p>
        </w:tc>
        <w:tc>
          <w:tcPr>
            <w:tcW w:w="3024" w:type="dxa"/>
            <w:vAlign w:val="center"/>
          </w:tcPr>
          <w:p w14:paraId="66E2ECA5">
            <w:pPr>
              <w:pStyle w:val="14"/>
              <w:snapToGrid w:val="0"/>
              <w:jc w:val="left"/>
            </w:pPr>
            <w:r>
              <w:t>查询、查看报告、追问与授权导出</w:t>
            </w:r>
          </w:p>
        </w:tc>
      </w:tr>
      <w:tr w14:paraId="07DB0A5E">
        <w:trPr>
          <w:cantSplit/>
        </w:trPr>
        <w:tc>
          <w:tcPr>
            <w:tcW w:w="2016" w:type="dxa"/>
            <w:vAlign w:val="center"/>
          </w:tcPr>
          <w:p w14:paraId="721A81F2">
            <w:pPr>
              <w:pStyle w:val="14"/>
              <w:snapToGrid w:val="0"/>
              <w:jc w:val="center"/>
            </w:pPr>
            <w:r>
              <w:t>工艺及生产人员</w:t>
            </w:r>
          </w:p>
        </w:tc>
        <w:tc>
          <w:tcPr>
            <w:tcW w:w="4032" w:type="dxa"/>
            <w:vAlign w:val="center"/>
          </w:tcPr>
          <w:p w14:paraId="461181A6">
            <w:pPr>
              <w:pStyle w:val="14"/>
              <w:snapToGrid w:val="0"/>
              <w:jc w:val="left"/>
            </w:pPr>
            <w:r>
              <w:t>工况诊断、参数方案和工艺风险知识</w:t>
            </w:r>
          </w:p>
        </w:tc>
        <w:tc>
          <w:tcPr>
            <w:tcW w:w="3024" w:type="dxa"/>
            <w:vAlign w:val="center"/>
          </w:tcPr>
          <w:p w14:paraId="7F348325">
            <w:pPr>
              <w:pStyle w:val="14"/>
              <w:snapToGrid w:val="0"/>
              <w:jc w:val="left"/>
            </w:pPr>
            <w:r>
              <w:t>查看依据、确认方案和处置反馈</w:t>
            </w:r>
          </w:p>
        </w:tc>
      </w:tr>
      <w:tr w14:paraId="759BCB53">
        <w:trPr>
          <w:cantSplit/>
        </w:trPr>
        <w:tc>
          <w:tcPr>
            <w:tcW w:w="2016" w:type="dxa"/>
            <w:vAlign w:val="center"/>
          </w:tcPr>
          <w:p w14:paraId="0E159444">
            <w:pPr>
              <w:pStyle w:val="14"/>
              <w:snapToGrid w:val="0"/>
              <w:jc w:val="center"/>
            </w:pPr>
            <w:r>
              <w:t>质量人员</w:t>
            </w:r>
          </w:p>
        </w:tc>
        <w:tc>
          <w:tcPr>
            <w:tcW w:w="4032" w:type="dxa"/>
            <w:vAlign w:val="center"/>
          </w:tcPr>
          <w:p w14:paraId="1CE8FF54">
            <w:pPr>
              <w:pStyle w:val="14"/>
              <w:snapToGrid w:val="0"/>
              <w:jc w:val="left"/>
            </w:pPr>
            <w:r>
              <w:t>质量根因、批次追溯、检验及质量知识</w:t>
            </w:r>
          </w:p>
        </w:tc>
        <w:tc>
          <w:tcPr>
            <w:tcW w:w="3024" w:type="dxa"/>
            <w:vAlign w:val="center"/>
          </w:tcPr>
          <w:p w14:paraId="1ADB5D84">
            <w:pPr>
              <w:pStyle w:val="14"/>
              <w:snapToGrid w:val="0"/>
              <w:jc w:val="left"/>
            </w:pPr>
            <w:r>
              <w:t>查询批次、复核根因、查看影响对象</w:t>
            </w:r>
          </w:p>
        </w:tc>
      </w:tr>
      <w:tr w14:paraId="272F48DA">
        <w:trPr>
          <w:cantSplit/>
        </w:trPr>
        <w:tc>
          <w:tcPr>
            <w:tcW w:w="2016" w:type="dxa"/>
            <w:vAlign w:val="center"/>
          </w:tcPr>
          <w:p w14:paraId="35515A11">
            <w:pPr>
              <w:pStyle w:val="14"/>
              <w:snapToGrid w:val="0"/>
              <w:jc w:val="center"/>
            </w:pPr>
            <w:r>
              <w:t>设备人员</w:t>
            </w:r>
          </w:p>
        </w:tc>
        <w:tc>
          <w:tcPr>
            <w:tcW w:w="4032" w:type="dxa"/>
            <w:vAlign w:val="center"/>
          </w:tcPr>
          <w:p w14:paraId="5727C397">
            <w:pPr>
              <w:pStyle w:val="14"/>
              <w:snapToGrid w:val="0"/>
              <w:jc w:val="left"/>
            </w:pPr>
            <w:r>
              <w:t>动设备预警、档案、检修及风险知识</w:t>
            </w:r>
          </w:p>
        </w:tc>
        <w:tc>
          <w:tcPr>
            <w:tcW w:w="3024" w:type="dxa"/>
            <w:vAlign w:val="center"/>
          </w:tcPr>
          <w:p w14:paraId="66B12ECA">
            <w:pPr>
              <w:pStyle w:val="14"/>
              <w:snapToGrid w:val="0"/>
              <w:jc w:val="left"/>
            </w:pPr>
            <w:r>
              <w:t>分析预警、查看维修备件、反馈处置</w:t>
            </w:r>
          </w:p>
        </w:tc>
      </w:tr>
      <w:tr w14:paraId="2E662D80">
        <w:trPr>
          <w:cantSplit/>
        </w:trPr>
        <w:tc>
          <w:tcPr>
            <w:tcW w:w="2016" w:type="dxa"/>
            <w:vAlign w:val="center"/>
          </w:tcPr>
          <w:p w14:paraId="42A14537">
            <w:pPr>
              <w:pStyle w:val="14"/>
              <w:snapToGrid w:val="0"/>
              <w:jc w:val="center"/>
            </w:pPr>
            <w:r>
              <w:t>能源与供应链人员</w:t>
            </w:r>
          </w:p>
        </w:tc>
        <w:tc>
          <w:tcPr>
            <w:tcW w:w="4032" w:type="dxa"/>
            <w:vAlign w:val="center"/>
          </w:tcPr>
          <w:p w14:paraId="2A28B792">
            <w:pPr>
              <w:pStyle w:val="14"/>
              <w:snapToGrid w:val="0"/>
              <w:jc w:val="left"/>
            </w:pPr>
            <w:r>
              <w:t>能源分析、库存发运和供应链结果</w:t>
            </w:r>
          </w:p>
        </w:tc>
        <w:tc>
          <w:tcPr>
            <w:tcW w:w="3024" w:type="dxa"/>
            <w:vAlign w:val="center"/>
          </w:tcPr>
          <w:p w14:paraId="5EA413E3">
            <w:pPr>
              <w:pStyle w:val="14"/>
              <w:snapToGrid w:val="0"/>
              <w:jc w:val="left"/>
            </w:pPr>
            <w:r>
              <w:t>分析异常、查看计划建议和候选方案</w:t>
            </w:r>
          </w:p>
        </w:tc>
      </w:tr>
      <w:tr w14:paraId="752FAF5C">
        <w:trPr>
          <w:cantSplit/>
        </w:trPr>
        <w:tc>
          <w:tcPr>
            <w:tcW w:w="2016" w:type="dxa"/>
            <w:vAlign w:val="center"/>
          </w:tcPr>
          <w:p w14:paraId="797CC4FC">
            <w:pPr>
              <w:pStyle w:val="14"/>
              <w:snapToGrid w:val="0"/>
              <w:jc w:val="center"/>
            </w:pPr>
            <w:r>
              <w:t>知识与运营人员</w:t>
            </w:r>
          </w:p>
        </w:tc>
        <w:tc>
          <w:tcPr>
            <w:tcW w:w="4032" w:type="dxa"/>
            <w:vAlign w:val="center"/>
          </w:tcPr>
          <w:p w14:paraId="6537521F">
            <w:pPr>
              <w:pStyle w:val="14"/>
              <w:snapToGrid w:val="0"/>
              <w:jc w:val="left"/>
            </w:pPr>
            <w:r>
              <w:t>知识维护、评估集、任务记录和运行管理</w:t>
            </w:r>
          </w:p>
        </w:tc>
        <w:tc>
          <w:tcPr>
            <w:tcW w:w="3024" w:type="dxa"/>
            <w:vAlign w:val="center"/>
          </w:tcPr>
          <w:p w14:paraId="10AE0FDE">
            <w:pPr>
              <w:pStyle w:val="14"/>
              <w:snapToGrid w:val="0"/>
              <w:jc w:val="left"/>
            </w:pPr>
            <w:r>
              <w:t>审核维护、问题定位、发布验证与运营</w:t>
            </w:r>
          </w:p>
        </w:tc>
      </w:tr>
      <w:tr w14:paraId="01833E83">
        <w:trPr>
          <w:cantSplit/>
        </w:trPr>
        <w:tc>
          <w:tcPr>
            <w:tcW w:w="2016" w:type="dxa"/>
            <w:vAlign w:val="center"/>
          </w:tcPr>
          <w:p w14:paraId="60136890">
            <w:pPr>
              <w:pStyle w:val="14"/>
              <w:snapToGrid w:val="0"/>
              <w:jc w:val="center"/>
            </w:pPr>
            <w:r>
              <w:t>访客与新员工</w:t>
            </w:r>
          </w:p>
        </w:tc>
        <w:tc>
          <w:tcPr>
            <w:tcW w:w="4032" w:type="dxa"/>
            <w:vAlign w:val="center"/>
          </w:tcPr>
          <w:p w14:paraId="5AF69EA7">
            <w:pPr>
              <w:pStyle w:val="14"/>
              <w:snapToGrid w:val="0"/>
              <w:jc w:val="left"/>
            </w:pPr>
            <w:r>
              <w:t>公开知识、参观及入职信息、数字人问答</w:t>
            </w:r>
          </w:p>
        </w:tc>
        <w:tc>
          <w:tcPr>
            <w:tcW w:w="3024" w:type="dxa"/>
            <w:vAlign w:val="center"/>
          </w:tcPr>
          <w:p w14:paraId="778F30D9">
            <w:pPr>
              <w:pStyle w:val="14"/>
              <w:snapToGrid w:val="0"/>
              <w:jc w:val="left"/>
            </w:pPr>
            <w:r>
              <w:t>公开资料问答与语音交互</w:t>
            </w:r>
          </w:p>
        </w:tc>
      </w:tr>
      <w:tr w14:paraId="651B0B1C">
        <w:trPr>
          <w:cantSplit/>
        </w:trPr>
        <w:tc>
          <w:tcPr>
            <w:tcW w:w="2016" w:type="dxa"/>
            <w:vAlign w:val="center"/>
          </w:tcPr>
          <w:p w14:paraId="7C46064B">
            <w:pPr>
              <w:pStyle w:val="14"/>
              <w:snapToGrid w:val="0"/>
              <w:jc w:val="center"/>
            </w:pPr>
            <w:r>
              <w:t>审计人员</w:t>
            </w:r>
          </w:p>
        </w:tc>
        <w:tc>
          <w:tcPr>
            <w:tcW w:w="4032" w:type="dxa"/>
            <w:vAlign w:val="center"/>
          </w:tcPr>
          <w:p w14:paraId="09BD9F12">
            <w:pPr>
              <w:pStyle w:val="14"/>
              <w:snapToGrid w:val="0"/>
              <w:jc w:val="left"/>
            </w:pPr>
            <w:r>
              <w:t>访问、导出、越权及权限变更审计</w:t>
            </w:r>
          </w:p>
        </w:tc>
        <w:tc>
          <w:tcPr>
            <w:tcW w:w="3024" w:type="dxa"/>
            <w:vAlign w:val="center"/>
          </w:tcPr>
          <w:p w14:paraId="4D6B3592">
            <w:pPr>
              <w:pStyle w:val="14"/>
              <w:snapToGrid w:val="0"/>
              <w:jc w:val="left"/>
            </w:pPr>
            <w:r>
              <w:t>按流程查询审计记录和核查留痕</w:t>
            </w:r>
          </w:p>
        </w:tc>
      </w:tr>
    </w:tbl>
    <w:p w14:paraId="02B36CC3">
      <w:pPr>
        <w:pStyle w:val="12"/>
        <w:snapToGrid w:val="0"/>
        <w:spacing w:after="25"/>
      </w:pPr>
    </w:p>
    <w:p w14:paraId="3706F1C6">
      <w:pPr>
        <w:pStyle w:val="4"/>
        <w:snapToGrid w:val="0"/>
      </w:pPr>
      <w:bookmarkStart w:id="50" w:name="s5_1_4"/>
      <w:r>
        <w:rPr>
          <w:rFonts w:ascii="黑体" w:hAnsi="黑体" w:eastAsia="黑体" w:cs="黑体"/>
          <w:b/>
          <w:color w:val="000000"/>
        </w:rPr>
        <w:t>5.1.4　功能协同与业务衔接</w:t>
      </w:r>
      <w:bookmarkEnd w:id="50"/>
    </w:p>
    <w:p w14:paraId="24B517DD">
      <w:pPr>
        <w:ind w:firstLineChars="200"/>
        <w:rPr>
          <w:rFonts w:ascii="宋体" w:hAnsi="宋体" w:eastAsia="宋体"/>
          <w:b w:val="0"/>
          <w:color w:val="auto"/>
        </w:rPr>
      </w:pPr>
      <w:r>
        <w:rPr>
          <w:rFonts w:ascii="宋体" w:hAnsi="宋体" w:eastAsia="宋体"/>
          <w:b w:val="0"/>
          <w:color w:val="auto"/>
        </w:rPr>
        <w:t>平台按业务任务连接用户入口、分析能力、数据知识及运行反馈。跨场景任务由主智能体编排；专业工作台产生的事件、根因及处置记录同步形成可查询的业务结果；共用授权、版本和证据管理贯穿各模块。模块间关系见2.5，运行过程见第3章。</w:t>
      </w:r>
    </w:p>
    <w:p w14:paraId="70D858CD">
      <w:pPr>
        <w:pStyle w:val="3"/>
        <w:snapToGrid w:val="0"/>
      </w:pPr>
      <w:bookmarkStart w:id="51" w:name="s5_2"/>
      <w:r>
        <w:rPr>
          <w:rFonts w:ascii="黑体" w:hAnsi="黑体" w:eastAsia="黑体" w:cs="黑体"/>
          <w:b/>
          <w:color w:val="000000"/>
        </w:rPr>
        <w:t>5.2　平台门户</w:t>
      </w:r>
      <w:bookmarkEnd w:id="51"/>
    </w:p>
    <w:p w14:paraId="0125391F">
      <w:pPr>
        <w:pStyle w:val="4"/>
        <w:snapToGrid w:val="0"/>
      </w:pPr>
      <w:bookmarkStart w:id="52" w:name="s5_2_1"/>
      <w:r>
        <w:rPr>
          <w:rFonts w:ascii="黑体" w:hAnsi="黑体" w:eastAsia="黑体" w:cs="黑体"/>
          <w:b/>
          <w:color w:val="000000"/>
        </w:rPr>
        <w:t>5.2.1　用户交互</w:t>
      </w:r>
      <w:bookmarkEnd w:id="52"/>
    </w:p>
    <w:p w14:paraId="70CC1852">
      <w:pPr>
        <w:ind w:firstLineChars="200"/>
        <w:rPr>
          <w:rFonts w:ascii="宋体" w:hAnsi="宋体" w:eastAsia="宋体"/>
          <w:b w:val="0"/>
          <w:color w:val="auto"/>
        </w:rPr>
      </w:pPr>
      <w:r>
        <w:rPr>
          <w:rFonts w:ascii="宋体" w:hAnsi="宋体" w:eastAsia="宋体"/>
          <w:b w:val="0"/>
          <w:color w:val="auto"/>
        </w:rPr>
        <w:t>平台提供统一自然语言入口，支持业务问题输入、多轮追问、对象与时间澄清、历史会话续接、常用问题及报告查看。回答根据业务内容呈现文字、趋势图、对比表和分析报告，并附来源、统计口径及数据截止时间。</w:t>
      </w:r>
    </w:p>
    <w:p w14:paraId="16089794">
      <w:pPr>
        <w:pStyle w:val="15"/>
        <w:snapToGrid w:val="0"/>
        <w:jc w:val="center"/>
      </w:pPr>
      <w:r>
        <w:t>表5-3　用户交互建设内容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814"/>
        <w:gridCol w:w="4737"/>
        <w:gridCol w:w="2521"/>
      </w:tblGrid>
      <w:tr w14:paraId="68984B48">
        <w:trPr>
          <w:cantSplit/>
          <w:tblHeader/>
        </w:trPr>
        <w:tc>
          <w:tcPr>
            <w:tcW w:w="1814" w:type="dxa"/>
            <w:vAlign w:val="center"/>
          </w:tcPr>
          <w:p w14:paraId="7BEA7170">
            <w:pPr>
              <w:pStyle w:val="14"/>
              <w:snapToGrid w:val="0"/>
              <w:jc w:val="center"/>
            </w:pPr>
            <w:r>
              <w:rPr>
                <w:b/>
              </w:rPr>
              <w:t>交互功能</w:t>
            </w:r>
          </w:p>
        </w:tc>
        <w:tc>
          <w:tcPr>
            <w:tcW w:w="4737" w:type="dxa"/>
            <w:vAlign w:val="center"/>
          </w:tcPr>
          <w:p w14:paraId="365C03B3">
            <w:pPr>
              <w:pStyle w:val="14"/>
              <w:snapToGrid w:val="0"/>
              <w:jc w:val="center"/>
            </w:pPr>
            <w:r>
              <w:rPr>
                <w:b/>
              </w:rPr>
              <w:t>建设内容</w:t>
            </w:r>
          </w:p>
        </w:tc>
        <w:tc>
          <w:tcPr>
            <w:tcW w:w="2521" w:type="dxa"/>
            <w:vAlign w:val="center"/>
          </w:tcPr>
          <w:p w14:paraId="1EEAAEAC">
            <w:pPr>
              <w:pStyle w:val="14"/>
              <w:snapToGrid w:val="0"/>
              <w:jc w:val="center"/>
            </w:pPr>
            <w:r>
              <w:rPr>
                <w:b/>
              </w:rPr>
              <w:t>用户获得的结果</w:t>
            </w:r>
          </w:p>
        </w:tc>
      </w:tr>
      <w:tr w14:paraId="4D4FAA2A">
        <w:trPr>
          <w:cantSplit/>
        </w:trPr>
        <w:tc>
          <w:tcPr>
            <w:tcW w:w="1814" w:type="dxa"/>
            <w:vAlign w:val="center"/>
          </w:tcPr>
          <w:p w14:paraId="269FF920">
            <w:pPr>
              <w:pStyle w:val="14"/>
              <w:snapToGrid w:val="0"/>
              <w:jc w:val="left"/>
            </w:pPr>
            <w:r>
              <w:t>业务提问与澄清</w:t>
            </w:r>
          </w:p>
        </w:tc>
        <w:tc>
          <w:tcPr>
            <w:tcW w:w="4737" w:type="dxa"/>
            <w:vAlign w:val="center"/>
          </w:tcPr>
          <w:p w14:paraId="0928E272">
            <w:pPr>
              <w:pStyle w:val="14"/>
              <w:snapToGrid w:val="0"/>
              <w:jc w:val="left"/>
            </w:pPr>
            <w:r>
              <w:t>识别现场称呼、对象、指标及时间，保留会话上下文</w:t>
            </w:r>
          </w:p>
        </w:tc>
        <w:tc>
          <w:tcPr>
            <w:tcW w:w="2521" w:type="dxa"/>
            <w:vAlign w:val="center"/>
          </w:tcPr>
          <w:p w14:paraId="4586CCA0">
            <w:pPr>
              <w:pStyle w:val="14"/>
              <w:snapToGrid w:val="0"/>
              <w:jc w:val="left"/>
            </w:pPr>
            <w:r>
              <w:t>明确的业务问题和查询条件</w:t>
            </w:r>
          </w:p>
        </w:tc>
      </w:tr>
      <w:tr w14:paraId="5E15F855">
        <w:trPr>
          <w:cantSplit/>
        </w:trPr>
        <w:tc>
          <w:tcPr>
            <w:tcW w:w="1814" w:type="dxa"/>
            <w:vAlign w:val="center"/>
          </w:tcPr>
          <w:p w14:paraId="631525B3">
            <w:pPr>
              <w:pStyle w:val="14"/>
              <w:snapToGrid w:val="0"/>
              <w:jc w:val="center"/>
            </w:pPr>
            <w:r>
              <w:t>图表与报告</w:t>
            </w:r>
          </w:p>
        </w:tc>
        <w:tc>
          <w:tcPr>
            <w:tcW w:w="4737" w:type="dxa"/>
            <w:vAlign w:val="center"/>
          </w:tcPr>
          <w:p w14:paraId="5BB234FC">
            <w:pPr>
              <w:pStyle w:val="14"/>
              <w:snapToGrid w:val="0"/>
              <w:jc w:val="left"/>
            </w:pPr>
            <w:r>
              <w:t>按趋势、对比、构成及关联展示结果，支持证据展开</w:t>
            </w:r>
          </w:p>
        </w:tc>
        <w:tc>
          <w:tcPr>
            <w:tcW w:w="2521" w:type="dxa"/>
            <w:vAlign w:val="center"/>
          </w:tcPr>
          <w:p w14:paraId="1FFD8DBB">
            <w:pPr>
              <w:pStyle w:val="14"/>
              <w:snapToGrid w:val="0"/>
              <w:jc w:val="left"/>
            </w:pPr>
            <w:r>
              <w:t>可阅读、可追问的结果</w:t>
            </w:r>
          </w:p>
        </w:tc>
      </w:tr>
      <w:tr w14:paraId="3F306096">
        <w:trPr>
          <w:cantSplit/>
        </w:trPr>
        <w:tc>
          <w:tcPr>
            <w:tcW w:w="1814" w:type="dxa"/>
            <w:vAlign w:val="center"/>
          </w:tcPr>
          <w:p w14:paraId="406B780B">
            <w:pPr>
              <w:pStyle w:val="14"/>
              <w:snapToGrid w:val="0"/>
              <w:jc w:val="center"/>
            </w:pPr>
            <w:r>
              <w:t>历史与订阅</w:t>
            </w:r>
          </w:p>
        </w:tc>
        <w:tc>
          <w:tcPr>
            <w:tcW w:w="4737" w:type="dxa"/>
            <w:vAlign w:val="center"/>
          </w:tcPr>
          <w:p w14:paraId="6C501340">
            <w:pPr>
              <w:pStyle w:val="14"/>
              <w:snapToGrid w:val="0"/>
              <w:jc w:val="left"/>
            </w:pPr>
            <w:r>
              <w:t>维护个人会话、常用问题、事件订阅和报告收件箱</w:t>
            </w:r>
          </w:p>
        </w:tc>
        <w:tc>
          <w:tcPr>
            <w:tcW w:w="2521" w:type="dxa"/>
            <w:vAlign w:val="center"/>
          </w:tcPr>
          <w:p w14:paraId="6AA24F86">
            <w:pPr>
              <w:pStyle w:val="14"/>
              <w:snapToGrid w:val="0"/>
              <w:jc w:val="left"/>
            </w:pPr>
            <w:r>
              <w:t>连续使用记录与业务通知</w:t>
            </w:r>
          </w:p>
        </w:tc>
      </w:tr>
      <w:tr w14:paraId="7D7068C4">
        <w:trPr>
          <w:cantSplit/>
        </w:trPr>
        <w:tc>
          <w:tcPr>
            <w:tcW w:w="1814" w:type="dxa"/>
            <w:vAlign w:val="center"/>
          </w:tcPr>
          <w:p w14:paraId="6D2C8B6F">
            <w:pPr>
              <w:pStyle w:val="14"/>
              <w:snapToGrid w:val="0"/>
              <w:jc w:val="center"/>
            </w:pPr>
            <w:r>
              <w:t>导出与反馈</w:t>
            </w:r>
          </w:p>
        </w:tc>
        <w:tc>
          <w:tcPr>
            <w:tcW w:w="4737" w:type="dxa"/>
            <w:vAlign w:val="center"/>
          </w:tcPr>
          <w:p w14:paraId="524EA16C">
            <w:pPr>
              <w:pStyle w:val="14"/>
              <w:snapToGrid w:val="0"/>
              <w:jc w:val="left"/>
            </w:pPr>
            <w:r>
              <w:t>提供授权范围内的报告、明细导出及结果反馈</w:t>
            </w:r>
          </w:p>
        </w:tc>
        <w:tc>
          <w:tcPr>
            <w:tcW w:w="2521" w:type="dxa"/>
            <w:vAlign w:val="center"/>
          </w:tcPr>
          <w:p w14:paraId="2B96C8DA">
            <w:pPr>
              <w:pStyle w:val="14"/>
              <w:snapToGrid w:val="0"/>
              <w:jc w:val="left"/>
            </w:pPr>
            <w:r>
              <w:t>可复核材料及问题处理记录</w:t>
            </w:r>
          </w:p>
        </w:tc>
      </w:tr>
    </w:tbl>
    <w:p w14:paraId="1A3045C8">
      <w:pPr>
        <w:pStyle w:val="12"/>
        <w:snapToGrid w:val="0"/>
        <w:spacing w:after="25"/>
      </w:pPr>
    </w:p>
    <w:p w14:paraId="2BCF6252">
      <w:pPr>
        <w:pStyle w:val="4"/>
        <w:snapToGrid w:val="0"/>
      </w:pPr>
      <w:bookmarkStart w:id="53" w:name="s5_2_2"/>
      <w:r>
        <w:rPr>
          <w:rFonts w:ascii="黑体" w:hAnsi="黑体" w:eastAsia="黑体" w:cs="黑体"/>
          <w:b/>
          <w:color w:val="000000"/>
        </w:rPr>
        <w:t>5.2.2　统一入口与结果展示</w:t>
      </w:r>
      <w:bookmarkEnd w:id="53"/>
    </w:p>
    <w:p w14:paraId="1866DBBE">
      <w:pPr>
        <w:ind w:firstLineChars="200"/>
        <w:rPr>
          <w:rFonts w:ascii="宋体" w:hAnsi="宋体" w:eastAsia="宋体"/>
          <w:b w:val="0"/>
          <w:color w:val="auto"/>
        </w:rPr>
      </w:pPr>
      <w:r>
        <w:rPr>
          <w:rFonts w:ascii="宋体" w:hAnsi="宋体" w:eastAsia="宋体"/>
          <w:b w:val="0"/>
          <w:color w:val="auto"/>
        </w:rPr>
        <w:t>门户将对话、报告、预警消息与专业应用入口组织在同一使用路径中。用户可从异常消息打开诊断结果，查看关联数据和处置情况，继续围绕该对象问答。专业工作台按业务需要展示DCS侧高级报警提供的数据与状态，并保留质量、工况、风险及知识维护视图。</w:t>
      </w:r>
    </w:p>
    <w:p w14:paraId="70EE001A">
      <w:pPr>
        <w:pStyle w:val="4"/>
        <w:snapToGrid w:val="0"/>
      </w:pPr>
      <w:bookmarkStart w:id="54" w:name="s5_2_3"/>
      <w:r>
        <w:rPr>
          <w:rFonts w:ascii="黑体" w:hAnsi="黑体" w:eastAsia="黑体" w:cs="黑体"/>
          <w:b/>
          <w:color w:val="000000"/>
        </w:rPr>
        <w:t>5.2.3　对话工作台</w:t>
      </w:r>
      <w:bookmarkEnd w:id="54"/>
    </w:p>
    <w:p w14:paraId="70EE001B">
      <w:pPr>
        <w:ind w:firstLineChars="200"/>
        <w:rPr>
          <w:rFonts w:ascii="宋体" w:hAnsi="宋体" w:eastAsia="宋体"/>
          <w:b w:val="0"/>
          <w:color w:val="auto"/>
        </w:rPr>
      </w:pPr>
      <w:r>
        <w:rPr>
          <w:rFonts w:ascii="宋体" w:hAnsi="宋体" w:eastAsia="宋体"/>
          <w:b w:val="0"/>
          <w:color w:val="auto"/>
        </w:rPr>
        <w:t>对话工作台提供统一的文字对话入口，各业务场景共用对话界面。用户通过自然语言提出问题，支持多轮追问和上下文续接，回答以流式方式呈现；提供常用问题快速点选，帮助用户了解可查询的业务内容。</w:t>
      </w:r>
    </w:p>
    <w:p w14:paraId="70EE001C">
      <w:pPr>
        <w:ind w:firstLineChars="200"/>
        <w:rPr>
          <w:rFonts w:ascii="宋体" w:hAnsi="宋体" w:eastAsia="宋体"/>
          <w:b w:val="0"/>
          <w:color w:val="auto"/>
        </w:rPr>
      </w:pPr>
      <w:r>
        <w:rPr>
          <w:rFonts w:ascii="宋体" w:hAnsi="宋体" w:eastAsia="宋体"/>
          <w:b w:val="0"/>
          <w:color w:val="auto"/>
        </w:rPr>
        <w:t>针对查询结果提供趋势、对比、构成三类即席图表，保留实际数值与统计口径。用户可按角色权限展开执行过程，查看答案形成依据和引用来源，并导出带来源标注的报告；会话内图表和报告随会话归档。</w:t>
      </w:r>
    </w:p>
    <w:p w14:paraId="70EE001D">
      <w:pPr>
        <w:ind w:firstLineChars="200"/>
        <w:rPr>
          <w:rFonts w:ascii="宋体" w:hAnsi="宋体" w:eastAsia="宋体"/>
          <w:b w:val="0"/>
          <w:color w:val="auto"/>
        </w:rPr>
      </w:pPr>
      <w:r>
        <w:rPr>
          <w:rFonts w:ascii="宋体" w:hAnsi="宋体" w:eastAsia="宋体"/>
          <w:b w:val="0"/>
          <w:color w:val="auto"/>
        </w:rPr>
        <w:t>对耗时较长的分析任务，在会话内展示执行进展；超过配置的等待时长后，任务继续执行，完成结果归档至原会话并提示用户，用户可通过历史会话查看。</w:t>
      </w:r>
    </w:p>
    <w:p w14:paraId="6969BBDE">
      <w:pPr>
        <w:keepNext/>
        <w:keepLines/>
        <w:snapToGrid w:val="0"/>
        <w:spacing w:before="100" w:after="80" w:line="240" w:lineRule="auto"/>
        <w:ind w:left="0" w:leftChars="0" w:right="0" w:rightChars="0" w:firstLine="0" w:firstLineChars="0"/>
        <w:jc w:val="left"/>
        <w:rPr>
          <w:rFonts w:hint="default"/>
          <w:lang w:val="en-US" w:eastAsia="zh-CN"/>
        </w:rPr>
      </w:pPr>
      <w:r>
        <w:rPr>
          <w:rFonts w:hint="eastAsia"/>
          <w:b w:val="0"/>
          <w:sz w:val="22"/>
          <w:szCs w:val="22"/>
          <w:lang w:val="en-US" w:eastAsia="zh-CN"/>
        </w:rPr>
        <w:t>（一）PC端</w:t>
      </w:r>
    </w:p>
    <w:p w14:paraId="29751843">
      <w:pPr>
        <w:keepNext/>
        <w:keepLines/>
        <w:snapToGrid w:val="0"/>
        <w:spacing w:before="40" w:after="120" w:line="240" w:lineRule="auto"/>
        <w:ind w:left="0" w:leftChars="0" w:right="0" w:rightChars="0" w:firstLine="0" w:firstLineChars="0"/>
        <w:jc w:val="center"/>
      </w:pPr>
      <w:r>
        <w:drawing>
          <wp:inline distT="0" distB="0" distL="114300" distR="114300">
            <wp:extent cx="5723890" cy="3259455"/>
            <wp:effectExtent l="0" t="0" r="16510" b="1714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32"/>
                    <a:stretch>
                      <a:fillRect/>
                    </a:stretch>
                  </pic:blipFill>
                  <pic:spPr>
                    <a:xfrm>
                      <a:off x="0" y="0"/>
                      <a:ext cx="5724000" cy="3259500"/>
                    </a:xfrm>
                    <a:prstGeom prst="rect">
                      <a:avLst/>
                    </a:prstGeom>
                    <a:noFill/>
                    <a:ln>
                      <a:noFill/>
                    </a:ln>
                  </pic:spPr>
                </pic:pic>
              </a:graphicData>
            </a:graphic>
          </wp:inline>
        </w:drawing>
      </w:r>
    </w:p>
    <w:p w14:paraId="720003CF">
      <w:pPr>
        <w:pStyle w:val="15"/>
        <w:keepNext w:val="0"/>
        <w:snapToGrid w:val="0"/>
        <w:jc w:val="center"/>
      </w:pPr>
      <w:r>
        <w:t>图5-2　对话工作台页面示意</w:t>
      </w:r>
    </w:p>
    <w:p w14:paraId="502A2F00">
      <w:pPr>
        <w:keepNext/>
        <w:keepLines/>
        <w:snapToGrid w:val="0"/>
        <w:spacing w:before="100" w:after="80" w:line="240" w:lineRule="auto"/>
        <w:ind w:left="0" w:leftChars="0" w:right="0" w:rightChars="0" w:firstLine="0" w:firstLineChars="0"/>
        <w:jc w:val="left"/>
        <w:rPr>
          <w:rFonts w:hint="eastAsia"/>
          <w:lang w:val="en-US" w:eastAsia="zh-CN"/>
        </w:rPr>
      </w:pPr>
      <w:r>
        <w:rPr>
          <w:rFonts w:hint="eastAsia"/>
          <w:b w:val="0"/>
          <w:sz w:val="22"/>
          <w:szCs w:val="22"/>
          <w:lang w:val="en-US" w:eastAsia="zh-CN"/>
        </w:rPr>
        <w:t>（二）H5端</w:t>
      </w:r>
    </w:p>
    <w:p w14:paraId="027555CF">
      <w:pPr>
        <w:keepNext/>
        <w:keepLines/>
        <w:snapToGrid w:val="0"/>
        <w:spacing w:before="40" w:after="120" w:line="240" w:lineRule="auto"/>
        <w:ind w:left="0" w:leftChars="0" w:right="0" w:rightChars="0" w:firstLine="0" w:firstLineChars="0"/>
        <w:jc w:val="center"/>
        <w:rPr>
          <w:rFonts w:hint="default"/>
          <w:lang w:val="en-US" w:eastAsia="zh-CN"/>
        </w:rPr>
      </w:pPr>
      <w:r>
        <w:drawing>
          <wp:inline distT="0" distB="0" distL="114300" distR="114300">
            <wp:extent cx="1826895" cy="3912870"/>
            <wp:effectExtent l="0" t="0" r="12065" b="254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3"/>
                    <a:stretch>
                      <a:fillRect/>
                    </a:stretch>
                  </pic:blipFill>
                  <pic:spPr>
                    <a:xfrm>
                      <a:off x="0" y="0"/>
                      <a:ext cx="1827360" cy="3913596"/>
                    </a:xfrm>
                    <a:prstGeom prst="rect">
                      <a:avLst/>
                    </a:prstGeom>
                    <a:noFill/>
                    <a:ln>
                      <a:noFill/>
                    </a:ln>
                  </pic:spPr>
                </pic:pic>
              </a:graphicData>
            </a:graphic>
          </wp:inline>
        </w:drawing>
      </w:r>
    </w:p>
    <w:p w14:paraId="720003D0">
      <w:pPr>
        <w:pStyle w:val="15"/>
        <w:keepNext w:val="0"/>
        <w:snapToGrid w:val="0"/>
        <w:jc w:val="center"/>
      </w:pPr>
      <w:r>
        <w:t>图5-3　对话工作台页面示意</w:t>
      </w:r>
    </w:p>
    <w:p w14:paraId="70EE001F">
      <w:pPr>
        <w:pStyle w:val="4"/>
        <w:snapToGrid w:val="0"/>
      </w:pPr>
      <w:bookmarkStart w:id="55" w:name="s5_2_4"/>
      <w:r>
        <w:rPr>
          <w:rFonts w:ascii="黑体" w:hAnsi="黑体" w:eastAsia="黑体" w:cs="黑体"/>
          <w:b/>
          <w:color w:val="000000"/>
        </w:rPr>
        <w:t>5.2.4　会话管理</w:t>
      </w:r>
      <w:bookmarkEnd w:id="55"/>
    </w:p>
    <w:p w14:paraId="70EE0020">
      <w:pPr>
        <w:ind w:firstLineChars="200"/>
        <w:rPr>
          <w:rFonts w:ascii="宋体" w:hAnsi="宋体" w:eastAsia="宋体"/>
          <w:b w:val="0"/>
          <w:color w:val="auto"/>
        </w:rPr>
      </w:pPr>
      <w:r>
        <w:rPr>
          <w:rFonts w:ascii="宋体" w:hAnsi="宋体" w:eastAsia="宋体"/>
          <w:b w:val="0"/>
          <w:color w:val="auto"/>
        </w:rPr>
        <w:t>按时间组织用户本人的历史会话，支持检索会话、查看详情并继续提问。归档内容包括提问、应答、来源标注以及会话内生成的报告，便于回看业务问题和分析依据。</w:t>
      </w:r>
    </w:p>
    <w:p w14:paraId="70EE0021">
      <w:pPr>
        <w:ind w:firstLineChars="200"/>
        <w:rPr>
          <w:rFonts w:ascii="宋体" w:hAnsi="宋体" w:eastAsia="宋体"/>
          <w:b w:val="0"/>
          <w:color w:val="auto"/>
        </w:rPr>
      </w:pPr>
      <w:r>
        <w:rPr>
          <w:rFonts w:ascii="宋体" w:hAnsi="宋体" w:eastAsia="宋体"/>
          <w:b w:val="0"/>
          <w:color w:val="auto"/>
        </w:rPr>
        <w:t>个人会话按本人身份提供查看和续接，保留多轮交流的上下文。长耗时分析完成后，用户可从原会话找回结果，继续围绕原有问题追问。</w:t>
      </w:r>
    </w:p>
    <w:p w14:paraId="70EE0023">
      <w:pPr>
        <w:pStyle w:val="4"/>
        <w:snapToGrid w:val="0"/>
      </w:pPr>
      <w:bookmarkStart w:id="56" w:name="s5_2_5"/>
      <w:r>
        <w:rPr>
          <w:rFonts w:ascii="黑体" w:hAnsi="黑体" w:eastAsia="黑体" w:cs="黑体"/>
          <w:b/>
          <w:color w:val="000000"/>
        </w:rPr>
        <w:t>5.2.5　事件订阅与推送管理</w:t>
      </w:r>
      <w:bookmarkEnd w:id="56"/>
    </w:p>
    <w:p w14:paraId="70EE0024">
      <w:pPr>
        <w:ind w:firstLineChars="200"/>
        <w:rPr>
          <w:rFonts w:ascii="宋体" w:hAnsi="宋体" w:eastAsia="宋体"/>
          <w:b w:val="0"/>
          <w:color w:val="auto"/>
        </w:rPr>
      </w:pPr>
      <w:r>
        <w:rPr>
          <w:rFonts w:ascii="宋体" w:hAnsi="宋体" w:eastAsia="宋体"/>
          <w:b w:val="0"/>
          <w:color w:val="auto"/>
        </w:rPr>
        <w:t>用户按事件类型和组织范围维护本人订阅，从已登记且符合业务授权的事件清单中选择订阅项，提交后按既定审核规则生效；取消订阅直接生效。订阅及消息查看范围与用户业务授权保持一致。</w:t>
      </w:r>
    </w:p>
    <w:p w14:paraId="70EE0025">
      <w:pPr>
        <w:ind w:firstLineChars="200"/>
        <w:rPr>
          <w:rFonts w:ascii="宋体" w:hAnsi="宋体" w:eastAsia="宋体"/>
          <w:b w:val="0"/>
          <w:color w:val="auto"/>
        </w:rPr>
      </w:pPr>
      <w:r>
        <w:rPr>
          <w:rFonts w:ascii="宋体" w:hAnsi="宋体" w:eastAsia="宋体"/>
          <w:b w:val="0"/>
          <w:color w:val="auto"/>
        </w:rPr>
        <w:t>预警卡通过移动端页面展示完整内容并支持已读回执，分析结果通过统一门户消息通道送达相关订阅用户和责任人。对同一对象短时间内的同源事件进行聚合，记录推送时间、接收对象、送达及已读状态；发送失败自动重试，超时未读按配置升级提醒。</w:t>
      </w:r>
    </w:p>
    <w:p w14:paraId="52ECC67C">
      <w:pPr>
        <w:keepNext/>
        <w:keepLines/>
        <w:snapToGrid w:val="0"/>
        <w:spacing w:before="40" w:after="120" w:line="240" w:lineRule="auto"/>
        <w:ind w:left="0" w:leftChars="0" w:right="0" w:rightChars="0" w:firstLine="0" w:firstLineChars="0"/>
        <w:jc w:val="center"/>
      </w:pPr>
      <w:r>
        <w:drawing>
          <wp:inline distT="0" distB="0" distL="114300" distR="114300">
            <wp:extent cx="5723890" cy="3259455"/>
            <wp:effectExtent l="0" t="0" r="16510" b="1714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4"/>
                    <a:stretch>
                      <a:fillRect/>
                    </a:stretch>
                  </pic:blipFill>
                  <pic:spPr>
                    <a:xfrm>
                      <a:off x="0" y="0"/>
                      <a:ext cx="5724000" cy="3259500"/>
                    </a:xfrm>
                    <a:prstGeom prst="rect">
                      <a:avLst/>
                    </a:prstGeom>
                    <a:noFill/>
                    <a:ln>
                      <a:noFill/>
                    </a:ln>
                  </pic:spPr>
                </pic:pic>
              </a:graphicData>
            </a:graphic>
          </wp:inline>
        </w:drawing>
      </w:r>
    </w:p>
    <w:p w14:paraId="720003D1">
      <w:pPr>
        <w:pStyle w:val="15"/>
        <w:keepNext w:val="0"/>
        <w:snapToGrid w:val="0"/>
        <w:jc w:val="center"/>
      </w:pPr>
      <w:r>
        <w:t>图5-4　订阅项管理页面示意</w:t>
      </w:r>
    </w:p>
    <w:p w14:paraId="70EE0027">
      <w:pPr>
        <w:pStyle w:val="4"/>
        <w:snapToGrid w:val="0"/>
      </w:pPr>
      <w:bookmarkStart w:id="57" w:name="s5_2_6"/>
      <w:r>
        <w:rPr>
          <w:rFonts w:ascii="黑体" w:hAnsi="黑体" w:eastAsia="黑体" w:cs="黑体"/>
          <w:b/>
          <w:color w:val="000000"/>
        </w:rPr>
        <w:t>5.2.6　报告收件箱与分析结论台账</w:t>
      </w:r>
      <w:bookmarkEnd w:id="57"/>
    </w:p>
    <w:p w14:paraId="70EE0028">
      <w:pPr>
        <w:ind w:firstLineChars="200"/>
        <w:rPr>
          <w:rFonts w:ascii="宋体" w:hAnsi="宋体" w:eastAsia="宋体"/>
          <w:b w:val="0"/>
          <w:color w:val="auto"/>
        </w:rPr>
      </w:pPr>
      <w:r>
        <w:rPr>
          <w:rFonts w:ascii="宋体" w:hAnsi="宋体" w:eastAsia="宋体"/>
          <w:b w:val="0"/>
          <w:color w:val="auto"/>
        </w:rPr>
        <w:t>订阅触发的分析报告在报告收件箱归档，并登记事件编号、分析对象、时间窗、偏差类型、结论分级和责任人确认状态。用户可按对象、时间范围及偏差类型检索历史结论，查看报告内容、来源依据和确认情况。</w:t>
      </w:r>
    </w:p>
    <w:p w14:paraId="70EE0029">
      <w:pPr>
        <w:ind w:firstLineChars="200"/>
        <w:rPr>
          <w:rFonts w:ascii="宋体" w:hAnsi="宋体" w:eastAsia="宋体"/>
          <w:b w:val="0"/>
          <w:color w:val="auto"/>
        </w:rPr>
      </w:pPr>
      <w:r>
        <w:rPr>
          <w:rFonts w:ascii="宋体" w:hAnsi="宋体" w:eastAsia="宋体"/>
          <w:b w:val="0"/>
          <w:color w:val="auto"/>
        </w:rPr>
        <w:t>报告详情支持携带事件编号继续提问，关联对应业务场景查询解释及明细。追问取数按用户本人身份和业务授权校验；查询同一对象与时间范围的既有结论时，保留原报告的来源和确认状态。</w:t>
      </w:r>
    </w:p>
    <w:p w14:paraId="70EE002A">
      <w:pPr>
        <w:ind w:firstLineChars="200"/>
        <w:rPr>
          <w:rFonts w:ascii="宋体" w:hAnsi="宋体" w:eastAsia="宋体"/>
          <w:b w:val="0"/>
          <w:color w:val="auto"/>
        </w:rPr>
      </w:pPr>
      <w:r>
        <w:rPr>
          <w:rFonts w:ascii="宋体" w:hAnsi="宋体" w:eastAsia="宋体"/>
          <w:b w:val="0"/>
          <w:color w:val="auto"/>
        </w:rPr>
        <w:t>指定责任人可选择结论确认或与实际不符，并补充实际原因；尚未确认时保留原报告及状态。报告查看、追问与确认记录相互关联，便于后续核对分析结论与现场实际情况。</w:t>
      </w:r>
    </w:p>
    <w:p w14:paraId="1E29014C">
      <w:pPr>
        <w:keepNext/>
        <w:keepLines/>
        <w:snapToGrid w:val="0"/>
        <w:spacing w:before="100" w:after="80" w:line="240" w:lineRule="auto"/>
        <w:ind w:left="0" w:leftChars="0" w:right="0" w:rightChars="0" w:firstLine="0" w:firstLineChars="0"/>
        <w:jc w:val="left"/>
        <w:rPr>
          <w:rFonts w:hint="default"/>
          <w:lang w:val="en-US" w:eastAsia="zh-CN"/>
        </w:rPr>
      </w:pPr>
      <w:r>
        <w:rPr>
          <w:rFonts w:hint="eastAsia"/>
          <w:b w:val="0"/>
          <w:sz w:val="22"/>
          <w:szCs w:val="22"/>
          <w:lang w:val="en-US" w:eastAsia="zh-CN"/>
        </w:rPr>
        <w:t>（一）PC端</w:t>
      </w:r>
    </w:p>
    <w:p w14:paraId="56669D97">
      <w:pPr>
        <w:keepNext/>
        <w:keepLines/>
        <w:snapToGrid w:val="0"/>
        <w:spacing w:before="40" w:after="120" w:line="240" w:lineRule="auto"/>
        <w:ind w:left="0" w:leftChars="0" w:right="0" w:rightChars="0" w:firstLine="0" w:firstLineChars="0"/>
        <w:jc w:val="center"/>
      </w:pPr>
      <w:r>
        <w:drawing>
          <wp:inline distT="0" distB="0" distL="114300" distR="114300">
            <wp:extent cx="5723890" cy="3259455"/>
            <wp:effectExtent l="0" t="0" r="16510" b="1714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5"/>
                    <a:stretch>
                      <a:fillRect/>
                    </a:stretch>
                  </pic:blipFill>
                  <pic:spPr>
                    <a:xfrm>
                      <a:off x="0" y="0"/>
                      <a:ext cx="5724000" cy="3259500"/>
                    </a:xfrm>
                    <a:prstGeom prst="rect">
                      <a:avLst/>
                    </a:prstGeom>
                    <a:noFill/>
                    <a:ln>
                      <a:noFill/>
                    </a:ln>
                  </pic:spPr>
                </pic:pic>
              </a:graphicData>
            </a:graphic>
          </wp:inline>
        </w:drawing>
      </w:r>
    </w:p>
    <w:p w14:paraId="720003D2">
      <w:pPr>
        <w:pStyle w:val="15"/>
        <w:keepNext w:val="0"/>
        <w:snapToGrid w:val="0"/>
        <w:jc w:val="center"/>
      </w:pPr>
      <w:r>
        <w:t>图5-5　报告收件箱页面示意</w:t>
      </w:r>
    </w:p>
    <w:p w14:paraId="6082A151">
      <w:pPr>
        <w:keepNext/>
        <w:keepLines/>
        <w:snapToGrid w:val="0"/>
        <w:spacing w:before="100" w:after="80" w:line="240" w:lineRule="auto"/>
        <w:ind w:left="0" w:leftChars="0" w:right="0" w:rightChars="0" w:firstLine="0" w:firstLineChars="0"/>
        <w:jc w:val="left"/>
        <w:rPr>
          <w:rFonts w:hint="eastAsia"/>
          <w:lang w:val="en-US" w:eastAsia="zh-CN"/>
        </w:rPr>
      </w:pPr>
      <w:r>
        <w:rPr>
          <w:rFonts w:hint="eastAsia"/>
          <w:b w:val="0"/>
          <w:sz w:val="22"/>
          <w:szCs w:val="22"/>
          <w:lang w:val="en-US" w:eastAsia="zh-CN"/>
        </w:rPr>
        <w:t>（二）H5端</w:t>
      </w:r>
    </w:p>
    <w:p w14:paraId="10F8E51D">
      <w:pPr>
        <w:keepNext/>
        <w:ind w:firstLineChars="200"/>
        <w:jc w:val="center"/>
      </w:pPr>
      <w:r>
        <w:drawing>
          <wp:inline distT="0" distB="0" distL="114300" distR="114300">
            <wp:extent cx="1826895" cy="3955415"/>
            <wp:effectExtent l="0" t="0" r="12065" b="825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36"/>
                    <a:stretch>
                      <a:fillRect/>
                    </a:stretch>
                  </pic:blipFill>
                  <pic:spPr>
                    <a:xfrm>
                      <a:off x="0" y="0"/>
                      <a:ext cx="1827360" cy="3955877"/>
                    </a:xfrm>
                    <a:prstGeom prst="rect">
                      <a:avLst/>
                    </a:prstGeom>
                    <a:noFill/>
                    <a:ln>
                      <a:noFill/>
                    </a:ln>
                  </pic:spPr>
                </pic:pic>
              </a:graphicData>
            </a:graphic>
          </wp:inline>
        </w:drawing>
      </w:r>
    </w:p>
    <w:p w14:paraId="720003D3">
      <w:pPr>
        <w:pStyle w:val="15"/>
        <w:keepNext w:val="0"/>
        <w:snapToGrid w:val="0"/>
        <w:jc w:val="center"/>
      </w:pPr>
      <w:r>
        <w:t>图5-6　报告收件箱页面示意</w:t>
      </w:r>
    </w:p>
    <w:p w14:paraId="70EE002C">
      <w:pPr>
        <w:pStyle w:val="4"/>
        <w:snapToGrid w:val="0"/>
      </w:pPr>
      <w:bookmarkStart w:id="58" w:name="s5_2_7"/>
      <w:r>
        <w:rPr>
          <w:rFonts w:ascii="黑体" w:hAnsi="黑体" w:eastAsia="黑体" w:cs="黑体"/>
          <w:b/>
          <w:color w:val="000000"/>
        </w:rPr>
        <w:t>5.2.7　反馈与通知</w:t>
      </w:r>
      <w:bookmarkEnd w:id="58"/>
    </w:p>
    <w:p w14:paraId="70EE002D">
      <w:pPr>
        <w:ind w:firstLineChars="200"/>
        <w:rPr>
          <w:rFonts w:ascii="宋体" w:hAnsi="宋体" w:eastAsia="宋体"/>
          <w:b w:val="0"/>
          <w:color w:val="auto"/>
        </w:rPr>
      </w:pPr>
      <w:r>
        <w:rPr>
          <w:rFonts w:ascii="宋体" w:hAnsi="宋体" w:eastAsia="宋体"/>
          <w:b w:val="0"/>
          <w:color w:val="auto"/>
        </w:rPr>
        <w:t>用户可对回答和报告进行点赞、点踩，评价结果是否有用，同一用户对同一结果保留一票。负反馈进入问题处理流程，处理结果反馈给用户。报告结论是否正确由指定责任人确认，相关操作见5.2.6；问题是否消除通过相关业务数据查询核实。</w:t>
      </w:r>
    </w:p>
    <w:p w14:paraId="70EE002E">
      <w:pPr>
        <w:ind w:firstLineChars="200"/>
        <w:rPr>
          <w:rFonts w:ascii="宋体" w:hAnsi="宋体" w:eastAsia="宋体"/>
          <w:b w:val="0"/>
          <w:color w:val="auto"/>
        </w:rPr>
      </w:pPr>
      <w:r>
        <w:rPr>
          <w:rFonts w:ascii="宋体" w:hAnsi="宋体" w:eastAsia="宋体"/>
          <w:b w:val="0"/>
          <w:color w:val="auto"/>
        </w:rPr>
        <w:t>个人中心展示本人信息、当前数据授权范围的只读信息和通知栏，集中接收反馈处理、知识补齐及数据接入完成的结果通知。发生无权限拒答时，提供业主既有权限申请指引，便于用户了解后续申请途径。</w:t>
      </w:r>
    </w:p>
    <w:p w14:paraId="43852BCB">
      <w:pPr>
        <w:pStyle w:val="3"/>
        <w:snapToGrid w:val="0"/>
      </w:pPr>
      <w:bookmarkStart w:id="59" w:name="s5_3"/>
      <w:r>
        <w:rPr>
          <w:rFonts w:ascii="黑体" w:hAnsi="黑体" w:eastAsia="黑体" w:cs="黑体"/>
          <w:b/>
          <w:color w:val="000000"/>
        </w:rPr>
        <w:t>5.3　场景与专项AI能力</w:t>
      </w:r>
      <w:bookmarkEnd w:id="59"/>
    </w:p>
    <w:p w14:paraId="328A2493">
      <w:pPr>
        <w:pStyle w:val="4"/>
        <w:snapToGrid w:val="0"/>
      </w:pPr>
      <w:bookmarkStart w:id="60" w:name="s5_3_1"/>
      <w:r>
        <w:rPr>
          <w:rFonts w:ascii="黑体" w:hAnsi="黑体" w:eastAsia="黑体" w:cs="黑体"/>
          <w:b/>
          <w:color w:val="000000"/>
        </w:rPr>
        <w:t>5.3.1　统一问数类</w:t>
      </w:r>
      <w:bookmarkEnd w:id="60"/>
    </w:p>
    <w:p w14:paraId="12837893">
      <w:pPr>
        <w:pStyle w:val="5"/>
        <w:snapToGrid w:val="0"/>
      </w:pPr>
      <w:bookmarkStart w:id="61" w:name="s5_3_1_1"/>
      <w:r>
        <w:rPr>
          <w:rFonts w:ascii="黑体" w:hAnsi="黑体" w:eastAsia="黑体" w:cs="黑体"/>
          <w:b/>
          <w:color w:val="000000"/>
        </w:rPr>
        <w:t>5.3.1.1　智能问数</w:t>
      </w:r>
      <w:bookmarkEnd w:id="61"/>
    </w:p>
    <w:p w14:paraId="5E11623C">
      <w:pPr>
        <w:ind w:firstLineChars="200"/>
        <w:rPr>
          <w:rFonts w:ascii="宋体" w:hAnsi="宋体" w:eastAsia="宋体"/>
          <w:b w:val="0"/>
          <w:color w:val="auto"/>
        </w:rPr>
      </w:pPr>
      <w:r>
        <w:rPr>
          <w:rFonts w:ascii="宋体" w:hAnsi="宋体" w:eastAsia="宋体"/>
          <w:b w:val="0"/>
          <w:color w:val="auto"/>
        </w:rPr>
        <w:t>面向管理、生产、工艺、设备、质量、能源和供应链人员，建设统一自然语言数据查询入口。围绕指标数值、对象状态、清单排名和关联关系组织回答，将现场称呼对应到业务对象，结合指标口径及判定基准呈现事实，支持连续追问、图表展示与报告导出，帮助用户快速获得可核对的业务信息。</w:t>
      </w:r>
    </w:p>
    <w:p w14:paraId="02D34B95">
      <w:pPr>
        <w:pStyle w:val="15"/>
        <w:snapToGrid w:val="0"/>
        <w:jc w:val="center"/>
      </w:pPr>
      <w:r>
        <w:t>表5-4　智能问数建设内容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0F2CB354">
        <w:trPr>
          <w:cantSplit/>
          <w:tblHeader/>
        </w:trPr>
        <w:tc>
          <w:tcPr>
            <w:tcW w:w="1527" w:type="dxa"/>
            <w:vAlign w:val="center"/>
          </w:tcPr>
          <w:p w14:paraId="14926028">
            <w:pPr>
              <w:pStyle w:val="14"/>
              <w:snapToGrid w:val="0"/>
              <w:jc w:val="center"/>
            </w:pPr>
            <w:r>
              <w:rPr>
                <w:b/>
              </w:rPr>
              <w:t>功能事项</w:t>
            </w:r>
          </w:p>
        </w:tc>
        <w:tc>
          <w:tcPr>
            <w:tcW w:w="5538" w:type="dxa"/>
            <w:vAlign w:val="center"/>
          </w:tcPr>
          <w:p w14:paraId="0DB8AF48">
            <w:pPr>
              <w:pStyle w:val="14"/>
              <w:snapToGrid w:val="0"/>
              <w:jc w:val="center"/>
            </w:pPr>
            <w:r>
              <w:rPr>
                <w:b/>
              </w:rPr>
              <w:t>建设内容</w:t>
            </w:r>
          </w:p>
        </w:tc>
        <w:tc>
          <w:tcPr>
            <w:tcW w:w="2007" w:type="dxa"/>
            <w:vAlign w:val="center"/>
          </w:tcPr>
          <w:p w14:paraId="190231AD">
            <w:pPr>
              <w:pStyle w:val="14"/>
              <w:snapToGrid w:val="0"/>
              <w:jc w:val="center"/>
            </w:pPr>
            <w:r>
              <w:rPr>
                <w:b/>
              </w:rPr>
              <w:t>业务输出</w:t>
            </w:r>
          </w:p>
        </w:tc>
      </w:tr>
      <w:tr w14:paraId="0ED4D2AC">
        <w:trPr>
          <w:cantSplit/>
        </w:trPr>
        <w:tc>
          <w:tcPr>
            <w:tcW w:w="1527" w:type="dxa"/>
            <w:vAlign w:val="center"/>
          </w:tcPr>
          <w:p w14:paraId="6A884304">
            <w:pPr>
              <w:pStyle w:val="14"/>
              <w:snapToGrid w:val="0"/>
              <w:jc w:val="left"/>
            </w:pPr>
            <w:r>
              <w:t>指标查询与比较</w:t>
            </w:r>
          </w:p>
        </w:tc>
        <w:tc>
          <w:tcPr>
            <w:tcW w:w="5538" w:type="dxa"/>
            <w:vAlign w:val="center"/>
          </w:tcPr>
          <w:p w14:paraId="71E538B6">
            <w:pPr>
              <w:pStyle w:val="14"/>
              <w:snapToGrid w:val="0"/>
              <w:jc w:val="left"/>
            </w:pPr>
            <w:r>
              <w:t>按对象、时间和统计维度查询累计、排名及变化。已结算周期优先使用核定结果；当期区分日累计与动态阶段值，标注截止时间及未结算状态。自选起止时间按确认口径统计。</w:t>
            </w:r>
          </w:p>
        </w:tc>
        <w:tc>
          <w:tcPr>
            <w:tcW w:w="2007" w:type="dxa"/>
            <w:vAlign w:val="center"/>
          </w:tcPr>
          <w:p w14:paraId="697380E4">
            <w:pPr>
              <w:pStyle w:val="14"/>
              <w:snapToGrid w:val="0"/>
              <w:jc w:val="left"/>
            </w:pPr>
            <w:r>
              <w:t>带核定或阶段状态的指标结果、比较表与变化说明</w:t>
            </w:r>
          </w:p>
        </w:tc>
      </w:tr>
      <w:tr w14:paraId="5FE5AD6F">
        <w:trPr>
          <w:cantSplit/>
        </w:trPr>
        <w:tc>
          <w:tcPr>
            <w:tcW w:w="1527" w:type="dxa"/>
            <w:vAlign w:val="center"/>
          </w:tcPr>
          <w:p w14:paraId="670E03A3">
            <w:pPr>
              <w:pStyle w:val="14"/>
              <w:snapToGrid w:val="0"/>
              <w:jc w:val="left"/>
            </w:pPr>
            <w:r>
              <w:t>对象与口径查询</w:t>
            </w:r>
          </w:p>
        </w:tc>
        <w:tc>
          <w:tcPr>
            <w:tcW w:w="5538" w:type="dxa"/>
            <w:vAlign w:val="center"/>
          </w:tcPr>
          <w:p w14:paraId="171CF0AC">
            <w:pPr>
              <w:pStyle w:val="14"/>
              <w:snapToGrid w:val="0"/>
              <w:jc w:val="left"/>
            </w:pPr>
            <w:r>
              <w:t>识别设备、物料、批次及人员等对象，联查当前状态、关系和指标定义、来源及计算口径。</w:t>
            </w:r>
          </w:p>
        </w:tc>
        <w:tc>
          <w:tcPr>
            <w:tcW w:w="2007" w:type="dxa"/>
            <w:vAlign w:val="center"/>
          </w:tcPr>
          <w:p w14:paraId="4A57BF0C">
            <w:pPr>
              <w:pStyle w:val="14"/>
              <w:snapToGrid w:val="0"/>
              <w:jc w:val="left"/>
            </w:pPr>
            <w:r>
              <w:t>对象清单、状态与口径说明</w:t>
            </w:r>
          </w:p>
        </w:tc>
      </w:tr>
      <w:tr w14:paraId="5970CC8B">
        <w:trPr>
          <w:cantSplit/>
        </w:trPr>
        <w:tc>
          <w:tcPr>
            <w:tcW w:w="1527" w:type="dxa"/>
            <w:vAlign w:val="center"/>
          </w:tcPr>
          <w:p w14:paraId="4A822063">
            <w:pPr>
              <w:pStyle w:val="14"/>
              <w:snapToGrid w:val="0"/>
              <w:jc w:val="left"/>
            </w:pPr>
            <w:r>
              <w:t>交互与结果应用</w:t>
            </w:r>
          </w:p>
        </w:tc>
        <w:tc>
          <w:tcPr>
            <w:tcW w:w="5538" w:type="dxa"/>
            <w:vAlign w:val="center"/>
          </w:tcPr>
          <w:p w14:paraId="3B445D07">
            <w:pPr>
              <w:pStyle w:val="14"/>
              <w:snapToGrid w:val="0"/>
              <w:jc w:val="left"/>
            </w:pPr>
            <w:r>
              <w:t>支持连续追问及趋势、对比、构成图表，按问题生成解释，并提供带来源的结果导出。</w:t>
            </w:r>
          </w:p>
        </w:tc>
        <w:tc>
          <w:tcPr>
            <w:tcW w:w="2007" w:type="dxa"/>
            <w:vAlign w:val="center"/>
          </w:tcPr>
          <w:p w14:paraId="4F313A28">
            <w:pPr>
              <w:pStyle w:val="14"/>
              <w:snapToGrid w:val="0"/>
              <w:jc w:val="left"/>
            </w:pPr>
            <w:r>
              <w:t>可追问答案、图表及报告</w:t>
            </w:r>
          </w:p>
        </w:tc>
      </w:tr>
    </w:tbl>
    <w:p w14:paraId="125F7AC4">
      <w:pPr>
        <w:pStyle w:val="12"/>
        <w:snapToGrid w:val="0"/>
        <w:spacing w:after="25"/>
      </w:pPr>
    </w:p>
    <w:p w14:paraId="46B54DA7">
      <w:pPr>
        <w:ind w:firstLineChars="200"/>
        <w:rPr>
          <w:rFonts w:ascii="宋体" w:hAnsi="宋体" w:eastAsia="宋体"/>
          <w:b w:val="0"/>
          <w:color w:val="auto"/>
        </w:rPr>
      </w:pPr>
      <w:r>
        <w:rPr>
          <w:rFonts w:ascii="宋体" w:hAnsi="宋体" w:eastAsia="宋体"/>
          <w:b w:val="0"/>
          <w:color w:val="auto"/>
        </w:rPr>
        <w:t>主要输入：指标、主数据、对象状态、事件记录、指标口径和判定基准。</w:t>
      </w:r>
    </w:p>
    <w:p w14:paraId="72000004">
      <w:pPr>
        <w:ind w:firstLineChars="200"/>
        <w:rPr>
          <w:rFonts w:ascii="宋体" w:hAnsi="宋体" w:eastAsia="宋体"/>
          <w:b w:val="0"/>
          <w:color w:val="auto"/>
        </w:rPr>
      </w:pPr>
      <w:r>
        <w:rPr>
          <w:rFonts w:ascii="宋体" w:hAnsi="宋体" w:eastAsia="宋体"/>
          <w:b w:val="0"/>
          <w:color w:val="auto"/>
        </w:rPr>
        <w:t>本场景的业务流程及节点说明见3.1.1节。</w:t>
      </w:r>
    </w:p>
    <w:p w14:paraId="32479AE1">
      <w:pPr>
        <w:pStyle w:val="4"/>
        <w:snapToGrid w:val="0"/>
      </w:pPr>
      <w:bookmarkStart w:id="62" w:name="s5_3_2"/>
      <w:r>
        <w:rPr>
          <w:rFonts w:ascii="黑体" w:hAnsi="黑体" w:eastAsia="黑体" w:cs="黑体"/>
          <w:b/>
          <w:color w:val="000000"/>
        </w:rPr>
        <w:t>5.3.2　归因分析与衡算类</w:t>
      </w:r>
      <w:bookmarkEnd w:id="62"/>
    </w:p>
    <w:p w14:paraId="76E553DE">
      <w:pPr>
        <w:pStyle w:val="5"/>
        <w:snapToGrid w:val="0"/>
      </w:pPr>
      <w:bookmarkStart w:id="63" w:name="s5_3_2_1"/>
      <w:r>
        <w:rPr>
          <w:rFonts w:ascii="黑体" w:hAnsi="黑体" w:eastAsia="黑体" w:cs="黑体"/>
          <w:b/>
          <w:color w:val="000000"/>
        </w:rPr>
        <w:t>5.3.2.1　实时物料平衡根因分析</w:t>
      </w:r>
      <w:bookmarkEnd w:id="63"/>
    </w:p>
    <w:p w14:paraId="119BA967">
      <w:pPr>
        <w:ind w:firstLineChars="200"/>
        <w:rPr>
          <w:rFonts w:ascii="宋体" w:hAnsi="宋体" w:eastAsia="宋体"/>
          <w:b w:val="0"/>
          <w:color w:val="auto"/>
        </w:rPr>
      </w:pPr>
      <w:r>
        <w:rPr>
          <w:rFonts w:ascii="宋体" w:hAnsi="宋体" w:eastAsia="宋体"/>
          <w:b w:val="0"/>
          <w:color w:val="auto"/>
        </w:rPr>
        <w:t>围绕工序实时投入产出偏差，按已确认的工序边界、批次关系和动态时间切片规则组织计量与工艺数据，计算投入、产出、允许损失和实际偏差。偏差满足已确认的触发条件时形成分析任务，也支持按批次、工序或时间主动分析。结合上下游工艺状态、设备运行和仪表标定记录逐项核对影响因素，区分真实损耗和计量偏差，形成包含偏差位置、已验证原因及待核实事项的分析报告。</w:t>
      </w:r>
    </w:p>
    <w:p w14:paraId="1030340F">
      <w:pPr>
        <w:pStyle w:val="15"/>
        <w:snapToGrid w:val="0"/>
        <w:jc w:val="center"/>
      </w:pPr>
      <w:r>
        <w:t>表5-5　实时物料平衡根因分析建设内容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3A880065">
        <w:trPr>
          <w:cantSplit/>
          <w:tblHeader/>
        </w:trPr>
        <w:tc>
          <w:tcPr>
            <w:tcW w:w="1527" w:type="dxa"/>
            <w:vAlign w:val="center"/>
          </w:tcPr>
          <w:p w14:paraId="382BEAA9">
            <w:pPr>
              <w:pStyle w:val="14"/>
              <w:snapToGrid w:val="0"/>
              <w:jc w:val="center"/>
            </w:pPr>
            <w:r>
              <w:rPr>
                <w:b/>
              </w:rPr>
              <w:t>功能事项</w:t>
            </w:r>
          </w:p>
        </w:tc>
        <w:tc>
          <w:tcPr>
            <w:tcW w:w="5538" w:type="dxa"/>
            <w:vAlign w:val="center"/>
          </w:tcPr>
          <w:p w14:paraId="065C7C46">
            <w:pPr>
              <w:pStyle w:val="14"/>
              <w:snapToGrid w:val="0"/>
              <w:jc w:val="center"/>
            </w:pPr>
            <w:r>
              <w:rPr>
                <w:b/>
              </w:rPr>
              <w:t>建设内容</w:t>
            </w:r>
          </w:p>
        </w:tc>
        <w:tc>
          <w:tcPr>
            <w:tcW w:w="2007" w:type="dxa"/>
            <w:vAlign w:val="center"/>
          </w:tcPr>
          <w:p w14:paraId="764AF2AF">
            <w:pPr>
              <w:pStyle w:val="14"/>
              <w:snapToGrid w:val="0"/>
              <w:jc w:val="center"/>
            </w:pPr>
            <w:r>
              <w:rPr>
                <w:b/>
              </w:rPr>
              <w:t>业务输出</w:t>
            </w:r>
          </w:p>
        </w:tc>
      </w:tr>
      <w:tr w14:paraId="02842E41">
        <w:trPr>
          <w:cantSplit/>
        </w:trPr>
        <w:tc>
          <w:tcPr>
            <w:tcW w:w="1527" w:type="dxa"/>
            <w:vAlign w:val="center"/>
          </w:tcPr>
          <w:p w14:paraId="56738E62">
            <w:pPr>
              <w:pStyle w:val="14"/>
              <w:snapToGrid w:val="0"/>
              <w:jc w:val="center"/>
            </w:pPr>
            <w:r>
              <w:t>偏差任务组织</w:t>
            </w:r>
          </w:p>
        </w:tc>
        <w:tc>
          <w:tcPr>
            <w:tcW w:w="5538" w:type="dxa"/>
            <w:vAlign w:val="center"/>
          </w:tcPr>
          <w:p w14:paraId="51603BB7">
            <w:pPr>
              <w:pStyle w:val="14"/>
              <w:snapToGrid w:val="0"/>
              <w:jc w:val="left"/>
            </w:pPr>
            <w:r>
              <w:t>按工序边界和动态时间切片组织实时计量数据，依据已确认规则计算投入产出及偏差；满足触发条件后组织分析，合并同源连续事件并关联已有结论。</w:t>
            </w:r>
          </w:p>
        </w:tc>
        <w:tc>
          <w:tcPr>
            <w:tcW w:w="2007" w:type="dxa"/>
            <w:vAlign w:val="center"/>
          </w:tcPr>
          <w:p w14:paraId="5C4973DF">
            <w:pPr>
              <w:pStyle w:val="14"/>
              <w:snapToGrid w:val="0"/>
              <w:jc w:val="left"/>
            </w:pPr>
            <w:r>
              <w:t>实时投入产出与偏差、分析任务及已有结论</w:t>
            </w:r>
          </w:p>
        </w:tc>
      </w:tr>
      <w:tr w14:paraId="5DAF7AC8">
        <w:trPr>
          <w:cantSplit/>
        </w:trPr>
        <w:tc>
          <w:tcPr>
            <w:tcW w:w="1527" w:type="dxa"/>
            <w:vAlign w:val="center"/>
          </w:tcPr>
          <w:p w14:paraId="4567A42C">
            <w:pPr>
              <w:pStyle w:val="14"/>
              <w:snapToGrid w:val="0"/>
              <w:jc w:val="left"/>
            </w:pPr>
            <w:r>
              <w:t>工艺与计量取证</w:t>
            </w:r>
          </w:p>
        </w:tc>
        <w:tc>
          <w:tcPr>
            <w:tcW w:w="5538" w:type="dxa"/>
            <w:vAlign w:val="center"/>
          </w:tcPr>
          <w:p w14:paraId="6195AF85">
            <w:pPr>
              <w:pStyle w:val="14"/>
              <w:snapToGrid w:val="0"/>
              <w:jc w:val="left"/>
            </w:pPr>
            <w:r>
              <w:t>沿上下游工艺关系核对浓度、温度、设备运行和检修记录，结合仪表标定识别计量影响。</w:t>
            </w:r>
          </w:p>
        </w:tc>
        <w:tc>
          <w:tcPr>
            <w:tcW w:w="2007" w:type="dxa"/>
            <w:vAlign w:val="center"/>
          </w:tcPr>
          <w:p w14:paraId="5ACA3586">
            <w:pPr>
              <w:pStyle w:val="14"/>
              <w:snapToGrid w:val="0"/>
              <w:jc w:val="left"/>
            </w:pPr>
            <w:r>
              <w:t>工艺证据链与计量核对结果</w:t>
            </w:r>
          </w:p>
        </w:tc>
      </w:tr>
      <w:tr w14:paraId="5186D309">
        <w:trPr>
          <w:cantSplit/>
        </w:trPr>
        <w:tc>
          <w:tcPr>
            <w:tcW w:w="1527" w:type="dxa"/>
            <w:vAlign w:val="center"/>
          </w:tcPr>
          <w:p w14:paraId="7CB1FFC5">
            <w:pPr>
              <w:pStyle w:val="14"/>
              <w:snapToGrid w:val="0"/>
              <w:jc w:val="left"/>
            </w:pPr>
            <w:r>
              <w:t>根因核证与复核</w:t>
            </w:r>
          </w:p>
        </w:tc>
        <w:tc>
          <w:tcPr>
            <w:tcW w:w="5538" w:type="dxa"/>
            <w:vAlign w:val="center"/>
          </w:tcPr>
          <w:p w14:paraId="7F626A65">
            <w:pPr>
              <w:pStyle w:val="14"/>
              <w:snapToGrid w:val="0"/>
              <w:jc w:val="left"/>
            </w:pPr>
            <w:r>
              <w:t>按影响因素逐项验证，说明真实损耗或疑似计量偏差，形成分级结论及处置建议供复核。</w:t>
            </w:r>
          </w:p>
        </w:tc>
        <w:tc>
          <w:tcPr>
            <w:tcW w:w="2007" w:type="dxa"/>
            <w:vAlign w:val="center"/>
          </w:tcPr>
          <w:p w14:paraId="06930A6C">
            <w:pPr>
              <w:pStyle w:val="14"/>
              <w:snapToGrid w:val="0"/>
              <w:jc w:val="left"/>
            </w:pPr>
            <w:r>
              <w:t>根因报告、建议与确认记录</w:t>
            </w:r>
          </w:p>
        </w:tc>
      </w:tr>
    </w:tbl>
    <w:p w14:paraId="69AFE0BE">
      <w:pPr>
        <w:pStyle w:val="12"/>
        <w:snapToGrid w:val="0"/>
        <w:spacing w:after="25"/>
      </w:pPr>
    </w:p>
    <w:p w14:paraId="5B2AED16">
      <w:pPr>
        <w:ind w:firstLineChars="200"/>
        <w:rPr>
          <w:rFonts w:ascii="宋体" w:hAnsi="宋体" w:eastAsia="宋体"/>
          <w:b w:val="0"/>
          <w:color w:val="auto"/>
        </w:rPr>
      </w:pPr>
      <w:r>
        <w:rPr>
          <w:rFonts w:ascii="宋体" w:hAnsi="宋体" w:eastAsia="宋体"/>
          <w:b w:val="0"/>
          <w:color w:val="auto"/>
        </w:rPr>
        <w:t>主要输入：流量、浓度等实时计量与工艺参数，工序和批次关系，已确认的动态时间切片规则、允许损失率及偏差阈值，设备及报警记录、检修与仪表标定资料。</w:t>
      </w:r>
    </w:p>
    <w:p w14:paraId="72000007">
      <w:pPr>
        <w:ind w:firstLineChars="200"/>
        <w:rPr>
          <w:rFonts w:ascii="宋体" w:hAnsi="宋体" w:eastAsia="宋体"/>
          <w:b w:val="0"/>
          <w:color w:val="auto"/>
        </w:rPr>
      </w:pPr>
      <w:r>
        <w:rPr>
          <w:rFonts w:ascii="宋体" w:hAnsi="宋体" w:eastAsia="宋体"/>
          <w:b w:val="0"/>
          <w:color w:val="auto"/>
        </w:rPr>
        <w:t>本场景的业务流程及节点说明见3.2.1节。</w:t>
      </w:r>
    </w:p>
    <w:p w14:paraId="13965B42">
      <w:pPr>
        <w:pStyle w:val="5"/>
        <w:snapToGrid w:val="0"/>
      </w:pPr>
      <w:bookmarkStart w:id="64" w:name="s5_3_2_2"/>
      <w:r>
        <w:rPr>
          <w:rFonts w:ascii="黑体" w:hAnsi="黑体" w:eastAsia="黑体" w:cs="黑体"/>
          <w:b/>
          <w:color w:val="000000"/>
        </w:rPr>
        <w:t>5.3.2.2　实时能量平衡根因分析</w:t>
      </w:r>
      <w:bookmarkEnd w:id="64"/>
    </w:p>
    <w:p w14:paraId="0A9FDF2E">
      <w:pPr>
        <w:ind w:firstLineChars="200"/>
        <w:rPr>
          <w:rFonts w:ascii="宋体" w:hAnsi="宋体" w:eastAsia="宋体"/>
          <w:b w:val="0"/>
          <w:color w:val="auto"/>
        </w:rPr>
      </w:pPr>
      <w:r>
        <w:rPr>
          <w:rFonts w:ascii="宋体" w:hAnsi="宋体" w:eastAsia="宋体"/>
          <w:b w:val="0"/>
          <w:color w:val="auto"/>
        </w:rPr>
        <w:t>围绕工序实时热量输入、输出和利用情况，按已确认的动态时间切片和热量计算规则组织温度、流量、蒸汽压力及相关计量数据，计算热量输入、输出、散热、利用率和差额，定位偏差对应的区段、设备及运行工况。沿蒸汽、冷凝水和换热关联关系组织证据，综合真空度、设备状态及检修记录逐项核对热损失因素，形成原因说明和温控、换热改进建议。</w:t>
      </w:r>
    </w:p>
    <w:p w14:paraId="5B6A6C01">
      <w:pPr>
        <w:pStyle w:val="15"/>
        <w:snapToGrid w:val="0"/>
        <w:jc w:val="center"/>
      </w:pPr>
      <w:r>
        <w:t>表5-6　实时能量平衡根因分析建设内容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43E36C5C">
        <w:trPr>
          <w:cantSplit/>
          <w:tblHeader/>
        </w:trPr>
        <w:tc>
          <w:tcPr>
            <w:tcW w:w="1527" w:type="dxa"/>
            <w:vAlign w:val="center"/>
          </w:tcPr>
          <w:p w14:paraId="03695EF7">
            <w:pPr>
              <w:pStyle w:val="14"/>
              <w:snapToGrid w:val="0"/>
              <w:jc w:val="center"/>
            </w:pPr>
            <w:r>
              <w:rPr>
                <w:b/>
              </w:rPr>
              <w:t>功能事项</w:t>
            </w:r>
          </w:p>
        </w:tc>
        <w:tc>
          <w:tcPr>
            <w:tcW w:w="5538" w:type="dxa"/>
            <w:vAlign w:val="center"/>
          </w:tcPr>
          <w:p w14:paraId="61A8D823">
            <w:pPr>
              <w:pStyle w:val="14"/>
              <w:snapToGrid w:val="0"/>
              <w:jc w:val="center"/>
            </w:pPr>
            <w:r>
              <w:rPr>
                <w:b/>
              </w:rPr>
              <w:t>建设内容</w:t>
            </w:r>
          </w:p>
        </w:tc>
        <w:tc>
          <w:tcPr>
            <w:tcW w:w="2007" w:type="dxa"/>
            <w:vAlign w:val="center"/>
          </w:tcPr>
          <w:p w14:paraId="387BFC19">
            <w:pPr>
              <w:pStyle w:val="14"/>
              <w:snapToGrid w:val="0"/>
              <w:jc w:val="center"/>
            </w:pPr>
            <w:r>
              <w:rPr>
                <w:b/>
              </w:rPr>
              <w:t>业务输出</w:t>
            </w:r>
          </w:p>
        </w:tc>
      </w:tr>
      <w:tr w14:paraId="7835D640">
        <w:trPr>
          <w:cantSplit/>
        </w:trPr>
        <w:tc>
          <w:tcPr>
            <w:tcW w:w="1527" w:type="dxa"/>
            <w:vAlign w:val="center"/>
          </w:tcPr>
          <w:p w14:paraId="273726DD">
            <w:pPr>
              <w:pStyle w:val="14"/>
              <w:snapToGrid w:val="0"/>
              <w:jc w:val="center"/>
            </w:pPr>
            <w:r>
              <w:t>热量偏差识别</w:t>
            </w:r>
          </w:p>
        </w:tc>
        <w:tc>
          <w:tcPr>
            <w:tcW w:w="5538" w:type="dxa"/>
            <w:vAlign w:val="center"/>
          </w:tcPr>
          <w:p w14:paraId="6B4600ED">
            <w:pPr>
              <w:pStyle w:val="14"/>
              <w:snapToGrid w:val="0"/>
              <w:jc w:val="left"/>
            </w:pPr>
            <w:r>
              <w:t>按工序和计量边界统一实时数据的动态时间切片，依据确认规则计算热量输入、输出、散热及利用率，识别差额或利用率偏差；与物料分析保持切片对应。</w:t>
            </w:r>
          </w:p>
        </w:tc>
        <w:tc>
          <w:tcPr>
            <w:tcW w:w="2007" w:type="dxa"/>
            <w:vAlign w:val="center"/>
          </w:tcPr>
          <w:p w14:paraId="1C35029C">
            <w:pPr>
              <w:pStyle w:val="14"/>
              <w:snapToGrid w:val="0"/>
              <w:jc w:val="left"/>
            </w:pPr>
            <w:r>
              <w:t>实时热量核算、偏差及分析时间范围</w:t>
            </w:r>
          </w:p>
        </w:tc>
      </w:tr>
      <w:tr w14:paraId="22E971B6">
        <w:trPr>
          <w:cantSplit/>
        </w:trPr>
        <w:tc>
          <w:tcPr>
            <w:tcW w:w="1527" w:type="dxa"/>
            <w:vAlign w:val="center"/>
          </w:tcPr>
          <w:p w14:paraId="6A49E980">
            <w:pPr>
              <w:pStyle w:val="14"/>
              <w:snapToGrid w:val="0"/>
              <w:jc w:val="center"/>
            </w:pPr>
            <w:r>
              <w:t>热力网络核查</w:t>
            </w:r>
          </w:p>
        </w:tc>
        <w:tc>
          <w:tcPr>
            <w:tcW w:w="5538" w:type="dxa"/>
            <w:vAlign w:val="center"/>
          </w:tcPr>
          <w:p w14:paraId="4E4502D3">
            <w:pPr>
              <w:pStyle w:val="14"/>
              <w:snapToGrid w:val="0"/>
              <w:jc w:val="left"/>
            </w:pPr>
            <w:r>
              <w:t>沿蒸汽、冷凝水和换热设备关系取证，核对疏水阀、真空度、运行参数与检修情况。</w:t>
            </w:r>
          </w:p>
        </w:tc>
        <w:tc>
          <w:tcPr>
            <w:tcW w:w="2007" w:type="dxa"/>
            <w:vAlign w:val="center"/>
          </w:tcPr>
          <w:p w14:paraId="6DD39A6F">
            <w:pPr>
              <w:pStyle w:val="14"/>
              <w:snapToGrid w:val="0"/>
              <w:jc w:val="left"/>
            </w:pPr>
            <w:r>
              <w:t>热力区段与设备工况证据</w:t>
            </w:r>
          </w:p>
        </w:tc>
      </w:tr>
      <w:tr w14:paraId="1DEBBB7E">
        <w:trPr>
          <w:cantSplit/>
        </w:trPr>
        <w:tc>
          <w:tcPr>
            <w:tcW w:w="1527" w:type="dxa"/>
            <w:vAlign w:val="center"/>
          </w:tcPr>
          <w:p w14:paraId="50A1AD92">
            <w:pPr>
              <w:pStyle w:val="14"/>
              <w:snapToGrid w:val="0"/>
              <w:jc w:val="left"/>
            </w:pPr>
            <w:r>
              <w:t>损失归因与建议</w:t>
            </w:r>
          </w:p>
        </w:tc>
        <w:tc>
          <w:tcPr>
            <w:tcW w:w="5538" w:type="dxa"/>
            <w:vAlign w:val="center"/>
          </w:tcPr>
          <w:p w14:paraId="036D793F">
            <w:pPr>
              <w:pStyle w:val="14"/>
              <w:snapToGrid w:val="0"/>
              <w:jc w:val="left"/>
            </w:pPr>
            <w:r>
              <w:t>对照设计依据逐项核证损失因素，区分已验证和待核实原因，提出温控、换热改进建议。</w:t>
            </w:r>
          </w:p>
        </w:tc>
        <w:tc>
          <w:tcPr>
            <w:tcW w:w="2007" w:type="dxa"/>
            <w:vAlign w:val="center"/>
          </w:tcPr>
          <w:p w14:paraId="527D83DF">
            <w:pPr>
              <w:pStyle w:val="14"/>
              <w:snapToGrid w:val="0"/>
              <w:jc w:val="left"/>
            </w:pPr>
            <w:r>
              <w:t>热损失报告与改进建议</w:t>
            </w:r>
          </w:p>
        </w:tc>
      </w:tr>
    </w:tbl>
    <w:p w14:paraId="69FDD810">
      <w:pPr>
        <w:pStyle w:val="12"/>
        <w:snapToGrid w:val="0"/>
        <w:spacing w:after="25"/>
      </w:pPr>
    </w:p>
    <w:p w14:paraId="1204E656">
      <w:pPr>
        <w:ind w:firstLineChars="200"/>
        <w:rPr>
          <w:rFonts w:ascii="宋体" w:hAnsi="宋体" w:eastAsia="宋体"/>
          <w:b w:val="0"/>
          <w:color w:val="auto"/>
        </w:rPr>
      </w:pPr>
      <w:r>
        <w:rPr>
          <w:rFonts w:ascii="宋体" w:hAnsi="宋体" w:eastAsia="宋体"/>
          <w:b w:val="0"/>
          <w:color w:val="auto"/>
        </w:rPr>
        <w:t>主要输入：温度、流量、蒸汽压力等实时计量与工艺参数，蒸汽及冷凝水数据，已确认的动态时间切片、热量计算规则和设计对照值，换热设备状态及检修记录。</w:t>
      </w:r>
    </w:p>
    <w:p w14:paraId="72000009">
      <w:pPr>
        <w:ind w:firstLineChars="200"/>
        <w:rPr>
          <w:rFonts w:ascii="宋体" w:hAnsi="宋体" w:eastAsia="宋体"/>
          <w:b w:val="0"/>
          <w:color w:val="auto"/>
        </w:rPr>
      </w:pPr>
      <w:r>
        <w:rPr>
          <w:rFonts w:ascii="宋体" w:hAnsi="宋体" w:eastAsia="宋体"/>
          <w:b w:val="0"/>
          <w:color w:val="auto"/>
        </w:rPr>
        <w:t>本场景的业务流程及节点说明见3.2.2节。</w:t>
      </w:r>
    </w:p>
    <w:p w14:paraId="6C595C24">
      <w:pPr>
        <w:pStyle w:val="5"/>
        <w:snapToGrid w:val="0"/>
      </w:pPr>
      <w:bookmarkStart w:id="65" w:name="s5_3_2_3"/>
      <w:r>
        <w:rPr>
          <w:rFonts w:ascii="黑体" w:hAnsi="黑体" w:eastAsia="黑体" w:cs="黑体"/>
          <w:b/>
          <w:color w:val="000000"/>
        </w:rPr>
        <w:t>5.3.2.3　实时能耗异常识别</w:t>
      </w:r>
      <w:bookmarkEnd w:id="65"/>
    </w:p>
    <w:p w14:paraId="6B291364">
      <w:pPr>
        <w:ind w:firstLineChars="200"/>
        <w:rPr>
          <w:rFonts w:ascii="宋体" w:hAnsi="宋体" w:eastAsia="宋体"/>
          <w:b w:val="0"/>
          <w:color w:val="auto"/>
        </w:rPr>
      </w:pPr>
      <w:r>
        <w:rPr>
          <w:rFonts w:ascii="宋体" w:hAnsi="宋体" w:eastAsia="宋体"/>
          <w:b w:val="0"/>
          <w:color w:val="auto"/>
        </w:rPr>
        <w:t>结合能源监测报警、设备运行状态和生产负荷，对能耗变化开展识别与解释。系统将工况标签、标准消耗和实际消耗放在同一业务背景下核对，区分低负荷等正常波动与实际超耗，定位异常工序、时段和主要用能设备，结合空转、泄漏及参数设置等证据形成节能改进建议，并向相关人员提供复核信息。</w:t>
      </w:r>
    </w:p>
    <w:p w14:paraId="665457C3">
      <w:pPr>
        <w:pStyle w:val="15"/>
        <w:snapToGrid w:val="0"/>
        <w:jc w:val="center"/>
      </w:pPr>
      <w:r>
        <w:t>表5-7　实时能耗异常识别建设内容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4C959144">
        <w:trPr>
          <w:cantSplit/>
          <w:tblHeader/>
        </w:trPr>
        <w:tc>
          <w:tcPr>
            <w:tcW w:w="1527" w:type="dxa"/>
            <w:vAlign w:val="center"/>
          </w:tcPr>
          <w:p w14:paraId="3E02F6E5">
            <w:pPr>
              <w:pStyle w:val="14"/>
              <w:snapToGrid w:val="0"/>
              <w:jc w:val="center"/>
            </w:pPr>
            <w:r>
              <w:rPr>
                <w:b/>
              </w:rPr>
              <w:t>功能事项</w:t>
            </w:r>
          </w:p>
        </w:tc>
        <w:tc>
          <w:tcPr>
            <w:tcW w:w="5538" w:type="dxa"/>
            <w:vAlign w:val="center"/>
          </w:tcPr>
          <w:p w14:paraId="61F0DE86">
            <w:pPr>
              <w:pStyle w:val="14"/>
              <w:snapToGrid w:val="0"/>
              <w:jc w:val="center"/>
            </w:pPr>
            <w:r>
              <w:rPr>
                <w:b/>
              </w:rPr>
              <w:t>建设内容</w:t>
            </w:r>
          </w:p>
        </w:tc>
        <w:tc>
          <w:tcPr>
            <w:tcW w:w="2007" w:type="dxa"/>
            <w:vAlign w:val="center"/>
          </w:tcPr>
          <w:p w14:paraId="29270004">
            <w:pPr>
              <w:pStyle w:val="14"/>
              <w:snapToGrid w:val="0"/>
              <w:jc w:val="center"/>
            </w:pPr>
            <w:r>
              <w:rPr>
                <w:b/>
              </w:rPr>
              <w:t>业务输出</w:t>
            </w:r>
          </w:p>
        </w:tc>
      </w:tr>
      <w:tr w14:paraId="7836B47F">
        <w:trPr>
          <w:cantSplit/>
        </w:trPr>
        <w:tc>
          <w:tcPr>
            <w:tcW w:w="1527" w:type="dxa"/>
            <w:vAlign w:val="center"/>
          </w:tcPr>
          <w:p w14:paraId="125D4869">
            <w:pPr>
              <w:pStyle w:val="14"/>
              <w:snapToGrid w:val="0"/>
              <w:jc w:val="left"/>
            </w:pPr>
            <w:r>
              <w:t>异常事件与工况关联</w:t>
            </w:r>
          </w:p>
        </w:tc>
        <w:tc>
          <w:tcPr>
            <w:tcW w:w="5538" w:type="dxa"/>
            <w:vAlign w:val="center"/>
          </w:tcPr>
          <w:p w14:paraId="488F4F49">
            <w:pPr>
              <w:pStyle w:val="14"/>
              <w:snapToGrid w:val="0"/>
              <w:jc w:val="left"/>
            </w:pPr>
            <w:r>
              <w:t>关联能耗报警、设备空转诊断和生产负荷，按对象及时段组织事件，形成统一分析任务。</w:t>
            </w:r>
          </w:p>
        </w:tc>
        <w:tc>
          <w:tcPr>
            <w:tcW w:w="2007" w:type="dxa"/>
            <w:vAlign w:val="center"/>
          </w:tcPr>
          <w:p w14:paraId="4377F3D3">
            <w:pPr>
              <w:pStyle w:val="14"/>
              <w:snapToGrid w:val="0"/>
              <w:jc w:val="left"/>
            </w:pPr>
            <w:r>
              <w:t>能耗事件与工况对照</w:t>
            </w:r>
          </w:p>
        </w:tc>
      </w:tr>
      <w:tr w14:paraId="49D994E2">
        <w:trPr>
          <w:cantSplit/>
        </w:trPr>
        <w:tc>
          <w:tcPr>
            <w:tcW w:w="1527" w:type="dxa"/>
            <w:vAlign w:val="center"/>
          </w:tcPr>
          <w:p w14:paraId="2C487CE3">
            <w:pPr>
              <w:pStyle w:val="14"/>
              <w:snapToGrid w:val="0"/>
              <w:jc w:val="left"/>
            </w:pPr>
            <w:r>
              <w:t>超耗定位与因素核证</w:t>
            </w:r>
          </w:p>
        </w:tc>
        <w:tc>
          <w:tcPr>
            <w:tcW w:w="5538" w:type="dxa"/>
            <w:vAlign w:val="center"/>
          </w:tcPr>
          <w:p w14:paraId="2EEDB06C">
            <w:pPr>
              <w:pStyle w:val="14"/>
              <w:snapToGrid w:val="0"/>
              <w:jc w:val="left"/>
            </w:pPr>
            <w:r>
              <w:t>对比工序处理量与标准消耗，定位设备及计量点，核查空载、管路泄漏和运行参数影响。</w:t>
            </w:r>
          </w:p>
        </w:tc>
        <w:tc>
          <w:tcPr>
            <w:tcW w:w="2007" w:type="dxa"/>
            <w:vAlign w:val="center"/>
          </w:tcPr>
          <w:p w14:paraId="670F630F">
            <w:pPr>
              <w:pStyle w:val="14"/>
              <w:snapToGrid w:val="0"/>
              <w:jc w:val="left"/>
            </w:pPr>
            <w:r>
              <w:t>异常位置与原因证据</w:t>
            </w:r>
          </w:p>
        </w:tc>
      </w:tr>
      <w:tr w14:paraId="14C4E9FF">
        <w:trPr>
          <w:cantSplit/>
        </w:trPr>
        <w:tc>
          <w:tcPr>
            <w:tcW w:w="1527" w:type="dxa"/>
            <w:vAlign w:val="center"/>
          </w:tcPr>
          <w:p w14:paraId="10C4419E">
            <w:pPr>
              <w:pStyle w:val="14"/>
              <w:snapToGrid w:val="0"/>
              <w:jc w:val="left"/>
            </w:pPr>
            <w:r>
              <w:t>节能建议与反馈</w:t>
            </w:r>
          </w:p>
        </w:tc>
        <w:tc>
          <w:tcPr>
            <w:tcW w:w="5538" w:type="dxa"/>
            <w:vAlign w:val="center"/>
          </w:tcPr>
          <w:p w14:paraId="42A835D4">
            <w:pPr>
              <w:pStyle w:val="14"/>
              <w:snapToGrid w:val="0"/>
              <w:jc w:val="left"/>
            </w:pPr>
            <w:r>
              <w:t>围绕已核实工况形成分级原因和节能建议，推送相关人员并记录现场确认及纠正信息。</w:t>
            </w:r>
          </w:p>
        </w:tc>
        <w:tc>
          <w:tcPr>
            <w:tcW w:w="2007" w:type="dxa"/>
            <w:vAlign w:val="center"/>
          </w:tcPr>
          <w:p w14:paraId="0233784A">
            <w:pPr>
              <w:pStyle w:val="14"/>
              <w:snapToGrid w:val="0"/>
              <w:jc w:val="left"/>
            </w:pPr>
            <w:r>
              <w:t>能耗分析报告与节能建议</w:t>
            </w:r>
          </w:p>
        </w:tc>
      </w:tr>
    </w:tbl>
    <w:p w14:paraId="559077FD">
      <w:pPr>
        <w:pStyle w:val="12"/>
        <w:snapToGrid w:val="0"/>
        <w:spacing w:after="25"/>
      </w:pPr>
    </w:p>
    <w:p w14:paraId="7ED41878">
      <w:pPr>
        <w:ind w:firstLineChars="200"/>
        <w:rPr>
          <w:rFonts w:ascii="宋体" w:hAnsi="宋体" w:eastAsia="宋体"/>
          <w:b w:val="0"/>
          <w:color w:val="auto"/>
        </w:rPr>
      </w:pPr>
      <w:r>
        <w:rPr>
          <w:rFonts w:ascii="宋体" w:hAnsi="宋体" w:eastAsia="宋体"/>
          <w:b w:val="0"/>
          <w:color w:val="auto"/>
        </w:rPr>
        <w:t>主要输入：EMS能耗报警和空转诊断、实际能耗、工况标签、标准消耗、设备运行及检修数据。</w:t>
      </w:r>
    </w:p>
    <w:p w14:paraId="7200000B">
      <w:pPr>
        <w:ind w:firstLineChars="200"/>
        <w:rPr>
          <w:rFonts w:ascii="宋体" w:hAnsi="宋体" w:eastAsia="宋体"/>
          <w:b w:val="0"/>
          <w:color w:val="auto"/>
        </w:rPr>
      </w:pPr>
      <w:r>
        <w:rPr>
          <w:rFonts w:ascii="宋体" w:hAnsi="宋体" w:eastAsia="宋体"/>
          <w:b w:val="0"/>
          <w:color w:val="auto"/>
        </w:rPr>
        <w:t>本场景的业务流程及节点说明见3.2.3节。</w:t>
      </w:r>
    </w:p>
    <w:p w14:paraId="2AA6990A">
      <w:pPr>
        <w:pStyle w:val="5"/>
        <w:snapToGrid w:val="0"/>
      </w:pPr>
      <w:bookmarkStart w:id="66" w:name="s5_3_2_4"/>
      <w:r>
        <w:rPr>
          <w:rFonts w:ascii="黑体" w:hAnsi="黑体" w:eastAsia="黑体" w:cs="黑体"/>
          <w:b/>
          <w:color w:val="000000"/>
        </w:rPr>
        <w:t>5.3.2.4　工序物料衡算</w:t>
      </w:r>
      <w:bookmarkEnd w:id="66"/>
    </w:p>
    <w:p w14:paraId="22653B68">
      <w:pPr>
        <w:pStyle w:val="17"/>
        <w:ind w:firstLineChars="200"/>
        <w:rPr>
          <w:highlight w:val="none"/>
        </w:rPr>
      </w:pPr>
      <w:r>
        <w:rPr>
          <w:rFonts w:ascii="宋体" w:hAnsi="宋体" w:eastAsia="宋体" w:cs="宋体"/>
          <w:highlight w:val="none"/>
        </w:rPr>
        <w:t>物料衡算场景面向淀粉糖生产链条的物料核算与偏差分析，主要服务工艺工程师与生产管理人员。按现有生产日报业务口径，建设跨系统取数、数据核对和自动核算能力，保留计算依据与结果来源。业务按两条线组织：报告线按“计量口径校验→物料衡算与收率计算→报告生成与推送”的路径运行，按班次/日/周/月定时触发，自动生成并推送物料平衡报告，无需用户发起；分析线响应用户查询，按“平衡偏差检测与定性分析→损失趋势预测与风险预警→分析报告输出”的路径提供分析结果，使报告从静态结果升级为“自动核算—异常发现—偏差定位—趋势预警”的管理闭环。</w:t>
      </w:r>
    </w:p>
    <w:p w14:paraId="7B01942F">
      <w:pPr>
        <w:pStyle w:val="17"/>
        <w:ind w:firstLineChars="200"/>
        <w:rPr>
          <w:highlight w:val="none"/>
        </w:rPr>
      </w:pPr>
      <w:r>
        <w:rPr>
          <w:rFonts w:ascii="宋体" w:hAnsi="宋体" w:eastAsia="宋体" w:cs="宋体"/>
          <w:highlight w:val="none"/>
        </w:rPr>
        <w:t>建设物料核算、偏差分析和趋势预警，计算与分析结果保留来源和口径；数据不足时提示缺口，结论以已取得证据为依据。跨场景的根因追问按5.7节协同规则携带对象、时间窗和已有证据进入对应归因场景。核算前统一多源数据的时间与批次；糖化、等组分转化环节按理论转换关系结合历史实际校正；异常解释区分计量偏差、库存变化与真实工艺损失，证据不足时如实说明。</w:t>
      </w:r>
    </w:p>
    <w:p w14:paraId="7200000D">
      <w:pPr>
        <w:ind w:firstLineChars="200"/>
        <w:rPr>
          <w:rFonts w:ascii="宋体" w:hAnsi="宋体" w:eastAsia="宋体"/>
          <w:b w:val="0"/>
          <w:color w:val="auto"/>
        </w:rPr>
      </w:pPr>
      <w:r>
        <w:rPr>
          <w:rFonts w:ascii="宋体" w:hAnsi="宋体" w:eastAsia="宋体"/>
          <w:b w:val="0"/>
          <w:color w:val="auto"/>
        </w:rPr>
        <w:t>本场景的业务流程及节点说明见3.2.4节。</w:t>
      </w:r>
    </w:p>
    <w:p w14:paraId="103E7CA9">
      <w:pPr>
        <w:pStyle w:val="5"/>
        <w:snapToGrid w:val="0"/>
        <w:rPr>
          <w:highlight w:val="none"/>
        </w:rPr>
      </w:pPr>
      <w:bookmarkStart w:id="67" w:name="s5_3_2_5"/>
      <w:r>
        <w:rPr>
          <w:rFonts w:ascii="黑体" w:hAnsi="黑体" w:eastAsia="黑体" w:cs="黑体"/>
          <w:b/>
          <w:color w:val="000000"/>
          <w:highlight w:val="none"/>
        </w:rPr>
        <w:t>5.3.2.5　工序能量衡算</w:t>
      </w:r>
      <w:bookmarkEnd w:id="67"/>
    </w:p>
    <w:p w14:paraId="14DB8ADE">
      <w:pPr>
        <w:pStyle w:val="17"/>
        <w:ind w:firstLineChars="200"/>
        <w:rPr>
          <w:highlight w:val="none"/>
        </w:rPr>
      </w:pPr>
      <w:r>
        <w:rPr>
          <w:rFonts w:ascii="宋体" w:hAnsi="宋体" w:eastAsia="宋体" w:cs="宋体"/>
          <w:highlight w:val="none"/>
        </w:rPr>
        <w:t>能量衡算场景面向淀粉糖生产链条的蒸汽、电力、水等能源数据分析，主要服务能源管理员、工艺工程师与工序负责人。按现有能源日报业务口径，统一分散在各系统中的能源计量数据，形成可比、可追溯的自动核算和能耗分析结果。业务按两条线组织：报告线按“能源计量与数据校验→分项能耗核算→能源报告生成与推送”的路径运行，按班次/日/周/月定时触发，自动生成并推送能源报告，无需用户发起；分析线响应用户查询，提供能耗偏差检测与归因、能耗趋势预测与变化点预警、能效关联分析三类分析并输出结果，支撑“自动核算—异常发现—偏差定位—趋势预警”的管理闭环。</w:t>
      </w:r>
    </w:p>
    <w:p w14:paraId="1C344594">
      <w:pPr>
        <w:pStyle w:val="17"/>
        <w:ind w:firstLineChars="200"/>
        <w:rPr>
          <w:highlight w:val="none"/>
        </w:rPr>
      </w:pPr>
      <w:r>
        <w:rPr>
          <w:rFonts w:ascii="宋体" w:hAnsi="宋体" w:eastAsia="宋体" w:cs="宋体"/>
          <w:highlight w:val="none"/>
        </w:rPr>
        <w:t>建设能耗核算、偏差归因、趋势预警和关联分析，数据不足时明确提示缺口。核算前统一蒸汽、电力、水的计量范围，梳理闪蒸汽、冷凝水和内部回收等能源边界；偏差识别结合产量与负荷进行归一化处理，关联设备状态与过程变量分析变化原因，形成带数据依据的分析结果。</w:t>
      </w:r>
    </w:p>
    <w:p w14:paraId="7200000F">
      <w:pPr>
        <w:ind w:firstLineChars="200"/>
        <w:rPr>
          <w:rFonts w:ascii="宋体" w:hAnsi="宋体" w:eastAsia="宋体"/>
          <w:b w:val="0"/>
          <w:color w:val="auto"/>
        </w:rPr>
      </w:pPr>
      <w:r>
        <w:rPr>
          <w:rFonts w:ascii="宋体" w:hAnsi="宋体" w:eastAsia="宋体"/>
          <w:b w:val="0"/>
          <w:color w:val="auto"/>
        </w:rPr>
        <w:t>本场景的业务流程及节点说明见3.2.5节。</w:t>
      </w:r>
    </w:p>
    <w:p w14:paraId="0F387CA2">
      <w:pPr>
        <w:pStyle w:val="5"/>
        <w:snapToGrid w:val="0"/>
      </w:pPr>
      <w:bookmarkStart w:id="68" w:name="s5_3_2_6"/>
      <w:r>
        <w:rPr>
          <w:rFonts w:ascii="黑体" w:hAnsi="黑体" w:eastAsia="黑体" w:cs="黑体"/>
          <w:b/>
          <w:color w:val="000000"/>
        </w:rPr>
        <w:t>5.3.2.6　成本追溯</w:t>
      </w:r>
      <w:bookmarkEnd w:id="68"/>
    </w:p>
    <w:p w14:paraId="2C648FF0">
      <w:pPr>
        <w:ind w:firstLineChars="200"/>
        <w:rPr>
          <w:rFonts w:ascii="宋体" w:hAnsi="宋体" w:eastAsia="宋体"/>
          <w:b w:val="0"/>
          <w:color w:val="auto"/>
        </w:rPr>
      </w:pPr>
      <w:r>
        <w:rPr>
          <w:rFonts w:ascii="宋体" w:hAnsi="宋体" w:eastAsia="宋体"/>
          <w:b w:val="0"/>
          <w:color w:val="auto"/>
        </w:rPr>
        <w:t>面向生产管理建立从过程成本到工序、消耗要素及相关原因的追溯视图。按确认的成本构成和分摊口径，组织物料、能源动力、人工及公摊费用等结果，定位成本变化的主要要素，结合设备工况和平衡、能耗分析报告解释偏差，同时保留月度核定前后的版本，方便管理人员按统一口径比较。</w:t>
      </w:r>
    </w:p>
    <w:p w14:paraId="3FEFD2E6">
      <w:pPr>
        <w:pStyle w:val="15"/>
        <w:snapToGrid w:val="0"/>
        <w:jc w:val="center"/>
      </w:pPr>
      <w:r>
        <w:t>表5-8　成本追溯建设内容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4DB4F902">
        <w:trPr>
          <w:cantSplit/>
          <w:tblHeader/>
        </w:trPr>
        <w:tc>
          <w:tcPr>
            <w:tcW w:w="1527" w:type="dxa"/>
            <w:vAlign w:val="center"/>
          </w:tcPr>
          <w:p w14:paraId="0CC1859D">
            <w:pPr>
              <w:pStyle w:val="14"/>
              <w:snapToGrid w:val="0"/>
              <w:jc w:val="center"/>
            </w:pPr>
            <w:r>
              <w:rPr>
                <w:b/>
              </w:rPr>
              <w:t>功能事项</w:t>
            </w:r>
          </w:p>
        </w:tc>
        <w:tc>
          <w:tcPr>
            <w:tcW w:w="5538" w:type="dxa"/>
            <w:vAlign w:val="center"/>
          </w:tcPr>
          <w:p w14:paraId="57B09E76">
            <w:pPr>
              <w:pStyle w:val="14"/>
              <w:snapToGrid w:val="0"/>
              <w:jc w:val="center"/>
            </w:pPr>
            <w:r>
              <w:rPr>
                <w:b/>
              </w:rPr>
              <w:t>建设内容</w:t>
            </w:r>
          </w:p>
        </w:tc>
        <w:tc>
          <w:tcPr>
            <w:tcW w:w="2007" w:type="dxa"/>
            <w:vAlign w:val="center"/>
          </w:tcPr>
          <w:p w14:paraId="37E972CF">
            <w:pPr>
              <w:pStyle w:val="14"/>
              <w:snapToGrid w:val="0"/>
              <w:jc w:val="center"/>
            </w:pPr>
            <w:r>
              <w:rPr>
                <w:b/>
              </w:rPr>
              <w:t>业务输出</w:t>
            </w:r>
          </w:p>
        </w:tc>
      </w:tr>
      <w:tr w14:paraId="726AFABA">
        <w:trPr>
          <w:cantSplit/>
        </w:trPr>
        <w:tc>
          <w:tcPr>
            <w:tcW w:w="1527" w:type="dxa"/>
            <w:vAlign w:val="center"/>
          </w:tcPr>
          <w:p w14:paraId="632D7F7D">
            <w:pPr>
              <w:pStyle w:val="14"/>
              <w:snapToGrid w:val="0"/>
              <w:jc w:val="center"/>
            </w:pPr>
            <w:r>
              <w:t>成本构成追溯</w:t>
            </w:r>
          </w:p>
        </w:tc>
        <w:tc>
          <w:tcPr>
            <w:tcW w:w="5538" w:type="dxa"/>
            <w:vAlign w:val="center"/>
          </w:tcPr>
          <w:p w14:paraId="0CCD6768">
            <w:pPr>
              <w:pStyle w:val="14"/>
              <w:snapToGrid w:val="0"/>
              <w:jc w:val="left"/>
            </w:pPr>
            <w:r>
              <w:t>按工序和时间展示物料、能源动力、人工、环保、折旧及维护等构成，关联消耗和价格依据。</w:t>
            </w:r>
          </w:p>
        </w:tc>
        <w:tc>
          <w:tcPr>
            <w:tcW w:w="2007" w:type="dxa"/>
            <w:vAlign w:val="center"/>
          </w:tcPr>
          <w:p w14:paraId="4C2189F8">
            <w:pPr>
              <w:pStyle w:val="14"/>
              <w:snapToGrid w:val="0"/>
              <w:jc w:val="left"/>
            </w:pPr>
            <w:r>
              <w:t>工序成本构成与费用明细</w:t>
            </w:r>
          </w:p>
        </w:tc>
      </w:tr>
      <w:tr w14:paraId="2C59805D">
        <w:trPr>
          <w:cantSplit/>
        </w:trPr>
        <w:tc>
          <w:tcPr>
            <w:tcW w:w="1527" w:type="dxa"/>
            <w:vAlign w:val="center"/>
          </w:tcPr>
          <w:p w14:paraId="7603F5F2">
            <w:pPr>
              <w:pStyle w:val="14"/>
              <w:snapToGrid w:val="0"/>
              <w:jc w:val="left"/>
            </w:pPr>
            <w:r>
              <w:t>偏差要素与原因关联</w:t>
            </w:r>
          </w:p>
        </w:tc>
        <w:tc>
          <w:tcPr>
            <w:tcW w:w="5538" w:type="dxa"/>
            <w:vAlign w:val="center"/>
          </w:tcPr>
          <w:p w14:paraId="05483F79">
            <w:pPr>
              <w:pStyle w:val="14"/>
              <w:snapToGrid w:val="0"/>
              <w:jc w:val="left"/>
            </w:pPr>
            <w:r>
              <w:t>定位主要偏差要素，关联工艺拓扑、设备运行及物料平衡、能量平衡、能耗等已有原因报告。</w:t>
            </w:r>
          </w:p>
        </w:tc>
        <w:tc>
          <w:tcPr>
            <w:tcW w:w="2007" w:type="dxa"/>
            <w:vAlign w:val="center"/>
          </w:tcPr>
          <w:p w14:paraId="43894E3F">
            <w:pPr>
              <w:pStyle w:val="14"/>
              <w:snapToGrid w:val="0"/>
              <w:jc w:val="left"/>
            </w:pPr>
            <w:r>
              <w:t>偏差要素与关联原因证据</w:t>
            </w:r>
          </w:p>
        </w:tc>
      </w:tr>
      <w:tr w14:paraId="77D8E363">
        <w:trPr>
          <w:cantSplit/>
        </w:trPr>
        <w:tc>
          <w:tcPr>
            <w:tcW w:w="1527" w:type="dxa"/>
            <w:vAlign w:val="center"/>
          </w:tcPr>
          <w:p w14:paraId="235842F7">
            <w:pPr>
              <w:pStyle w:val="14"/>
              <w:snapToGrid w:val="0"/>
              <w:jc w:val="left"/>
            </w:pPr>
            <w:r>
              <w:t>结果核定与版本对照</w:t>
            </w:r>
          </w:p>
        </w:tc>
        <w:tc>
          <w:tcPr>
            <w:tcW w:w="5538" w:type="dxa"/>
            <w:vAlign w:val="center"/>
          </w:tcPr>
          <w:p w14:paraId="5D1D7AA2">
            <w:pPr>
              <w:pStyle w:val="14"/>
              <w:snapToGrid w:val="0"/>
              <w:jc w:val="left"/>
            </w:pPr>
            <w:r>
              <w:t>依据月度实际费用核定过程成本，保留修订前后版本、口径和依据，支持查询与比较。</w:t>
            </w:r>
          </w:p>
        </w:tc>
        <w:tc>
          <w:tcPr>
            <w:tcW w:w="2007" w:type="dxa"/>
            <w:vAlign w:val="center"/>
          </w:tcPr>
          <w:p w14:paraId="5996A56A">
            <w:pPr>
              <w:pStyle w:val="14"/>
              <w:snapToGrid w:val="0"/>
              <w:jc w:val="left"/>
            </w:pPr>
            <w:r>
              <w:t>过程成本报告与版本对照</w:t>
            </w:r>
          </w:p>
        </w:tc>
      </w:tr>
    </w:tbl>
    <w:p w14:paraId="5607D01A">
      <w:pPr>
        <w:pStyle w:val="12"/>
        <w:snapToGrid w:val="0"/>
        <w:spacing w:after="25"/>
      </w:pPr>
    </w:p>
    <w:p w14:paraId="5C6D62D5">
      <w:pPr>
        <w:ind w:firstLineChars="200"/>
        <w:rPr>
          <w:rFonts w:ascii="宋体" w:hAnsi="宋体" w:eastAsia="宋体"/>
          <w:b w:val="0"/>
          <w:color w:val="auto"/>
        </w:rPr>
      </w:pPr>
      <w:r>
        <w:rPr>
          <w:rFonts w:ascii="宋体" w:hAnsi="宋体" w:eastAsia="宋体"/>
          <w:b w:val="0"/>
          <w:color w:val="auto"/>
        </w:rPr>
        <w:t>主要输入：过程成本规则与核算结果、物料能源消耗、价格费率、人工费用和相关场景分析结论。</w:t>
      </w:r>
    </w:p>
    <w:p w14:paraId="72000011">
      <w:pPr>
        <w:ind w:firstLineChars="200"/>
        <w:rPr>
          <w:rFonts w:ascii="宋体" w:hAnsi="宋体" w:eastAsia="宋体"/>
          <w:b w:val="0"/>
          <w:color w:val="auto"/>
        </w:rPr>
      </w:pPr>
      <w:r>
        <w:rPr>
          <w:rFonts w:ascii="宋体" w:hAnsi="宋体" w:eastAsia="宋体"/>
          <w:b w:val="0"/>
          <w:color w:val="auto"/>
        </w:rPr>
        <w:t>本场景的业务流程及节点说明见3.2.6节。</w:t>
      </w:r>
    </w:p>
    <w:p w14:paraId="51B9EFDD">
      <w:pPr>
        <w:pStyle w:val="5"/>
        <w:snapToGrid w:val="0"/>
      </w:pPr>
      <w:bookmarkStart w:id="69" w:name="s5_3_2_7"/>
      <w:r>
        <w:rPr>
          <w:rFonts w:ascii="黑体" w:hAnsi="黑体" w:eastAsia="黑体" w:cs="黑体"/>
          <w:b/>
          <w:color w:val="000000"/>
        </w:rPr>
        <w:t>5.3.2.7　智能质量追溯</w:t>
      </w:r>
      <w:bookmarkEnd w:id="69"/>
    </w:p>
    <w:p w14:paraId="436AF9E2">
      <w:pPr>
        <w:ind w:firstLineChars="200"/>
        <w:rPr>
          <w:rFonts w:ascii="宋体" w:hAnsi="宋体" w:eastAsia="宋体"/>
          <w:b w:val="0"/>
          <w:color w:val="auto"/>
        </w:rPr>
      </w:pPr>
      <w:r>
        <w:rPr>
          <w:rFonts w:ascii="宋体" w:hAnsi="宋体" w:eastAsia="宋体"/>
          <w:b w:val="0"/>
          <w:color w:val="auto"/>
        </w:rPr>
        <w:t>围绕原辅料、中间产品和成品批次，贯通生产、检验、工艺、设备及仓储发运信息，形成可正向追踪和反向追溯的质量证据链。逐节点核对检测值与规格要求，识别超限、临界和在制状态；对确认存在问题的原料批次，汇总下游关联批次及其位置，并结合DCS工况与运行记录及现场证据解释质量异常。</w:t>
      </w:r>
    </w:p>
    <w:p w14:paraId="5DE30D69">
      <w:pPr>
        <w:pStyle w:val="15"/>
        <w:snapToGrid w:val="0"/>
        <w:jc w:val="center"/>
      </w:pPr>
      <w:r>
        <w:t>表5-9　智能质量追溯建设内容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630D255F">
        <w:trPr>
          <w:cantSplit/>
          <w:tblHeader/>
        </w:trPr>
        <w:tc>
          <w:tcPr>
            <w:tcW w:w="1527" w:type="dxa"/>
            <w:vAlign w:val="center"/>
          </w:tcPr>
          <w:p w14:paraId="67561621">
            <w:pPr>
              <w:pStyle w:val="14"/>
              <w:snapToGrid w:val="0"/>
              <w:jc w:val="center"/>
            </w:pPr>
            <w:r>
              <w:rPr>
                <w:b/>
              </w:rPr>
              <w:t>功能事项</w:t>
            </w:r>
          </w:p>
        </w:tc>
        <w:tc>
          <w:tcPr>
            <w:tcW w:w="5538" w:type="dxa"/>
            <w:vAlign w:val="center"/>
          </w:tcPr>
          <w:p w14:paraId="0934C1C3">
            <w:pPr>
              <w:pStyle w:val="14"/>
              <w:snapToGrid w:val="0"/>
              <w:jc w:val="center"/>
            </w:pPr>
            <w:r>
              <w:rPr>
                <w:b/>
              </w:rPr>
              <w:t>建设内容</w:t>
            </w:r>
          </w:p>
        </w:tc>
        <w:tc>
          <w:tcPr>
            <w:tcW w:w="2007" w:type="dxa"/>
            <w:vAlign w:val="center"/>
          </w:tcPr>
          <w:p w14:paraId="55667F91">
            <w:pPr>
              <w:pStyle w:val="14"/>
              <w:snapToGrid w:val="0"/>
              <w:jc w:val="center"/>
            </w:pPr>
            <w:r>
              <w:rPr>
                <w:b/>
              </w:rPr>
              <w:t>业务输出</w:t>
            </w:r>
          </w:p>
        </w:tc>
      </w:tr>
      <w:tr w14:paraId="743345D5">
        <w:trPr>
          <w:cantSplit/>
        </w:trPr>
        <w:tc>
          <w:tcPr>
            <w:tcW w:w="1527" w:type="dxa"/>
            <w:vAlign w:val="center"/>
          </w:tcPr>
          <w:p w14:paraId="13AAC6CB">
            <w:pPr>
              <w:pStyle w:val="14"/>
              <w:snapToGrid w:val="0"/>
              <w:jc w:val="left"/>
            </w:pPr>
            <w:r>
              <w:t>批次谱系与节点核查</w:t>
            </w:r>
          </w:p>
        </w:tc>
        <w:tc>
          <w:tcPr>
            <w:tcW w:w="5538" w:type="dxa"/>
            <w:vAlign w:val="center"/>
          </w:tcPr>
          <w:p w14:paraId="747C011C">
            <w:pPr>
              <w:pStyle w:val="14"/>
              <w:snapToGrid w:val="0"/>
              <w:jc w:val="left"/>
            </w:pPr>
            <w:r>
              <w:t>从原料向下游追踪或从成品反查，逐支核对工序、检验、设备、工艺参数和环境记录。</w:t>
            </w:r>
          </w:p>
        </w:tc>
        <w:tc>
          <w:tcPr>
            <w:tcW w:w="2007" w:type="dxa"/>
            <w:vAlign w:val="center"/>
          </w:tcPr>
          <w:p w14:paraId="3224B38C">
            <w:pPr>
              <w:pStyle w:val="14"/>
              <w:snapToGrid w:val="0"/>
              <w:jc w:val="left"/>
            </w:pPr>
            <w:r>
              <w:t>批次树、节点状态及证据链</w:t>
            </w:r>
          </w:p>
        </w:tc>
      </w:tr>
      <w:tr w14:paraId="30B8E1A9">
        <w:trPr>
          <w:cantSplit/>
        </w:trPr>
        <w:tc>
          <w:tcPr>
            <w:tcW w:w="1527" w:type="dxa"/>
            <w:vAlign w:val="center"/>
          </w:tcPr>
          <w:p w14:paraId="0219CED5">
            <w:pPr>
              <w:pStyle w:val="14"/>
              <w:snapToGrid w:val="0"/>
              <w:jc w:val="left"/>
            </w:pPr>
            <w:r>
              <w:t>异常诊断与原因追溯</w:t>
            </w:r>
          </w:p>
        </w:tc>
        <w:tc>
          <w:tcPr>
            <w:tcW w:w="5538" w:type="dxa"/>
            <w:vAlign w:val="center"/>
          </w:tcPr>
          <w:p w14:paraId="0757F505">
            <w:pPr>
              <w:pStyle w:val="14"/>
              <w:snapToGrid w:val="0"/>
              <w:jc w:val="left"/>
            </w:pPr>
            <w:r>
              <w:t>对异常节点关联DCS工况与运行记录，结合环境、设备和工艺因素逐项核证，形成分级原因。</w:t>
            </w:r>
          </w:p>
        </w:tc>
        <w:tc>
          <w:tcPr>
            <w:tcW w:w="2007" w:type="dxa"/>
            <w:vAlign w:val="center"/>
          </w:tcPr>
          <w:p w14:paraId="237460C7">
            <w:pPr>
              <w:pStyle w:val="14"/>
              <w:snapToGrid w:val="0"/>
              <w:jc w:val="left"/>
            </w:pPr>
            <w:r>
              <w:t>异常节点与分级原因报告</w:t>
            </w:r>
          </w:p>
        </w:tc>
      </w:tr>
      <w:tr w14:paraId="41009F53">
        <w:trPr>
          <w:cantSplit/>
        </w:trPr>
        <w:tc>
          <w:tcPr>
            <w:tcW w:w="1527" w:type="dxa"/>
            <w:vAlign w:val="center"/>
          </w:tcPr>
          <w:p w14:paraId="453E21C2">
            <w:pPr>
              <w:pStyle w:val="14"/>
              <w:snapToGrid w:val="0"/>
              <w:jc w:val="left"/>
            </w:pPr>
            <w:r>
              <w:t>受影响批次与明细</w:t>
            </w:r>
          </w:p>
        </w:tc>
        <w:tc>
          <w:tcPr>
            <w:tcW w:w="5538" w:type="dxa"/>
            <w:vAlign w:val="center"/>
          </w:tcPr>
          <w:p w14:paraId="0B8E9A86">
            <w:pPr>
              <w:pStyle w:val="14"/>
              <w:snapToGrid w:val="0"/>
              <w:jc w:val="left"/>
            </w:pPr>
            <w:r>
              <w:t>对问题原料关联的末端批次查询在库、在途及已发出状态，提供与报告快照一致的原始明细。</w:t>
            </w:r>
          </w:p>
        </w:tc>
        <w:tc>
          <w:tcPr>
            <w:tcW w:w="2007" w:type="dxa"/>
            <w:vAlign w:val="center"/>
          </w:tcPr>
          <w:p w14:paraId="2E6A17E0">
            <w:pPr>
              <w:pStyle w:val="14"/>
              <w:snapToGrid w:val="0"/>
              <w:jc w:val="left"/>
            </w:pPr>
            <w:r>
              <w:t>关联批次位置清单与明细</w:t>
            </w:r>
          </w:p>
        </w:tc>
      </w:tr>
    </w:tbl>
    <w:p w14:paraId="780D8B49">
      <w:pPr>
        <w:pStyle w:val="12"/>
        <w:snapToGrid w:val="0"/>
        <w:spacing w:after="25"/>
      </w:pPr>
    </w:p>
    <w:p w14:paraId="184FA7B6">
      <w:pPr>
        <w:ind w:firstLineChars="200"/>
        <w:rPr>
          <w:rFonts w:ascii="宋体" w:hAnsi="宋体" w:eastAsia="宋体"/>
          <w:b w:val="0"/>
          <w:color w:val="auto"/>
        </w:rPr>
      </w:pPr>
      <w:r>
        <w:rPr>
          <w:rFonts w:ascii="宋体" w:hAnsi="宋体" w:eastAsia="宋体"/>
          <w:b w:val="0"/>
          <w:color w:val="auto"/>
        </w:rPr>
        <w:t>主要输入：批次谱系、检验结果与规格限、工艺设备环境记录、DCS工况与运行数据和库存发运位置。</w:t>
      </w:r>
    </w:p>
    <w:p w14:paraId="72000013">
      <w:pPr>
        <w:ind w:firstLineChars="200"/>
        <w:rPr>
          <w:rFonts w:ascii="宋体" w:hAnsi="宋体" w:eastAsia="宋体"/>
          <w:b w:val="0"/>
          <w:color w:val="auto"/>
        </w:rPr>
      </w:pPr>
      <w:r>
        <w:rPr>
          <w:rFonts w:ascii="宋体" w:hAnsi="宋体" w:eastAsia="宋体"/>
          <w:b w:val="0"/>
          <w:color w:val="auto"/>
        </w:rPr>
        <w:t>本场景的业务流程及节点说明见3.2.7节。</w:t>
      </w:r>
    </w:p>
    <w:p w14:paraId="79271A8C">
      <w:pPr>
        <w:pStyle w:val="5"/>
        <w:snapToGrid w:val="0"/>
      </w:pPr>
      <w:bookmarkStart w:id="70" w:name="s5_3_2_8"/>
      <w:r>
        <w:rPr>
          <w:rFonts w:ascii="黑体" w:hAnsi="黑体" w:eastAsia="黑体" w:cs="黑体"/>
          <w:b/>
          <w:color w:val="000000"/>
        </w:rPr>
        <w:t>5.3.2.8　动设备故障预警与动设备管理</w:t>
      </w:r>
      <w:bookmarkEnd w:id="70"/>
    </w:p>
    <w:p w14:paraId="17C1C177">
      <w:pPr>
        <w:ind w:firstLineChars="200"/>
        <w:rPr>
          <w:rFonts w:ascii="宋体" w:hAnsi="宋体" w:eastAsia="宋体"/>
          <w:b w:val="0"/>
          <w:color w:val="auto"/>
        </w:rPr>
      </w:pPr>
      <w:r>
        <w:rPr>
          <w:rFonts w:ascii="宋体" w:hAnsi="宋体" w:eastAsia="宋体"/>
          <w:b w:val="0"/>
          <w:color w:val="auto"/>
        </w:rPr>
        <w:t>围绕大型动设备预警，将健康状态、测点趋势与设备档案、维修、备件和责任人信息集中关联，帮助设备人员判断严重程度和处置条件。对同一设备短时多条预警进行聚合，结合阈值、故障模式及已有诊断形成建议，同时提供保养到期、维修事项和检修后持续预警等设备清单，支持日常维护安排。</w:t>
      </w:r>
    </w:p>
    <w:p w14:paraId="571FC4A5">
      <w:pPr>
        <w:pStyle w:val="15"/>
        <w:snapToGrid w:val="0"/>
        <w:jc w:val="center"/>
      </w:pPr>
      <w:r>
        <w:t>表5-10　动设备故障预警与动设备管理建设内容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665901C3">
        <w:trPr>
          <w:cantSplit/>
          <w:tblHeader/>
        </w:trPr>
        <w:tc>
          <w:tcPr>
            <w:tcW w:w="1527" w:type="dxa"/>
            <w:vAlign w:val="center"/>
          </w:tcPr>
          <w:p w14:paraId="0D10D6CC">
            <w:pPr>
              <w:pStyle w:val="14"/>
              <w:snapToGrid w:val="0"/>
              <w:jc w:val="center"/>
            </w:pPr>
            <w:r>
              <w:rPr>
                <w:b/>
              </w:rPr>
              <w:t>功能事项</w:t>
            </w:r>
          </w:p>
        </w:tc>
        <w:tc>
          <w:tcPr>
            <w:tcW w:w="5538" w:type="dxa"/>
            <w:vAlign w:val="center"/>
          </w:tcPr>
          <w:p w14:paraId="67D26125">
            <w:pPr>
              <w:pStyle w:val="14"/>
              <w:snapToGrid w:val="0"/>
              <w:jc w:val="center"/>
            </w:pPr>
            <w:r>
              <w:rPr>
                <w:b/>
              </w:rPr>
              <w:t>建设内容</w:t>
            </w:r>
          </w:p>
        </w:tc>
        <w:tc>
          <w:tcPr>
            <w:tcW w:w="2007" w:type="dxa"/>
            <w:vAlign w:val="center"/>
          </w:tcPr>
          <w:p w14:paraId="0C81691E">
            <w:pPr>
              <w:pStyle w:val="14"/>
              <w:snapToGrid w:val="0"/>
              <w:jc w:val="center"/>
            </w:pPr>
            <w:r>
              <w:rPr>
                <w:b/>
              </w:rPr>
              <w:t>业务输出</w:t>
            </w:r>
          </w:p>
        </w:tc>
      </w:tr>
      <w:tr w14:paraId="06F907A8">
        <w:trPr>
          <w:cantSplit/>
        </w:trPr>
        <w:tc>
          <w:tcPr>
            <w:tcW w:w="1527" w:type="dxa"/>
            <w:vAlign w:val="center"/>
          </w:tcPr>
          <w:p w14:paraId="1F258501">
            <w:pPr>
              <w:pStyle w:val="14"/>
              <w:snapToGrid w:val="0"/>
              <w:jc w:val="left"/>
            </w:pPr>
            <w:r>
              <w:t>预警聚合与设备资料</w:t>
            </w:r>
          </w:p>
        </w:tc>
        <w:tc>
          <w:tcPr>
            <w:tcW w:w="5538" w:type="dxa"/>
            <w:vAlign w:val="center"/>
          </w:tcPr>
          <w:p w14:paraId="09316A1F">
            <w:pPr>
              <w:pStyle w:val="14"/>
              <w:snapToGrid w:val="0"/>
              <w:jc w:val="left"/>
            </w:pPr>
            <w:r>
              <w:t>聚合同设备相关预警，关联型号、位置、工艺角色、投用日期、维修记录、备件库存及责任人。</w:t>
            </w:r>
          </w:p>
        </w:tc>
        <w:tc>
          <w:tcPr>
            <w:tcW w:w="2007" w:type="dxa"/>
            <w:vAlign w:val="center"/>
          </w:tcPr>
          <w:p w14:paraId="244C840D">
            <w:pPr>
              <w:pStyle w:val="14"/>
              <w:snapToGrid w:val="0"/>
              <w:jc w:val="left"/>
            </w:pPr>
            <w:r>
              <w:t>设备预警卡与维护依据</w:t>
            </w:r>
          </w:p>
        </w:tc>
      </w:tr>
      <w:tr w14:paraId="703C4FC0">
        <w:trPr>
          <w:cantSplit/>
        </w:trPr>
        <w:tc>
          <w:tcPr>
            <w:tcW w:w="1527" w:type="dxa"/>
            <w:vAlign w:val="center"/>
          </w:tcPr>
          <w:p w14:paraId="7D7C0A64">
            <w:pPr>
              <w:pStyle w:val="14"/>
              <w:snapToGrid w:val="0"/>
              <w:jc w:val="left"/>
            </w:pPr>
            <w:r>
              <w:t>阈值趋势与故障解读</w:t>
            </w:r>
          </w:p>
        </w:tc>
        <w:tc>
          <w:tcPr>
            <w:tcW w:w="5538" w:type="dxa"/>
            <w:vAlign w:val="center"/>
          </w:tcPr>
          <w:p w14:paraId="2599B588">
            <w:pPr>
              <w:pStyle w:val="14"/>
              <w:snapToGrid w:val="0"/>
              <w:jc w:val="left"/>
            </w:pPr>
            <w:r>
              <w:t>结合额定参数、报警联锁阈值和时序趋势解释状态，关联故障模式及已有诊断形成排查建议。</w:t>
            </w:r>
          </w:p>
        </w:tc>
        <w:tc>
          <w:tcPr>
            <w:tcW w:w="2007" w:type="dxa"/>
            <w:vAlign w:val="center"/>
          </w:tcPr>
          <w:p w14:paraId="34A9F6EC">
            <w:pPr>
              <w:pStyle w:val="14"/>
              <w:snapToGrid w:val="0"/>
              <w:jc w:val="left"/>
            </w:pPr>
            <w:r>
              <w:t>状态解读与排查建议</w:t>
            </w:r>
          </w:p>
        </w:tc>
      </w:tr>
      <w:tr w14:paraId="24203F00">
        <w:trPr>
          <w:cantSplit/>
        </w:trPr>
        <w:tc>
          <w:tcPr>
            <w:tcW w:w="1527" w:type="dxa"/>
            <w:vAlign w:val="center"/>
          </w:tcPr>
          <w:p w14:paraId="14875BF4">
            <w:pPr>
              <w:pStyle w:val="14"/>
              <w:snapToGrid w:val="0"/>
              <w:jc w:val="left"/>
            </w:pPr>
            <w:r>
              <w:t>维护事项与经验沉淀</w:t>
            </w:r>
          </w:p>
        </w:tc>
        <w:tc>
          <w:tcPr>
            <w:tcW w:w="5538" w:type="dxa"/>
            <w:vAlign w:val="center"/>
          </w:tcPr>
          <w:p w14:paraId="03AEF2FD">
            <w:pPr>
              <w:pStyle w:val="14"/>
              <w:snapToGrid w:val="0"/>
              <w:jc w:val="left"/>
            </w:pPr>
            <w:r>
              <w:t>查询保养到期、当日维修和检修后持续预警设备，按风险整理清单，收集责任人复核反馈。</w:t>
            </w:r>
          </w:p>
        </w:tc>
        <w:tc>
          <w:tcPr>
            <w:tcW w:w="2007" w:type="dxa"/>
            <w:vAlign w:val="center"/>
          </w:tcPr>
          <w:p w14:paraId="7D521AA6">
            <w:pPr>
              <w:pStyle w:val="14"/>
              <w:snapToGrid w:val="0"/>
              <w:jc w:val="left"/>
            </w:pPr>
            <w:r>
              <w:t>维护清单与确认案例</w:t>
            </w:r>
          </w:p>
        </w:tc>
      </w:tr>
    </w:tbl>
    <w:p w14:paraId="45FF2DA5">
      <w:pPr>
        <w:pStyle w:val="12"/>
        <w:snapToGrid w:val="0"/>
        <w:spacing w:after="25"/>
      </w:pPr>
    </w:p>
    <w:p w14:paraId="6266C38D">
      <w:pPr>
        <w:ind w:firstLineChars="200"/>
        <w:rPr>
          <w:rFonts w:ascii="宋体" w:hAnsi="宋体" w:eastAsia="宋体"/>
          <w:b w:val="0"/>
          <w:color w:val="auto"/>
        </w:rPr>
      </w:pPr>
      <w:r>
        <w:rPr>
          <w:rFonts w:ascii="宋体" w:hAnsi="宋体" w:eastAsia="宋体"/>
          <w:b w:val="0"/>
          <w:color w:val="auto"/>
        </w:rPr>
        <w:t>主要输入：PHM预警与健康状态、设备台账、测点趋势、阈值、维修记录、备件及责任人信息。</w:t>
      </w:r>
    </w:p>
    <w:p w14:paraId="72000015">
      <w:pPr>
        <w:ind w:firstLineChars="200"/>
        <w:rPr>
          <w:rFonts w:ascii="宋体" w:hAnsi="宋体" w:eastAsia="宋体"/>
          <w:b w:val="0"/>
          <w:color w:val="auto"/>
        </w:rPr>
      </w:pPr>
      <w:r>
        <w:rPr>
          <w:rFonts w:ascii="宋体" w:hAnsi="宋体" w:eastAsia="宋体"/>
          <w:b w:val="0"/>
          <w:color w:val="auto"/>
        </w:rPr>
        <w:t>本场景的业务流程及节点说明见3.2.8节。</w:t>
      </w:r>
    </w:p>
    <w:p w14:paraId="6F281AF3">
      <w:pPr>
        <w:pStyle w:val="5"/>
        <w:snapToGrid w:val="0"/>
      </w:pPr>
      <w:bookmarkStart w:id="71" w:name="s5_3_2_9"/>
      <w:r>
        <w:rPr>
          <w:rFonts w:ascii="黑体" w:hAnsi="黑体" w:eastAsia="黑体" w:cs="黑体"/>
          <w:b/>
          <w:color w:val="000000"/>
        </w:rPr>
        <w:t>5.3.2.9　质量根因分析</w:t>
      </w:r>
      <w:bookmarkEnd w:id="71"/>
    </w:p>
    <w:p w14:paraId="2A89F3E1">
      <w:pPr>
        <w:ind w:firstLineChars="200"/>
        <w:rPr>
          <w:rFonts w:ascii="宋体" w:hAnsi="宋体" w:eastAsia="宋体"/>
          <w:b w:val="0"/>
          <w:color w:val="auto"/>
        </w:rPr>
      </w:pPr>
      <w:r>
        <w:rPr>
          <w:rFonts w:ascii="宋体" w:hAnsi="宋体" w:eastAsia="宋体"/>
          <w:b w:val="0"/>
          <w:color w:val="auto"/>
        </w:rPr>
        <w:t>围绕产品质量偏离和趋势变化，关联质量知识图谱、工艺运行与检验数据，开展多源证据对齐、信号异常核验、根因诊断和人员复核，形成根因链、因素贡献度及改进建议。诊断结果及复核状态进入分析台账，统一入口按业务授权提供查询、展示、事件推送和明细追问，使质量诊断、处置记录与结果应用相互衔接。</w:t>
      </w:r>
    </w:p>
    <w:p w14:paraId="174E6F72">
      <w:pPr>
        <w:pStyle w:val="15"/>
        <w:snapToGrid w:val="0"/>
        <w:jc w:val="center"/>
      </w:pPr>
      <w:r>
        <w:t>表5-11　质量根因分析建设内容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08A3D380">
        <w:trPr>
          <w:cantSplit/>
          <w:tblHeader/>
        </w:trPr>
        <w:tc>
          <w:tcPr>
            <w:tcW w:w="1527" w:type="dxa"/>
            <w:vAlign w:val="center"/>
          </w:tcPr>
          <w:p w14:paraId="32D2C856">
            <w:pPr>
              <w:pStyle w:val="14"/>
              <w:keepNext w:val="0"/>
              <w:keepLines/>
              <w:snapToGrid w:val="0"/>
              <w:jc w:val="center"/>
            </w:pPr>
            <w:r>
              <w:rPr>
                <w:b/>
              </w:rPr>
              <w:t>功能事项</w:t>
            </w:r>
          </w:p>
        </w:tc>
        <w:tc>
          <w:tcPr>
            <w:tcW w:w="5538" w:type="dxa"/>
            <w:vAlign w:val="center"/>
          </w:tcPr>
          <w:p w14:paraId="30721B57">
            <w:pPr>
              <w:pStyle w:val="14"/>
              <w:keepNext w:val="0"/>
              <w:keepLines/>
              <w:snapToGrid w:val="0"/>
              <w:jc w:val="center"/>
            </w:pPr>
            <w:r>
              <w:rPr>
                <w:b/>
              </w:rPr>
              <w:t>建设内容</w:t>
            </w:r>
          </w:p>
        </w:tc>
        <w:tc>
          <w:tcPr>
            <w:tcW w:w="2007" w:type="dxa"/>
            <w:vAlign w:val="center"/>
          </w:tcPr>
          <w:p w14:paraId="0866BFA5">
            <w:pPr>
              <w:pStyle w:val="14"/>
              <w:keepNext w:val="0"/>
              <w:keepLines/>
              <w:snapToGrid w:val="0"/>
              <w:jc w:val="center"/>
            </w:pPr>
            <w:r>
              <w:rPr>
                <w:b/>
              </w:rPr>
              <w:t>业务输出</w:t>
            </w:r>
          </w:p>
        </w:tc>
      </w:tr>
      <w:tr w14:paraId="30AAED52">
        <w:trPr>
          <w:cantSplit/>
        </w:trPr>
        <w:tc>
          <w:tcPr>
            <w:tcW w:w="1527" w:type="dxa"/>
            <w:vAlign w:val="center"/>
          </w:tcPr>
          <w:p w14:paraId="4577BE06">
            <w:pPr>
              <w:pStyle w:val="14"/>
              <w:keepNext w:val="0"/>
              <w:keepLines/>
              <w:snapToGrid w:val="0"/>
              <w:jc w:val="left"/>
            </w:pPr>
            <w:r>
              <w:t>质量监控与事件触发</w:t>
            </w:r>
          </w:p>
        </w:tc>
        <w:tc>
          <w:tcPr>
            <w:tcW w:w="5538" w:type="dxa"/>
            <w:vAlign w:val="center"/>
          </w:tcPr>
          <w:p w14:paraId="5D797279">
            <w:pPr>
              <w:pStyle w:val="14"/>
              <w:keepNext w:val="0"/>
              <w:keepLines/>
              <w:snapToGrid w:val="0"/>
              <w:jc w:val="left"/>
            </w:pPr>
            <w:r>
              <w:t>持续跟踪质量指标趋势、工艺参数稳定性、原料批次切换和设备扰动，识别质量偏离与趋势性漂移，形成质量分析任务。</w:t>
            </w:r>
          </w:p>
        </w:tc>
        <w:tc>
          <w:tcPr>
            <w:tcW w:w="2007" w:type="dxa"/>
            <w:vAlign w:val="center"/>
          </w:tcPr>
          <w:p w14:paraId="2C3F06EC">
            <w:pPr>
              <w:pStyle w:val="14"/>
              <w:keepNext w:val="0"/>
              <w:keepLines/>
              <w:snapToGrid w:val="0"/>
              <w:jc w:val="left"/>
            </w:pPr>
            <w:r>
              <w:t>质量事件、趋势与分析任务</w:t>
            </w:r>
          </w:p>
        </w:tc>
      </w:tr>
      <w:tr w14:paraId="6C2C58C8">
        <w:trPr>
          <w:cantSplit/>
        </w:trPr>
        <w:tc>
          <w:tcPr>
            <w:tcW w:w="1527" w:type="dxa"/>
            <w:vAlign w:val="center"/>
          </w:tcPr>
          <w:p w14:paraId="1DC28707">
            <w:pPr>
              <w:pStyle w:val="14"/>
              <w:keepNext w:val="0"/>
              <w:keepLines/>
              <w:snapToGrid w:val="0"/>
              <w:jc w:val="left"/>
            </w:pPr>
            <w:r>
              <w:t>质量因果网络与证据关联</w:t>
            </w:r>
          </w:p>
        </w:tc>
        <w:tc>
          <w:tcPr>
            <w:tcW w:w="5538" w:type="dxa"/>
            <w:vAlign w:val="center"/>
          </w:tcPr>
          <w:p w14:paraId="3C67A86A">
            <w:pPr>
              <w:pStyle w:val="14"/>
              <w:keepNext w:val="0"/>
              <w:keepLines/>
              <w:snapToGrid w:val="0"/>
              <w:jc w:val="left"/>
            </w:pPr>
            <w:r>
              <w:t>以DE值、透光率、色值、水分等终点指标关联中间质检点、工序参数及原料批次，映射设备和环境因素；在统一时间轴关联工艺、工单、化验及在线检测数据。</w:t>
            </w:r>
          </w:p>
        </w:tc>
        <w:tc>
          <w:tcPr>
            <w:tcW w:w="2007" w:type="dxa"/>
            <w:vAlign w:val="center"/>
          </w:tcPr>
          <w:p w14:paraId="37785FAF">
            <w:pPr>
              <w:pStyle w:val="14"/>
              <w:keepNext w:val="0"/>
              <w:keepLines/>
              <w:snapToGrid w:val="0"/>
              <w:jc w:val="left"/>
            </w:pPr>
            <w:r>
              <w:t>质量因果链、时序对齐证据</w:t>
            </w:r>
          </w:p>
        </w:tc>
      </w:tr>
      <w:tr w14:paraId="46026C75">
        <w:trPr>
          <w:cantSplit/>
        </w:trPr>
        <w:tc>
          <w:tcPr>
            <w:tcW w:w="1527" w:type="dxa"/>
            <w:vAlign w:val="center"/>
          </w:tcPr>
          <w:p w14:paraId="5A213740">
            <w:pPr>
              <w:pStyle w:val="14"/>
              <w:keepNext w:val="0"/>
              <w:keepLines/>
              <w:snapToGrid w:val="0"/>
              <w:jc w:val="left"/>
            </w:pPr>
            <w:r>
              <w:t>信号核验与根因诊断</w:t>
            </w:r>
          </w:p>
        </w:tc>
        <w:tc>
          <w:tcPr>
            <w:tcW w:w="5538" w:type="dxa"/>
            <w:vAlign w:val="center"/>
          </w:tcPr>
          <w:p w14:paraId="75C7AFCB">
            <w:pPr>
              <w:pStyle w:val="14"/>
              <w:keepNext w:val="0"/>
              <w:keepLines/>
              <w:snapToGrid w:val="0"/>
              <w:jc w:val="left"/>
            </w:pPr>
            <w:r>
              <w:t>区分仪表、通讯等信号异常与真实质量偏离；沿因果链逐级回溯，输出根因链、因素贡献度排序、置信度及针对性建议。</w:t>
            </w:r>
          </w:p>
        </w:tc>
        <w:tc>
          <w:tcPr>
            <w:tcW w:w="2007" w:type="dxa"/>
            <w:vAlign w:val="center"/>
          </w:tcPr>
          <w:p w14:paraId="288D08F1">
            <w:pPr>
              <w:pStyle w:val="14"/>
              <w:keepNext w:val="0"/>
              <w:keepLines/>
              <w:snapToGrid w:val="0"/>
              <w:jc w:val="left"/>
            </w:pPr>
            <w:r>
              <w:t>人工核验提示、质量归因报告</w:t>
            </w:r>
          </w:p>
        </w:tc>
      </w:tr>
      <w:tr w14:paraId="6FEBFE16">
        <w:trPr>
          <w:cantSplit/>
        </w:trPr>
        <w:tc>
          <w:tcPr>
            <w:tcW w:w="1527" w:type="dxa"/>
            <w:vAlign w:val="center"/>
          </w:tcPr>
          <w:p w14:paraId="37D2CB7B">
            <w:pPr>
              <w:pStyle w:val="14"/>
              <w:keepNext w:val="0"/>
              <w:keepLines/>
              <w:snapToGrid w:val="0"/>
              <w:jc w:val="left"/>
            </w:pPr>
            <w:r>
              <w:t>人员复核与案例沉淀</w:t>
            </w:r>
          </w:p>
        </w:tc>
        <w:tc>
          <w:tcPr>
            <w:tcW w:w="5538" w:type="dxa"/>
            <w:vAlign w:val="center"/>
          </w:tcPr>
          <w:p w14:paraId="196B2D30">
            <w:pPr>
              <w:pStyle w:val="14"/>
              <w:keepNext w:val="0"/>
              <w:keepLines/>
              <w:snapToGrid w:val="0"/>
              <w:jc w:val="left"/>
            </w:pPr>
            <w:r>
              <w:t>品控和工艺人员复核并采纳或否认结论，否认时更新操作并触发重诊；确认执行后归档案例、更新图谱权重并同步既有交接班记录，结论供相关工艺优化应用使用。</w:t>
            </w:r>
          </w:p>
        </w:tc>
        <w:tc>
          <w:tcPr>
            <w:tcW w:w="2007" w:type="dxa"/>
            <w:vAlign w:val="center"/>
          </w:tcPr>
          <w:p w14:paraId="258FBCE0">
            <w:pPr>
              <w:pStyle w:val="14"/>
              <w:keepNext w:val="0"/>
              <w:keepLines/>
              <w:snapToGrid w:val="0"/>
              <w:jc w:val="left"/>
            </w:pPr>
            <w:r>
              <w:t>复核和处置记录、质量案例</w:t>
            </w:r>
          </w:p>
        </w:tc>
      </w:tr>
      <w:tr w14:paraId="5ADEE5F5">
        <w:trPr>
          <w:cantSplit/>
        </w:trPr>
        <w:tc>
          <w:tcPr>
            <w:tcW w:w="1527" w:type="dxa"/>
            <w:vAlign w:val="center"/>
          </w:tcPr>
          <w:p w14:paraId="1E8BE08E">
            <w:pPr>
              <w:pStyle w:val="14"/>
              <w:keepNext w:val="0"/>
              <w:keepLines/>
              <w:snapToGrid w:val="0"/>
              <w:jc w:val="left"/>
            </w:pPr>
            <w:r>
              <w:t>分析台账与结果保真</w:t>
            </w:r>
          </w:p>
        </w:tc>
        <w:tc>
          <w:tcPr>
            <w:tcW w:w="5538" w:type="dxa"/>
            <w:vAlign w:val="center"/>
          </w:tcPr>
          <w:p w14:paraId="2770BBC2">
            <w:pPr>
              <w:pStyle w:val="14"/>
              <w:keepNext w:val="0"/>
              <w:keepLines/>
              <w:snapToGrid w:val="0"/>
              <w:jc w:val="left"/>
            </w:pPr>
            <w:r>
              <w:t>关联事件编号、对象及时间，保存诊断结论、建议、版本和采纳、驳回、未复核状态；查询时校验业务授权、数字及结论一致性。</w:t>
            </w:r>
          </w:p>
        </w:tc>
        <w:tc>
          <w:tcPr>
            <w:tcW w:w="2007" w:type="dxa"/>
            <w:vAlign w:val="center"/>
          </w:tcPr>
          <w:p w14:paraId="3182ED8F">
            <w:pPr>
              <w:pStyle w:val="14"/>
              <w:keepNext w:val="0"/>
              <w:keepLines/>
              <w:snapToGrid w:val="0"/>
              <w:jc w:val="left"/>
            </w:pPr>
            <w:r>
              <w:t>可追溯分析台账、保真结果</w:t>
            </w:r>
          </w:p>
        </w:tc>
      </w:tr>
      <w:tr w14:paraId="1BCF092F">
        <w:trPr>
          <w:cantSplit/>
        </w:trPr>
        <w:tc>
          <w:tcPr>
            <w:tcW w:w="1527" w:type="dxa"/>
            <w:vAlign w:val="center"/>
          </w:tcPr>
          <w:p w14:paraId="7C61B91E">
            <w:pPr>
              <w:pStyle w:val="14"/>
              <w:keepNext w:val="0"/>
              <w:keepLines/>
              <w:snapToGrid w:val="0"/>
              <w:jc w:val="left"/>
            </w:pPr>
            <w:r>
              <w:t>统一查询与订阅推送</w:t>
            </w:r>
          </w:p>
        </w:tc>
        <w:tc>
          <w:tcPr>
            <w:tcW w:w="5538" w:type="dxa"/>
            <w:vAlign w:val="center"/>
          </w:tcPr>
          <w:p w14:paraId="14A999CD">
            <w:pPr>
              <w:pStyle w:val="14"/>
              <w:keepNext w:val="0"/>
              <w:keepLines/>
              <w:snapToGrid w:val="0"/>
              <w:jc w:val="left"/>
            </w:pPr>
            <w:r>
              <w:t>支持按对象、时间或事件编号查询既成结论、订阅已登记的分析完成事件并追问明细；无记录、无权限和执行失败分别说明。</w:t>
            </w:r>
          </w:p>
        </w:tc>
        <w:tc>
          <w:tcPr>
            <w:tcW w:w="2007" w:type="dxa"/>
            <w:vAlign w:val="center"/>
          </w:tcPr>
          <w:p w14:paraId="74120701">
            <w:pPr>
              <w:pStyle w:val="14"/>
              <w:keepNext w:val="0"/>
              <w:keepLines/>
              <w:snapToGrid w:val="0"/>
              <w:jc w:val="left"/>
            </w:pPr>
            <w:r>
              <w:t>会话应答、报告、授权通知与证据明细</w:t>
            </w:r>
          </w:p>
        </w:tc>
      </w:tr>
    </w:tbl>
    <w:p w14:paraId="008D229B">
      <w:pPr>
        <w:pStyle w:val="12"/>
        <w:snapToGrid w:val="0"/>
        <w:spacing w:after="25"/>
      </w:pPr>
    </w:p>
    <w:p w14:paraId="19143B5D">
      <w:pPr>
        <w:ind w:firstLineChars="200"/>
        <w:rPr>
          <w:rFonts w:ascii="宋体" w:hAnsi="宋体" w:eastAsia="宋体"/>
          <w:b w:val="0"/>
          <w:color w:val="auto"/>
        </w:rPr>
      </w:pPr>
      <w:r>
        <w:rPr>
          <w:rFonts w:ascii="宋体" w:hAnsi="宋体" w:eastAsia="宋体"/>
          <w:b w:val="0"/>
          <w:color w:val="auto"/>
        </w:rPr>
        <w:t>主要输入：DCS工艺实时与历史数据、MES生产工单、LIMS化验数据、来料检验数据、QMS质量事件、在线检测仪器数据、质量知识图谱；经AI数据治理提供的专业质量分析台账及支撑证据、分析完成事件、业务身份与授权、对象编码映射、算法版本和复核状态。</w:t>
      </w:r>
    </w:p>
    <w:p w14:paraId="7200001C">
      <w:pPr>
        <w:ind w:firstLineChars="200"/>
        <w:rPr>
          <w:rFonts w:ascii="宋体" w:hAnsi="宋体" w:eastAsia="宋体"/>
          <w:b w:val="0"/>
          <w:color w:val="auto"/>
        </w:rPr>
      </w:pPr>
      <w:r>
        <w:rPr>
          <w:rFonts w:ascii="宋体" w:hAnsi="宋体" w:eastAsia="宋体"/>
          <w:b w:val="0"/>
          <w:color w:val="auto"/>
        </w:rPr>
        <w:t>本场景的业务流程及节点说明见3.2.9节。</w:t>
      </w:r>
    </w:p>
    <w:p w14:paraId="3D660543">
      <w:pPr>
        <w:pStyle w:val="4"/>
        <w:snapToGrid w:val="0"/>
      </w:pPr>
      <w:bookmarkStart w:id="72" w:name="s5_3_3"/>
      <w:r>
        <w:rPr>
          <w:rFonts w:ascii="黑体" w:hAnsi="黑体" w:eastAsia="黑体" w:cs="黑体"/>
          <w:b/>
          <w:color w:val="000000"/>
        </w:rPr>
        <w:t>5.3.3　优化</w:t>
      </w:r>
      <w:r>
        <w:rPr>
          <w:rFonts w:hint="eastAsia" w:ascii="黑体" w:hAnsi="黑体" w:eastAsia="黑体" w:cs="黑体"/>
          <w:b/>
          <w:color w:val="000000"/>
          <w:lang w:val="en-US" w:eastAsia="zh-CN"/>
        </w:rPr>
        <w:t>建议</w:t>
      </w:r>
      <w:r>
        <w:rPr>
          <w:rFonts w:ascii="黑体" w:hAnsi="黑体" w:eastAsia="黑体" w:cs="黑体"/>
          <w:b/>
          <w:color w:val="000000"/>
        </w:rPr>
        <w:t>类</w:t>
      </w:r>
      <w:bookmarkEnd w:id="72"/>
    </w:p>
    <w:p w14:paraId="5E7E64F7">
      <w:pPr>
        <w:pStyle w:val="5"/>
        <w:snapToGrid w:val="0"/>
      </w:pPr>
      <w:bookmarkStart w:id="73" w:name="s5_3_3_1"/>
      <w:r>
        <w:rPr>
          <w:rFonts w:ascii="黑体" w:hAnsi="黑体" w:eastAsia="黑体" w:cs="黑体"/>
          <w:b/>
          <w:color w:val="000000"/>
        </w:rPr>
        <w:t>5.3.3.1　供应链优化与协同系统结果输出</w:t>
      </w:r>
      <w:bookmarkEnd w:id="73"/>
    </w:p>
    <w:p w14:paraId="218D2A87">
      <w:pPr>
        <w:ind w:firstLineChars="200"/>
        <w:rPr>
          <w:rFonts w:ascii="宋体" w:hAnsi="宋体" w:eastAsia="宋体"/>
          <w:b w:val="0"/>
          <w:color w:val="auto"/>
        </w:rPr>
      </w:pPr>
      <w:r>
        <w:rPr>
          <w:rFonts w:ascii="宋体" w:hAnsi="宋体" w:eastAsia="宋体"/>
          <w:b w:val="0"/>
          <w:color w:val="auto"/>
        </w:rPr>
        <w:t>面向管理、计划与采购人员，将供应链优化和协同分析结果转化为统一可查询、可解释的业务信息。围绕安全库存、采购辅助决策、发货计划、原料价格与效益、边际效益和客户贡献等内容组织查询，结合字段口径、数据时间及参数条件展示结果，支持围绕现有分析继续追问和形成报告。</w:t>
      </w:r>
    </w:p>
    <w:p w14:paraId="6557D889">
      <w:pPr>
        <w:pStyle w:val="15"/>
        <w:snapToGrid w:val="0"/>
        <w:jc w:val="center"/>
      </w:pPr>
      <w:r>
        <w:t>表5-12　供应链优化与协同系统结果输出建设内容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50C56B15">
        <w:trPr>
          <w:cantSplit/>
          <w:tblHeader/>
        </w:trPr>
        <w:tc>
          <w:tcPr>
            <w:tcW w:w="1527" w:type="dxa"/>
            <w:vAlign w:val="center"/>
          </w:tcPr>
          <w:p w14:paraId="1BE833F6">
            <w:pPr>
              <w:pStyle w:val="14"/>
              <w:snapToGrid w:val="0"/>
              <w:jc w:val="center"/>
            </w:pPr>
            <w:r>
              <w:rPr>
                <w:b/>
              </w:rPr>
              <w:t>功能事项</w:t>
            </w:r>
          </w:p>
        </w:tc>
        <w:tc>
          <w:tcPr>
            <w:tcW w:w="5538" w:type="dxa"/>
            <w:vAlign w:val="center"/>
          </w:tcPr>
          <w:p w14:paraId="2A92C997">
            <w:pPr>
              <w:pStyle w:val="14"/>
              <w:snapToGrid w:val="0"/>
              <w:jc w:val="center"/>
            </w:pPr>
            <w:r>
              <w:rPr>
                <w:b/>
              </w:rPr>
              <w:t>建设内容</w:t>
            </w:r>
          </w:p>
        </w:tc>
        <w:tc>
          <w:tcPr>
            <w:tcW w:w="2007" w:type="dxa"/>
            <w:vAlign w:val="center"/>
          </w:tcPr>
          <w:p w14:paraId="1A0E995F">
            <w:pPr>
              <w:pStyle w:val="14"/>
              <w:snapToGrid w:val="0"/>
              <w:jc w:val="center"/>
            </w:pPr>
            <w:r>
              <w:rPr>
                <w:b/>
              </w:rPr>
              <w:t>业务输出</w:t>
            </w:r>
          </w:p>
        </w:tc>
      </w:tr>
      <w:tr w14:paraId="2872CA4C">
        <w:trPr>
          <w:cantSplit/>
        </w:trPr>
        <w:tc>
          <w:tcPr>
            <w:tcW w:w="1527" w:type="dxa"/>
            <w:vAlign w:val="center"/>
          </w:tcPr>
          <w:p w14:paraId="3D7E9DF4">
            <w:pPr>
              <w:pStyle w:val="14"/>
              <w:snapToGrid w:val="0"/>
              <w:jc w:val="center"/>
            </w:pPr>
            <w:r>
              <w:t>安全库存</w:t>
            </w:r>
          </w:p>
        </w:tc>
        <w:tc>
          <w:tcPr>
            <w:tcW w:w="5538" w:type="dxa"/>
            <w:vAlign w:val="center"/>
          </w:tcPr>
          <w:p w14:paraId="27C94879">
            <w:pPr>
              <w:pStyle w:val="14"/>
              <w:snapToGrid w:val="0"/>
              <w:jc w:val="left"/>
            </w:pPr>
            <w:r>
              <w:t>查询已有安全库存、补货建议及覆盖结果，关联物料、统计时间和结果口径供计划人员使用。</w:t>
            </w:r>
          </w:p>
        </w:tc>
        <w:tc>
          <w:tcPr>
            <w:tcW w:w="2007" w:type="dxa"/>
            <w:vAlign w:val="center"/>
          </w:tcPr>
          <w:p w14:paraId="54C93DDC">
            <w:pPr>
              <w:pStyle w:val="14"/>
              <w:snapToGrid w:val="0"/>
              <w:jc w:val="left"/>
            </w:pPr>
            <w:r>
              <w:t>安全库存与补货参考结果</w:t>
            </w:r>
          </w:p>
        </w:tc>
      </w:tr>
      <w:tr w14:paraId="426E2ACE">
        <w:trPr>
          <w:cantSplit/>
        </w:trPr>
        <w:tc>
          <w:tcPr>
            <w:tcW w:w="1527" w:type="dxa"/>
            <w:vAlign w:val="center"/>
          </w:tcPr>
          <w:p w14:paraId="5C280E7D">
            <w:pPr>
              <w:pStyle w:val="14"/>
              <w:snapToGrid w:val="0"/>
              <w:jc w:val="left"/>
            </w:pPr>
            <w:r>
              <w:t>原料采购辅助决策</w:t>
            </w:r>
          </w:p>
        </w:tc>
        <w:tc>
          <w:tcPr>
            <w:tcW w:w="5538" w:type="dxa"/>
            <w:vAlign w:val="center"/>
          </w:tcPr>
          <w:p w14:paraId="425EE1FC">
            <w:pPr>
              <w:pStyle w:val="14"/>
              <w:snapToGrid w:val="0"/>
              <w:jc w:val="left"/>
            </w:pPr>
            <w:r>
              <w:t>查询采购计划与建议、供应商报价及能力信息，解释字段含义并支持围绕已有结果追问。</w:t>
            </w:r>
          </w:p>
        </w:tc>
        <w:tc>
          <w:tcPr>
            <w:tcW w:w="2007" w:type="dxa"/>
            <w:vAlign w:val="center"/>
          </w:tcPr>
          <w:p w14:paraId="07F92ABC">
            <w:pPr>
              <w:pStyle w:val="14"/>
              <w:snapToGrid w:val="0"/>
              <w:jc w:val="left"/>
            </w:pPr>
            <w:r>
              <w:t>采购建议与供应商参考信息</w:t>
            </w:r>
          </w:p>
        </w:tc>
      </w:tr>
      <w:tr w14:paraId="6206FD52">
        <w:trPr>
          <w:cantSplit/>
        </w:trPr>
        <w:tc>
          <w:tcPr>
            <w:tcW w:w="1527" w:type="dxa"/>
            <w:vAlign w:val="center"/>
          </w:tcPr>
          <w:p w14:paraId="58AA6207">
            <w:pPr>
              <w:pStyle w:val="14"/>
              <w:snapToGrid w:val="0"/>
              <w:jc w:val="center"/>
            </w:pPr>
            <w:r>
              <w:t>发货计划决策</w:t>
            </w:r>
          </w:p>
        </w:tc>
        <w:tc>
          <w:tcPr>
            <w:tcW w:w="5538" w:type="dxa"/>
            <w:vAlign w:val="center"/>
          </w:tcPr>
          <w:p w14:paraId="1F45D347">
            <w:pPr>
              <w:pStyle w:val="14"/>
              <w:snapToGrid w:val="0"/>
              <w:jc w:val="left"/>
            </w:pPr>
            <w:r>
              <w:t>按对象和时间查询已有发货计划，解释计划字段和适用条件，提供对应结果及明细。</w:t>
            </w:r>
          </w:p>
        </w:tc>
        <w:tc>
          <w:tcPr>
            <w:tcW w:w="2007" w:type="dxa"/>
            <w:vAlign w:val="center"/>
          </w:tcPr>
          <w:p w14:paraId="12B6FD36">
            <w:pPr>
              <w:pStyle w:val="14"/>
              <w:snapToGrid w:val="0"/>
              <w:jc w:val="left"/>
            </w:pPr>
            <w:r>
              <w:t>发货计划与相关分析结果</w:t>
            </w:r>
          </w:p>
        </w:tc>
      </w:tr>
      <w:tr w14:paraId="11C9F49D">
        <w:trPr>
          <w:cantSplit/>
        </w:trPr>
        <w:tc>
          <w:tcPr>
            <w:tcW w:w="1527" w:type="dxa"/>
            <w:vAlign w:val="center"/>
          </w:tcPr>
          <w:p w14:paraId="7EEE1449">
            <w:pPr>
              <w:pStyle w:val="14"/>
              <w:snapToGrid w:val="0"/>
              <w:jc w:val="left"/>
            </w:pPr>
            <w:r>
              <w:t>原辅料价格与经济效益模拟推演</w:t>
            </w:r>
          </w:p>
        </w:tc>
        <w:tc>
          <w:tcPr>
            <w:tcW w:w="5538" w:type="dxa"/>
            <w:vAlign w:val="center"/>
          </w:tcPr>
          <w:p w14:paraId="64909DB0">
            <w:pPr>
              <w:pStyle w:val="14"/>
              <w:snapToGrid w:val="0"/>
              <w:jc w:val="left"/>
            </w:pPr>
            <w:r>
              <w:t>查询已有价格效益推演，在分析服务支持条件内继续查询，保留参数条件、口径及数据时间。</w:t>
            </w:r>
          </w:p>
        </w:tc>
        <w:tc>
          <w:tcPr>
            <w:tcW w:w="2007" w:type="dxa"/>
            <w:vAlign w:val="center"/>
          </w:tcPr>
          <w:p w14:paraId="5F84B669">
            <w:pPr>
              <w:pStyle w:val="14"/>
              <w:snapToGrid w:val="0"/>
              <w:jc w:val="left"/>
            </w:pPr>
            <w:r>
              <w:t>价格效益推演结果与说明</w:t>
            </w:r>
          </w:p>
        </w:tc>
      </w:tr>
      <w:tr w14:paraId="1A9ED3C8">
        <w:trPr>
          <w:cantSplit/>
        </w:trPr>
        <w:tc>
          <w:tcPr>
            <w:tcW w:w="1527" w:type="dxa"/>
            <w:vAlign w:val="center"/>
          </w:tcPr>
          <w:p w14:paraId="3C372617">
            <w:pPr>
              <w:pStyle w:val="14"/>
              <w:snapToGrid w:val="0"/>
              <w:jc w:val="left"/>
            </w:pPr>
            <w:r>
              <w:t>边际效益智能分析</w:t>
            </w:r>
          </w:p>
        </w:tc>
        <w:tc>
          <w:tcPr>
            <w:tcW w:w="5538" w:type="dxa"/>
            <w:vAlign w:val="center"/>
          </w:tcPr>
          <w:p w14:paraId="307CEF73">
            <w:pPr>
              <w:pStyle w:val="14"/>
              <w:snapToGrid w:val="0"/>
              <w:jc w:val="left"/>
            </w:pPr>
            <w:r>
              <w:t>查询已有边际效益及相关成本利润结果，结合字段定义和统计口径解释主要业务信息。</w:t>
            </w:r>
          </w:p>
        </w:tc>
        <w:tc>
          <w:tcPr>
            <w:tcW w:w="2007" w:type="dxa"/>
            <w:vAlign w:val="center"/>
          </w:tcPr>
          <w:p w14:paraId="3B270B19">
            <w:pPr>
              <w:pStyle w:val="14"/>
              <w:snapToGrid w:val="0"/>
              <w:jc w:val="left"/>
            </w:pPr>
            <w:r>
              <w:t>边际效益结果与经营解读</w:t>
            </w:r>
          </w:p>
        </w:tc>
      </w:tr>
      <w:tr w14:paraId="05312057">
        <w:trPr>
          <w:cantSplit/>
        </w:trPr>
        <w:tc>
          <w:tcPr>
            <w:tcW w:w="1527" w:type="dxa"/>
            <w:vAlign w:val="center"/>
          </w:tcPr>
          <w:p w14:paraId="1139B806">
            <w:pPr>
              <w:pStyle w:val="14"/>
              <w:snapToGrid w:val="0"/>
              <w:jc w:val="left"/>
            </w:pPr>
            <w:r>
              <w:t>客户贡献智能分析</w:t>
            </w:r>
          </w:p>
        </w:tc>
        <w:tc>
          <w:tcPr>
            <w:tcW w:w="5538" w:type="dxa"/>
            <w:vAlign w:val="center"/>
          </w:tcPr>
          <w:p w14:paraId="02842F02">
            <w:pPr>
              <w:pStyle w:val="14"/>
              <w:snapToGrid w:val="0"/>
              <w:jc w:val="left"/>
            </w:pPr>
            <w:r>
              <w:t>按业务授权查询客户贡献分析结果，核对呈现数值，保留结果来源和数据时间用于经营问答。</w:t>
            </w:r>
          </w:p>
        </w:tc>
        <w:tc>
          <w:tcPr>
            <w:tcW w:w="2007" w:type="dxa"/>
            <w:vAlign w:val="center"/>
          </w:tcPr>
          <w:p w14:paraId="127B7189">
            <w:pPr>
              <w:pStyle w:val="14"/>
              <w:snapToGrid w:val="0"/>
              <w:jc w:val="left"/>
            </w:pPr>
            <w:r>
              <w:t>客户贡献结果与可追问报告</w:t>
            </w:r>
          </w:p>
        </w:tc>
      </w:tr>
    </w:tbl>
    <w:p w14:paraId="44077B2D">
      <w:pPr>
        <w:pStyle w:val="12"/>
        <w:snapToGrid w:val="0"/>
        <w:spacing w:after="25"/>
      </w:pPr>
    </w:p>
    <w:p w14:paraId="667A5194">
      <w:pPr>
        <w:ind w:firstLineChars="200"/>
        <w:rPr>
          <w:rFonts w:ascii="宋体" w:hAnsi="宋体" w:eastAsia="宋体"/>
          <w:b w:val="0"/>
          <w:color w:val="auto"/>
        </w:rPr>
      </w:pPr>
      <w:r>
        <w:rPr>
          <w:rFonts w:ascii="宋体" w:hAnsi="宋体" w:eastAsia="宋体"/>
          <w:b w:val="0"/>
          <w:color w:val="auto"/>
        </w:rPr>
        <w:t>主要输入：安全库存、采购辅助决策、发货计划、价格效益、边际效益、客户贡献结果及字段口径。</w:t>
      </w:r>
    </w:p>
    <w:p w14:paraId="72000018">
      <w:pPr>
        <w:ind w:firstLineChars="200"/>
        <w:rPr>
          <w:rFonts w:ascii="宋体" w:hAnsi="宋体" w:eastAsia="宋体"/>
          <w:b w:val="0"/>
          <w:color w:val="auto"/>
        </w:rPr>
      </w:pPr>
      <w:r>
        <w:rPr>
          <w:rFonts w:ascii="宋体" w:hAnsi="宋体" w:eastAsia="宋体"/>
          <w:b w:val="0"/>
          <w:color w:val="auto"/>
        </w:rPr>
        <w:t>本场景的业务流程及节点说明见3.3.1节。</w:t>
      </w:r>
    </w:p>
    <w:p w14:paraId="00CAA7E2">
      <w:pPr>
        <w:pStyle w:val="5"/>
        <w:snapToGrid w:val="0"/>
      </w:pPr>
      <w:bookmarkStart w:id="74" w:name="s5_3_3_2"/>
      <w:r>
        <w:rPr>
          <w:rFonts w:ascii="黑体" w:hAnsi="黑体" w:eastAsia="黑体" w:cs="黑体"/>
          <w:b/>
          <w:color w:val="000000"/>
        </w:rPr>
        <w:t>5.3.3.2　物流优化</w:t>
      </w:r>
      <w:bookmarkEnd w:id="74"/>
    </w:p>
    <w:p w14:paraId="703B550D">
      <w:pPr>
        <w:ind w:firstLineChars="200"/>
        <w:rPr>
          <w:rFonts w:ascii="宋体" w:hAnsi="宋体" w:eastAsia="宋体"/>
          <w:b w:val="0"/>
          <w:color w:val="auto"/>
        </w:rPr>
      </w:pPr>
      <w:r>
        <w:rPr>
          <w:rFonts w:ascii="宋体" w:hAnsi="宋体" w:eastAsia="宋体"/>
          <w:b w:val="0"/>
          <w:color w:val="auto"/>
        </w:rPr>
        <w:t>围绕原料供应保障和库存周转，集中查询库存、在途、到货及发运状态，并结合补货计划支持采购研判。面对供应商履约变化或运输延误等突发情况，系统将用户描述转为可核对条件，归集供应商能力、仓库位置及参考时效，形成便于联络的候选清单，帮助采购人员确认货源和到货安排。</w:t>
      </w:r>
    </w:p>
    <w:p w14:paraId="406D6EE2">
      <w:pPr>
        <w:pStyle w:val="15"/>
        <w:snapToGrid w:val="0"/>
        <w:jc w:val="center"/>
      </w:pPr>
      <w:r>
        <w:t>表5-13　物流优化建设内容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6A8A5252">
        <w:trPr>
          <w:cantSplit/>
          <w:tblHeader/>
        </w:trPr>
        <w:tc>
          <w:tcPr>
            <w:tcW w:w="1527" w:type="dxa"/>
            <w:vAlign w:val="center"/>
          </w:tcPr>
          <w:p w14:paraId="7BA1EA90">
            <w:pPr>
              <w:pStyle w:val="14"/>
              <w:snapToGrid w:val="0"/>
              <w:jc w:val="center"/>
            </w:pPr>
            <w:r>
              <w:rPr>
                <w:b/>
              </w:rPr>
              <w:t>功能事项</w:t>
            </w:r>
          </w:p>
        </w:tc>
        <w:tc>
          <w:tcPr>
            <w:tcW w:w="5538" w:type="dxa"/>
            <w:vAlign w:val="center"/>
          </w:tcPr>
          <w:p w14:paraId="7B451A5E">
            <w:pPr>
              <w:pStyle w:val="14"/>
              <w:snapToGrid w:val="0"/>
              <w:jc w:val="center"/>
            </w:pPr>
            <w:r>
              <w:rPr>
                <w:b/>
              </w:rPr>
              <w:t>建设内容</w:t>
            </w:r>
          </w:p>
        </w:tc>
        <w:tc>
          <w:tcPr>
            <w:tcW w:w="2007" w:type="dxa"/>
            <w:vAlign w:val="center"/>
          </w:tcPr>
          <w:p w14:paraId="5C3EEFD8">
            <w:pPr>
              <w:pStyle w:val="14"/>
              <w:snapToGrid w:val="0"/>
              <w:jc w:val="center"/>
            </w:pPr>
            <w:r>
              <w:rPr>
                <w:b/>
              </w:rPr>
              <w:t>业务输出</w:t>
            </w:r>
          </w:p>
        </w:tc>
      </w:tr>
      <w:tr w14:paraId="677774A4">
        <w:trPr>
          <w:cantSplit/>
        </w:trPr>
        <w:tc>
          <w:tcPr>
            <w:tcW w:w="1527" w:type="dxa"/>
            <w:vAlign w:val="center"/>
          </w:tcPr>
          <w:p w14:paraId="30589EA0">
            <w:pPr>
              <w:pStyle w:val="14"/>
              <w:snapToGrid w:val="0"/>
              <w:jc w:val="left"/>
            </w:pPr>
            <w:r>
              <w:t>库存运输与补货查询</w:t>
            </w:r>
          </w:p>
        </w:tc>
        <w:tc>
          <w:tcPr>
            <w:tcW w:w="5538" w:type="dxa"/>
            <w:vAlign w:val="center"/>
          </w:tcPr>
          <w:p w14:paraId="4F9C74E7">
            <w:pPr>
              <w:pStyle w:val="14"/>
              <w:snapToGrid w:val="0"/>
              <w:jc w:val="left"/>
            </w:pPr>
            <w:r>
              <w:t>关联库存、在途采购、到货和发运状态，结合既有安全库存、补货及覆盖结果提供查询。</w:t>
            </w:r>
          </w:p>
        </w:tc>
        <w:tc>
          <w:tcPr>
            <w:tcW w:w="2007" w:type="dxa"/>
            <w:vAlign w:val="center"/>
          </w:tcPr>
          <w:p w14:paraId="5B0A1D61">
            <w:pPr>
              <w:pStyle w:val="14"/>
              <w:snapToGrid w:val="0"/>
              <w:jc w:val="left"/>
            </w:pPr>
            <w:r>
              <w:t>库存运输事实与补货依据</w:t>
            </w:r>
          </w:p>
        </w:tc>
      </w:tr>
      <w:tr w14:paraId="19AFE6DD">
        <w:trPr>
          <w:cantSplit/>
        </w:trPr>
        <w:tc>
          <w:tcPr>
            <w:tcW w:w="1527" w:type="dxa"/>
            <w:vAlign w:val="center"/>
          </w:tcPr>
          <w:p w14:paraId="33E250D2">
            <w:pPr>
              <w:pStyle w:val="14"/>
              <w:snapToGrid w:val="0"/>
              <w:jc w:val="left"/>
            </w:pPr>
            <w:r>
              <w:t>应急货源候选筛选</w:t>
            </w:r>
          </w:p>
        </w:tc>
        <w:tc>
          <w:tcPr>
            <w:tcW w:w="5538" w:type="dxa"/>
            <w:vAlign w:val="center"/>
          </w:tcPr>
          <w:p w14:paraId="59FE100E">
            <w:pPr>
              <w:pStyle w:val="14"/>
              <w:snapToGrid w:val="0"/>
              <w:jc w:val="left"/>
            </w:pPr>
            <w:r>
              <w:t>提取物料、失效原因及原到货时间，从供应商能力和库存运输数据归集可联络补货候选。</w:t>
            </w:r>
          </w:p>
        </w:tc>
        <w:tc>
          <w:tcPr>
            <w:tcW w:w="2007" w:type="dxa"/>
            <w:vAlign w:val="center"/>
          </w:tcPr>
          <w:p w14:paraId="672D7B6E">
            <w:pPr>
              <w:pStyle w:val="14"/>
              <w:snapToGrid w:val="0"/>
              <w:jc w:val="left"/>
            </w:pPr>
            <w:r>
              <w:t>应急货源候选及联系方式</w:t>
            </w:r>
          </w:p>
        </w:tc>
      </w:tr>
      <w:tr w14:paraId="73D278D9">
        <w:trPr>
          <w:cantSplit/>
        </w:trPr>
        <w:tc>
          <w:tcPr>
            <w:tcW w:w="1527" w:type="dxa"/>
            <w:vAlign w:val="center"/>
          </w:tcPr>
          <w:p w14:paraId="109AEB22">
            <w:pPr>
              <w:pStyle w:val="14"/>
              <w:snapToGrid w:val="0"/>
              <w:jc w:val="left"/>
            </w:pPr>
            <w:r>
              <w:t>时效排序与人工确认</w:t>
            </w:r>
          </w:p>
        </w:tc>
        <w:tc>
          <w:tcPr>
            <w:tcW w:w="5538" w:type="dxa"/>
            <w:vAlign w:val="center"/>
          </w:tcPr>
          <w:p w14:paraId="6DEC4788">
            <w:pPr>
              <w:pStyle w:val="14"/>
              <w:snapToGrid w:val="0"/>
              <w:jc w:val="left"/>
            </w:pPr>
            <w:r>
              <w:t>列明仓库、品类、运输方式和参考时效，按时效排序，由采购核实可供量与实际到货安排。</w:t>
            </w:r>
          </w:p>
        </w:tc>
        <w:tc>
          <w:tcPr>
            <w:tcW w:w="2007" w:type="dxa"/>
            <w:vAlign w:val="center"/>
          </w:tcPr>
          <w:p w14:paraId="21B8ED2C">
            <w:pPr>
              <w:pStyle w:val="14"/>
              <w:snapToGrid w:val="0"/>
              <w:jc w:val="left"/>
            </w:pPr>
            <w:r>
              <w:t>候选排序与采购联络依据</w:t>
            </w:r>
          </w:p>
        </w:tc>
      </w:tr>
    </w:tbl>
    <w:p w14:paraId="739954A8">
      <w:pPr>
        <w:pStyle w:val="12"/>
        <w:snapToGrid w:val="0"/>
        <w:spacing w:after="25"/>
      </w:pPr>
    </w:p>
    <w:p w14:paraId="6253D19A">
      <w:pPr>
        <w:ind w:firstLineChars="200"/>
        <w:rPr>
          <w:rFonts w:ascii="宋体" w:hAnsi="宋体" w:eastAsia="宋体"/>
          <w:b w:val="0"/>
          <w:color w:val="auto"/>
        </w:rPr>
      </w:pPr>
      <w:r>
        <w:rPr>
          <w:rFonts w:ascii="宋体" w:hAnsi="宋体" w:eastAsia="宋体"/>
          <w:b w:val="0"/>
          <w:color w:val="auto"/>
        </w:rPr>
        <w:t>主要输入：库存与在途记录、发运计划、供应商能力、仓库位置、安全库存及补货建议。</w:t>
      </w:r>
    </w:p>
    <w:p w14:paraId="7200001A">
      <w:pPr>
        <w:ind w:firstLineChars="200"/>
        <w:rPr>
          <w:rFonts w:ascii="宋体" w:hAnsi="宋体" w:eastAsia="宋体"/>
          <w:b w:val="0"/>
          <w:color w:val="auto"/>
        </w:rPr>
      </w:pPr>
      <w:r>
        <w:rPr>
          <w:rFonts w:ascii="宋体" w:hAnsi="宋体" w:eastAsia="宋体"/>
          <w:b w:val="0"/>
          <w:color w:val="auto"/>
        </w:rPr>
        <w:t>本场景的业务流程及节点说明见3.3.2节。</w:t>
      </w:r>
    </w:p>
    <w:p w14:paraId="2AB674A3">
      <w:pPr>
        <w:pStyle w:val="5"/>
        <w:snapToGrid w:val="0"/>
      </w:pPr>
      <w:bookmarkStart w:id="75" w:name="s5_3_3_3"/>
      <w:r>
        <w:rPr>
          <w:rFonts w:ascii="黑体" w:hAnsi="黑体" w:eastAsia="黑体" w:cs="黑体"/>
          <w:b/>
          <w:color w:val="000000"/>
        </w:rPr>
        <w:t>5.3.3.3　工况异常识别</w:t>
      </w:r>
      <w:bookmarkEnd w:id="75"/>
    </w:p>
    <w:p w14:paraId="1857C365">
      <w:pPr>
        <w:ind w:firstLineChars="200"/>
        <w:rPr>
          <w:rFonts w:ascii="宋体" w:hAnsi="宋体" w:eastAsia="宋体"/>
          <w:b w:val="0"/>
          <w:color w:val="auto"/>
        </w:rPr>
      </w:pPr>
      <w:r>
        <w:rPr>
          <w:rFonts w:ascii="宋体" w:hAnsi="宋体" w:eastAsia="宋体"/>
          <w:b w:val="0"/>
          <w:color w:val="auto"/>
        </w:rPr>
        <w:t>工况异常识别承接有效报警与工艺状态变化，结合风险知识图谱、实时趋势和防护措施状态，判断异常传播路径、影响范围及可能根因。平台生成带置信度的处置建议，由操作员复核并确认处置，或否认结论后触发重新诊断；保留处置记录与归档案例，通过复核反馈持续完善诊断知识。</w:t>
      </w:r>
    </w:p>
    <w:p w14:paraId="6FF83C90">
      <w:pPr>
        <w:pStyle w:val="15"/>
        <w:snapToGrid w:val="0"/>
        <w:jc w:val="center"/>
      </w:pPr>
      <w:r>
        <w:t>表5-14　工况异常识别建设内容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246C9729">
        <w:trPr>
          <w:cantSplit/>
          <w:tblHeader/>
        </w:trPr>
        <w:tc>
          <w:tcPr>
            <w:tcW w:w="1527" w:type="dxa"/>
            <w:vAlign w:val="center"/>
          </w:tcPr>
          <w:p w14:paraId="41CBA8DC">
            <w:pPr>
              <w:pStyle w:val="14"/>
              <w:keepNext w:val="0"/>
              <w:keepLines/>
              <w:snapToGrid w:val="0"/>
              <w:jc w:val="center"/>
            </w:pPr>
            <w:r>
              <w:rPr>
                <w:b/>
              </w:rPr>
              <w:t>功能事项</w:t>
            </w:r>
          </w:p>
        </w:tc>
        <w:tc>
          <w:tcPr>
            <w:tcW w:w="5538" w:type="dxa"/>
            <w:vAlign w:val="center"/>
          </w:tcPr>
          <w:p w14:paraId="1A8CE4DB">
            <w:pPr>
              <w:pStyle w:val="14"/>
              <w:keepNext w:val="0"/>
              <w:keepLines/>
              <w:snapToGrid w:val="0"/>
              <w:jc w:val="center"/>
            </w:pPr>
            <w:r>
              <w:rPr>
                <w:b/>
              </w:rPr>
              <w:t>建设内容</w:t>
            </w:r>
          </w:p>
        </w:tc>
        <w:tc>
          <w:tcPr>
            <w:tcW w:w="2007" w:type="dxa"/>
            <w:vAlign w:val="center"/>
          </w:tcPr>
          <w:p w14:paraId="0D29E3C2">
            <w:pPr>
              <w:pStyle w:val="14"/>
              <w:keepNext w:val="0"/>
              <w:keepLines/>
              <w:snapToGrid w:val="0"/>
              <w:jc w:val="center"/>
            </w:pPr>
            <w:r>
              <w:rPr>
                <w:b/>
              </w:rPr>
              <w:t>业务输出</w:t>
            </w:r>
          </w:p>
        </w:tc>
      </w:tr>
      <w:tr w14:paraId="310DDDE4">
        <w:trPr>
          <w:cantSplit/>
        </w:trPr>
        <w:tc>
          <w:tcPr>
            <w:tcW w:w="1527" w:type="dxa"/>
            <w:vAlign w:val="center"/>
          </w:tcPr>
          <w:p w14:paraId="68AC0D49">
            <w:pPr>
              <w:pStyle w:val="14"/>
              <w:keepNext w:val="0"/>
              <w:keepLines/>
              <w:snapToGrid w:val="0"/>
              <w:jc w:val="center"/>
            </w:pPr>
            <w:r>
              <w:t>异常事件聚合</w:t>
            </w:r>
          </w:p>
        </w:tc>
        <w:tc>
          <w:tcPr>
            <w:tcW w:w="5538" w:type="dxa"/>
            <w:vAlign w:val="center"/>
          </w:tcPr>
          <w:p w14:paraId="4E9B9376">
            <w:pPr>
              <w:pStyle w:val="14"/>
              <w:keepNext w:val="0"/>
              <w:keepLines/>
              <w:snapToGrid w:val="0"/>
              <w:jc w:val="left"/>
            </w:pPr>
            <w:r>
              <w:t>依据工艺因果关系聚合关联报警，识别事故链中的初始偏离及传播过程。</w:t>
            </w:r>
          </w:p>
        </w:tc>
        <w:tc>
          <w:tcPr>
            <w:tcW w:w="2007" w:type="dxa"/>
            <w:vAlign w:val="center"/>
          </w:tcPr>
          <w:p w14:paraId="3F21DADF">
            <w:pPr>
              <w:pStyle w:val="14"/>
              <w:keepNext w:val="0"/>
              <w:keepLines/>
              <w:snapToGrid w:val="0"/>
              <w:jc w:val="left"/>
            </w:pPr>
            <w:r>
              <w:t>异常事件与候选事故链</w:t>
            </w:r>
          </w:p>
        </w:tc>
      </w:tr>
      <w:tr w14:paraId="1732FBCF">
        <w:trPr>
          <w:cantSplit/>
        </w:trPr>
        <w:tc>
          <w:tcPr>
            <w:tcW w:w="1527" w:type="dxa"/>
            <w:vAlign w:val="center"/>
          </w:tcPr>
          <w:p w14:paraId="383AADE8">
            <w:pPr>
              <w:pStyle w:val="14"/>
              <w:keepNext w:val="0"/>
              <w:keepLines/>
              <w:snapToGrid w:val="0"/>
              <w:jc w:val="center"/>
            </w:pPr>
            <w:r>
              <w:t>仪表与工艺异常判别</w:t>
            </w:r>
          </w:p>
        </w:tc>
        <w:tc>
          <w:tcPr>
            <w:tcW w:w="5538" w:type="dxa"/>
            <w:vAlign w:val="center"/>
          </w:tcPr>
          <w:p w14:paraId="4FE152B4">
            <w:pPr>
              <w:pStyle w:val="14"/>
              <w:keepNext w:val="0"/>
              <w:keepLines/>
              <w:snapToGrid w:val="0"/>
              <w:jc w:val="left"/>
            </w:pPr>
            <w:r>
              <w:t>联合趋势、时序及关联测点判别信号故障，统计故障类型、占比与分布，支持仪表维护分析。</w:t>
            </w:r>
          </w:p>
        </w:tc>
        <w:tc>
          <w:tcPr>
            <w:tcW w:w="2007" w:type="dxa"/>
            <w:vAlign w:val="center"/>
          </w:tcPr>
          <w:p w14:paraId="41A54FDD">
            <w:pPr>
              <w:pStyle w:val="14"/>
              <w:keepNext w:val="0"/>
              <w:keepLines/>
              <w:snapToGrid w:val="0"/>
              <w:jc w:val="left"/>
            </w:pPr>
            <w:r>
              <w:t>故障提示、统计与维护依据</w:t>
            </w:r>
          </w:p>
        </w:tc>
      </w:tr>
      <w:tr w14:paraId="491F5580">
        <w:trPr>
          <w:cantSplit/>
        </w:trPr>
        <w:tc>
          <w:tcPr>
            <w:tcW w:w="1527" w:type="dxa"/>
            <w:vAlign w:val="center"/>
          </w:tcPr>
          <w:p w14:paraId="6FD282EE">
            <w:pPr>
              <w:pStyle w:val="14"/>
              <w:keepNext w:val="0"/>
              <w:keepLines/>
              <w:snapToGrid w:val="0"/>
              <w:jc w:val="center"/>
            </w:pPr>
            <w:r>
              <w:t>根因推断与影响分析</w:t>
            </w:r>
          </w:p>
        </w:tc>
        <w:tc>
          <w:tcPr>
            <w:tcW w:w="5538" w:type="dxa"/>
            <w:vAlign w:val="center"/>
          </w:tcPr>
          <w:p w14:paraId="78A01782">
            <w:pPr>
              <w:pStyle w:val="14"/>
              <w:keepNext w:val="0"/>
              <w:keepLines/>
              <w:snapToGrid w:val="0"/>
              <w:jc w:val="left"/>
            </w:pPr>
            <w:r>
              <w:t>匹配HAZOP和FMEA图谱，综合证据推断根因，评估影响范围与置信度。</w:t>
            </w:r>
          </w:p>
        </w:tc>
        <w:tc>
          <w:tcPr>
            <w:tcW w:w="2007" w:type="dxa"/>
            <w:vAlign w:val="center"/>
          </w:tcPr>
          <w:p w14:paraId="5574FC5C">
            <w:pPr>
              <w:pStyle w:val="14"/>
              <w:keepNext w:val="0"/>
              <w:keepLines/>
              <w:snapToGrid w:val="0"/>
              <w:jc w:val="left"/>
            </w:pPr>
            <w:r>
              <w:t>根因排序、置信度及影响</w:t>
            </w:r>
          </w:p>
        </w:tc>
      </w:tr>
      <w:tr w14:paraId="6AEE691A">
        <w:trPr>
          <w:cantSplit/>
        </w:trPr>
        <w:tc>
          <w:tcPr>
            <w:tcW w:w="1527" w:type="dxa"/>
            <w:vAlign w:val="center"/>
          </w:tcPr>
          <w:p w14:paraId="280E1E10">
            <w:pPr>
              <w:pStyle w:val="14"/>
              <w:keepNext w:val="0"/>
              <w:keepLines/>
              <w:snapToGrid w:val="0"/>
              <w:jc w:val="center"/>
            </w:pPr>
            <w:r>
              <w:t>风险链路可视化</w:t>
            </w:r>
          </w:p>
        </w:tc>
        <w:tc>
          <w:tcPr>
            <w:tcW w:w="5538" w:type="dxa"/>
            <w:vAlign w:val="center"/>
          </w:tcPr>
          <w:p w14:paraId="67172A82">
            <w:pPr>
              <w:pStyle w:val="14"/>
              <w:keepNext w:val="0"/>
              <w:keepLines/>
              <w:snapToGrid w:val="0"/>
              <w:jc w:val="left"/>
            </w:pPr>
            <w:r>
              <w:t>用领结图展示诱因、异常节点、后果及防护屏障，支持逐步排查与定位。</w:t>
            </w:r>
          </w:p>
        </w:tc>
        <w:tc>
          <w:tcPr>
            <w:tcW w:w="2007" w:type="dxa"/>
            <w:vAlign w:val="center"/>
          </w:tcPr>
          <w:p w14:paraId="62EF26B0">
            <w:pPr>
              <w:pStyle w:val="14"/>
              <w:keepNext w:val="0"/>
              <w:keepLines/>
              <w:snapToGrid w:val="0"/>
              <w:jc w:val="left"/>
            </w:pPr>
            <w:r>
              <w:t>事故链领结图与排查路径</w:t>
            </w:r>
          </w:p>
        </w:tc>
      </w:tr>
      <w:tr w14:paraId="170C83C1">
        <w:trPr>
          <w:cantSplit/>
        </w:trPr>
        <w:tc>
          <w:tcPr>
            <w:tcW w:w="1527" w:type="dxa"/>
            <w:vAlign w:val="center"/>
          </w:tcPr>
          <w:p w14:paraId="2A44F48E">
            <w:pPr>
              <w:pStyle w:val="14"/>
              <w:keepNext w:val="0"/>
              <w:keepLines/>
              <w:snapToGrid w:val="0"/>
              <w:jc w:val="center"/>
            </w:pPr>
            <w:r>
              <w:t>处置建议与人工确认</w:t>
            </w:r>
          </w:p>
        </w:tc>
        <w:tc>
          <w:tcPr>
            <w:tcW w:w="5538" w:type="dxa"/>
            <w:vAlign w:val="center"/>
          </w:tcPr>
          <w:p w14:paraId="1B85B49F">
            <w:pPr>
              <w:pStyle w:val="14"/>
              <w:keepNext w:val="0"/>
              <w:keepLines/>
              <w:snapToGrid w:val="0"/>
              <w:jc w:val="left"/>
            </w:pPr>
            <w:r>
              <w:t>匹配SOP及补偿措施，操作员复核后确认处置；否认结论时更新操作并触发重诊。</w:t>
            </w:r>
          </w:p>
        </w:tc>
        <w:tc>
          <w:tcPr>
            <w:tcW w:w="2007" w:type="dxa"/>
            <w:vAlign w:val="center"/>
          </w:tcPr>
          <w:p w14:paraId="1D991C26">
            <w:pPr>
              <w:pStyle w:val="14"/>
              <w:keepNext w:val="0"/>
              <w:keepLines/>
              <w:snapToGrid w:val="0"/>
              <w:jc w:val="left"/>
            </w:pPr>
            <w:r>
              <w:t>处置方案、复核与处置记录</w:t>
            </w:r>
          </w:p>
        </w:tc>
      </w:tr>
      <w:tr w14:paraId="7F77131F">
        <w:trPr>
          <w:cantSplit/>
        </w:trPr>
        <w:tc>
          <w:tcPr>
            <w:tcW w:w="1527" w:type="dxa"/>
            <w:vAlign w:val="center"/>
          </w:tcPr>
          <w:p w14:paraId="65CC8B4F">
            <w:pPr>
              <w:pStyle w:val="14"/>
              <w:keepNext w:val="0"/>
              <w:keepLines/>
              <w:snapToGrid w:val="0"/>
              <w:jc w:val="center"/>
            </w:pPr>
            <w:r>
              <w:t>人工复核与经验反馈</w:t>
            </w:r>
          </w:p>
        </w:tc>
        <w:tc>
          <w:tcPr>
            <w:tcW w:w="5538" w:type="dxa"/>
            <w:vAlign w:val="center"/>
          </w:tcPr>
          <w:p w14:paraId="4E29CF1B">
            <w:pPr>
              <w:pStyle w:val="14"/>
              <w:keepNext w:val="0"/>
              <w:keepLines/>
              <w:snapToGrid w:val="0"/>
              <w:jc w:val="left"/>
            </w:pPr>
            <w:r>
              <w:t>记录根因正误、分级及建议反馈，触发重诊、案例沉淀和新场景审核更新。</w:t>
            </w:r>
          </w:p>
        </w:tc>
        <w:tc>
          <w:tcPr>
            <w:tcW w:w="2007" w:type="dxa"/>
            <w:vAlign w:val="center"/>
          </w:tcPr>
          <w:p w14:paraId="3D003187">
            <w:pPr>
              <w:pStyle w:val="14"/>
              <w:keepNext w:val="0"/>
              <w:keepLines/>
              <w:snapToGrid w:val="0"/>
              <w:jc w:val="left"/>
            </w:pPr>
            <w:r>
              <w:t>复核记录与异常处置案例</w:t>
            </w:r>
          </w:p>
        </w:tc>
      </w:tr>
    </w:tbl>
    <w:p w14:paraId="53D6409A">
      <w:pPr>
        <w:pStyle w:val="12"/>
        <w:snapToGrid w:val="0"/>
        <w:spacing w:after="25"/>
      </w:pPr>
    </w:p>
    <w:p w14:paraId="6B4AF24C">
      <w:pPr>
        <w:ind w:firstLineChars="200"/>
        <w:rPr>
          <w:rFonts w:ascii="宋体" w:hAnsi="宋体" w:eastAsia="宋体"/>
          <w:b w:val="0"/>
          <w:color w:val="auto"/>
        </w:rPr>
      </w:pPr>
      <w:r>
        <w:rPr>
          <w:rFonts w:ascii="宋体" w:hAnsi="宋体" w:eastAsia="宋体"/>
          <w:b w:val="0"/>
          <w:color w:val="auto"/>
        </w:rPr>
        <w:t>主要输入：有效报警、DCS实时与历史工艺参数、仪表状态、HAZOP/FMEA图谱、防护屏障状态及标准操作程序。</w:t>
      </w:r>
    </w:p>
    <w:p w14:paraId="720003CC">
      <w:pPr>
        <w:ind w:firstLineChars="200"/>
        <w:rPr>
          <w:rFonts w:ascii="宋体" w:hAnsi="宋体" w:eastAsia="宋体"/>
          <w:b w:val="0"/>
          <w:color w:val="auto"/>
        </w:rPr>
      </w:pPr>
      <w:r>
        <w:rPr>
          <w:rFonts w:ascii="宋体" w:hAnsi="宋体" w:eastAsia="宋体"/>
          <w:b w:val="0"/>
          <w:color w:val="auto"/>
        </w:rPr>
        <w:t>根因推断综合故障模式匹配、参数趋势、事件时序、信号质量和仪表状态等证据，并保留因素与候选根因的关联。仪表异常分析结合单点突变及上下游测点响应差异识别故障线索，汇总类型、占比和分布，供仪表维护使用。处置建议记录适用设备、步骤、补偿措施、置信度、预期效果及风险，关联人工复核和执行反馈。</w:t>
      </w:r>
    </w:p>
    <w:p w14:paraId="7200001E">
      <w:pPr>
        <w:ind w:firstLineChars="200"/>
        <w:rPr>
          <w:rFonts w:ascii="宋体" w:hAnsi="宋体" w:eastAsia="宋体"/>
          <w:b w:val="0"/>
          <w:color w:val="auto"/>
        </w:rPr>
      </w:pPr>
      <w:r>
        <w:rPr>
          <w:rFonts w:ascii="宋体" w:hAnsi="宋体" w:eastAsia="宋体"/>
          <w:b w:val="0"/>
          <w:color w:val="auto"/>
        </w:rPr>
        <w:t>本场景的业务流程及节点说明见3.3.3节。</w:t>
      </w:r>
    </w:p>
    <w:p w14:paraId="78ACCD12">
      <w:pPr>
        <w:pStyle w:val="5"/>
        <w:snapToGrid w:val="0"/>
      </w:pPr>
      <w:bookmarkStart w:id="76" w:name="s5_3_3_4"/>
      <w:r>
        <w:rPr>
          <w:rFonts w:ascii="黑体" w:hAnsi="黑体" w:eastAsia="黑体" w:cs="黑体"/>
          <w:b/>
          <w:color w:val="000000"/>
        </w:rPr>
        <w:t>5.3.3.4　液化工序优化</w:t>
      </w:r>
      <w:bookmarkEnd w:id="76"/>
    </w:p>
    <w:p w14:paraId="7959E996">
      <w:pPr>
        <w:pStyle w:val="17"/>
        <w:ind w:firstLineChars="200"/>
        <w:rPr>
          <w:highlight w:val="none"/>
        </w:rPr>
      </w:pPr>
      <w:r>
        <w:rPr>
          <w:rFonts w:ascii="宋体" w:hAnsi="宋体" w:eastAsia="宋体" w:cs="宋体"/>
          <w:highlight w:val="none"/>
        </w:rPr>
        <w:t>液化工序优化场景面向淀粉糖液化工序，主要服务中控操作员与液化工艺工程师。液化工序通过一次高温喷射、两次闪蒸降温的连续反应将淀粉长链分子拆解为短链，反应过程受多因素交叉影响且响应滞后，长期依赖人工经验调节。本场景把“DE值预测、问题归因、参数优化”组织成一套可运行的智能业务：以一个覆盖液化全流程的DE值预测模型为核心，配套动态取数、参数优化、What-if模拟与效果闭环能力，实现液化工艺的稳定控制与持续优化。场景支持定时触发、事件触发与用户查询三种启动方式：定时与事件触发用于例行工况跟踪与优化评估，用户查询用于响应状态查询、参数优化与假设模拟请求。</w:t>
      </w:r>
    </w:p>
    <w:p w14:paraId="21E5FB4C">
      <w:pPr>
        <w:pStyle w:val="17"/>
        <w:ind w:firstLineChars="200"/>
        <w:rPr>
          <w:highlight w:val="none"/>
        </w:rPr>
      </w:pPr>
      <w:r>
        <w:rPr>
          <w:rFonts w:ascii="宋体" w:hAnsi="宋体" w:eastAsia="宋体" w:cs="宋体"/>
          <w:highlight w:val="none"/>
        </w:rPr>
        <w:t>建设液化优化建议生成、适用工况校验与结果解释能力，参数建议经工艺工程师确认后由操作人员在DCS人工执行。业务数据按统一时间窗关联DCS/PI工况与LIMS化验记录。针对DE值无法在线直接测量、化验标签稀疏、液化反应阶段耦合和工况漂移，持续验证预测结果；优化建议标注适用工况与数据时间窗，并通过执行效果回收验证和修正。</w:t>
      </w:r>
    </w:p>
    <w:p w14:paraId="72000020">
      <w:pPr>
        <w:ind w:firstLineChars="200"/>
        <w:rPr>
          <w:rFonts w:ascii="宋体" w:hAnsi="宋体" w:eastAsia="宋体"/>
          <w:b w:val="0"/>
          <w:color w:val="auto"/>
        </w:rPr>
      </w:pPr>
      <w:r>
        <w:rPr>
          <w:rFonts w:ascii="宋体" w:hAnsi="宋体" w:eastAsia="宋体"/>
          <w:b w:val="0"/>
          <w:color w:val="auto"/>
        </w:rPr>
        <w:t>本场景的业务流程及节点说明见3.3.4节。</w:t>
      </w:r>
    </w:p>
    <w:p w14:paraId="338F3833">
      <w:pPr>
        <w:pStyle w:val="5"/>
        <w:snapToGrid w:val="0"/>
        <w:rPr>
          <w:highlight w:val="none"/>
        </w:rPr>
      </w:pPr>
      <w:bookmarkStart w:id="77" w:name="s5_3_3_5"/>
      <w:r>
        <w:rPr>
          <w:rFonts w:ascii="黑体" w:hAnsi="黑体" w:eastAsia="黑体" w:cs="黑体"/>
          <w:b/>
          <w:color w:val="000000"/>
          <w:highlight w:val="none"/>
        </w:rPr>
        <w:t>5.3.3.5　全局工艺优化</w:t>
      </w:r>
      <w:bookmarkEnd w:id="77"/>
    </w:p>
    <w:p w14:paraId="5D393C2D">
      <w:pPr>
        <w:pStyle w:val="17"/>
        <w:ind w:firstLineChars="200"/>
        <w:rPr>
          <w:highlight w:val="none"/>
        </w:rPr>
      </w:pPr>
      <w:r>
        <w:rPr>
          <w:rFonts w:ascii="宋体" w:hAnsi="宋体" w:eastAsia="宋体" w:cs="宋体"/>
          <w:highlight w:val="none"/>
        </w:rPr>
        <w:t>全局工艺优化场景重点面向液化、糖化等酶化工序以及膜过滤、离交、色谱等材料类环节，主要服务工艺工程师与生产技术负责人。本场景解决稳定生产状态下“参数设定偏保守、材料更换按固定周期、改进经验难沉淀”的问题，按“优化机会识别—定量分析—迭代建议—验证回写”的持续优化机制组织两条并行业务线：业务请求经业务线识别后即分线运行，业务线A面向酶化工序的工艺改进，业务线B面向材料类环节的寿命管理；两条业务线共用多源数据对齐底座，在建议合成与安全校验节点汇合，触发条件与输出成果明确分离。</w:t>
      </w:r>
    </w:p>
    <w:p w14:paraId="2529B5C8">
      <w:pPr>
        <w:pStyle w:val="17"/>
        <w:ind w:firstLineChars="200"/>
        <w:rPr>
          <w:highlight w:val="none"/>
        </w:rPr>
      </w:pPr>
      <w:r>
        <w:rPr>
          <w:rFonts w:ascii="宋体" w:hAnsi="宋体" w:eastAsia="宋体" w:cs="宋体"/>
          <w:highlight w:val="none"/>
        </w:rPr>
        <w:t>建设工艺参数优化和材料维护建议，参数类建议经过安全校验与人工确认，维护类建议结合生产计划和调度安排。统一跨系统批次、时间窗和计算口径，关联跨工序过程与质量数据，利用历史数据和现场验证持续核验量化建议；材料寿命预测结合多个使用周期的运行及清洗更换记录校准，执行效果回收与后续评估衔接。</w:t>
      </w:r>
    </w:p>
    <w:p w14:paraId="72000022">
      <w:pPr>
        <w:ind w:firstLineChars="200"/>
        <w:rPr>
          <w:rFonts w:ascii="宋体" w:hAnsi="宋体" w:eastAsia="宋体"/>
          <w:b w:val="0"/>
          <w:color w:val="auto"/>
        </w:rPr>
      </w:pPr>
      <w:r>
        <w:rPr>
          <w:rFonts w:ascii="宋体" w:hAnsi="宋体" w:eastAsia="宋体"/>
          <w:b w:val="0"/>
          <w:color w:val="auto"/>
        </w:rPr>
        <w:t>本场景的业务流程及节点说明见3.3.5节。</w:t>
      </w:r>
    </w:p>
    <w:p w14:paraId="0E715C2F">
      <w:pPr>
        <w:pStyle w:val="4"/>
        <w:snapToGrid w:val="0"/>
      </w:pPr>
      <w:bookmarkStart w:id="78" w:name="s5_3_4"/>
      <w:r>
        <w:rPr>
          <w:rFonts w:ascii="黑体" w:hAnsi="黑体" w:eastAsia="黑体" w:cs="黑体"/>
          <w:b/>
          <w:color w:val="000000"/>
        </w:rPr>
        <w:t>5.3.4　知识问答及语音交互类</w:t>
      </w:r>
      <w:bookmarkEnd w:id="78"/>
    </w:p>
    <w:p w14:paraId="18DB3E42">
      <w:pPr>
        <w:pStyle w:val="5"/>
        <w:snapToGrid w:val="0"/>
      </w:pPr>
      <w:bookmarkStart w:id="79" w:name="s5_3_4_1"/>
      <w:r>
        <w:rPr>
          <w:rFonts w:ascii="黑体" w:hAnsi="黑体" w:eastAsia="黑体" w:cs="黑体"/>
          <w:b/>
          <w:color w:val="000000"/>
        </w:rPr>
        <w:t>5.3.4.1　访客知识问答</w:t>
      </w:r>
      <w:bookmarkEnd w:id="79"/>
    </w:p>
    <w:p w14:paraId="3687EBEC">
      <w:pPr>
        <w:ind w:firstLineChars="200"/>
        <w:rPr>
          <w:rFonts w:ascii="宋体" w:hAnsi="宋体" w:eastAsia="宋体"/>
          <w:b w:val="0"/>
          <w:color w:val="auto"/>
        </w:rPr>
      </w:pPr>
      <w:r>
        <w:rPr>
          <w:rFonts w:ascii="宋体" w:hAnsi="宋体" w:eastAsia="宋体"/>
          <w:b w:val="0"/>
          <w:color w:val="auto"/>
        </w:rPr>
        <w:t>面向访客与新员工，建设企业介绍、参观须知、通用制度和入职指引的统一知识问答服务。围绕已整理的公开材料检索相关内容，结合用户身份提供带文件出处的回答，支持参观和入职过程中常见问题的快速了解。未覆盖的问题形成知识维护线索，经审核补充后持续完善服务内容与回答口径。</w:t>
      </w:r>
    </w:p>
    <w:p w14:paraId="58943FF8">
      <w:pPr>
        <w:pStyle w:val="15"/>
        <w:snapToGrid w:val="0"/>
        <w:jc w:val="center"/>
      </w:pPr>
      <w:r>
        <w:t>表5-15　访客知识问答建设内容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119A61CB">
        <w:trPr>
          <w:cantSplit/>
          <w:tblHeader/>
        </w:trPr>
        <w:tc>
          <w:tcPr>
            <w:tcW w:w="1527" w:type="dxa"/>
            <w:vAlign w:val="center"/>
          </w:tcPr>
          <w:p w14:paraId="3E54EA4D">
            <w:pPr>
              <w:pStyle w:val="14"/>
              <w:snapToGrid w:val="0"/>
              <w:jc w:val="center"/>
            </w:pPr>
            <w:r>
              <w:rPr>
                <w:b/>
              </w:rPr>
              <w:t>功能事项</w:t>
            </w:r>
          </w:p>
        </w:tc>
        <w:tc>
          <w:tcPr>
            <w:tcW w:w="5538" w:type="dxa"/>
            <w:vAlign w:val="center"/>
          </w:tcPr>
          <w:p w14:paraId="4F04DF6F">
            <w:pPr>
              <w:pStyle w:val="14"/>
              <w:snapToGrid w:val="0"/>
              <w:jc w:val="center"/>
            </w:pPr>
            <w:r>
              <w:rPr>
                <w:b/>
              </w:rPr>
              <w:t>建设内容</w:t>
            </w:r>
          </w:p>
        </w:tc>
        <w:tc>
          <w:tcPr>
            <w:tcW w:w="2007" w:type="dxa"/>
            <w:vAlign w:val="center"/>
          </w:tcPr>
          <w:p w14:paraId="57266F83">
            <w:pPr>
              <w:pStyle w:val="14"/>
              <w:snapToGrid w:val="0"/>
              <w:jc w:val="center"/>
            </w:pPr>
            <w:r>
              <w:rPr>
                <w:b/>
              </w:rPr>
              <w:t>业务输出</w:t>
            </w:r>
          </w:p>
        </w:tc>
      </w:tr>
      <w:tr w14:paraId="36081D9E">
        <w:trPr>
          <w:cantSplit/>
        </w:trPr>
        <w:tc>
          <w:tcPr>
            <w:tcW w:w="1527" w:type="dxa"/>
            <w:vAlign w:val="center"/>
          </w:tcPr>
          <w:p w14:paraId="5A3DF66D">
            <w:pPr>
              <w:pStyle w:val="14"/>
              <w:snapToGrid w:val="0"/>
              <w:jc w:val="center"/>
            </w:pPr>
            <w:r>
              <w:t>公开知识组织</w:t>
            </w:r>
          </w:p>
        </w:tc>
        <w:tc>
          <w:tcPr>
            <w:tcW w:w="5538" w:type="dxa"/>
            <w:vAlign w:val="center"/>
          </w:tcPr>
          <w:p w14:paraId="672D4FF4">
            <w:pPr>
              <w:pStyle w:val="14"/>
              <w:snapToGrid w:val="0"/>
              <w:jc w:val="left"/>
            </w:pPr>
            <w:r>
              <w:t>整理企业介绍、参观须知、通用制度和入职指引等资料，按文档版本和公开级要求建立知识内容。</w:t>
            </w:r>
          </w:p>
        </w:tc>
        <w:tc>
          <w:tcPr>
            <w:tcW w:w="2007" w:type="dxa"/>
            <w:vAlign w:val="center"/>
          </w:tcPr>
          <w:p w14:paraId="08563819">
            <w:pPr>
              <w:pStyle w:val="14"/>
              <w:snapToGrid w:val="0"/>
              <w:jc w:val="left"/>
            </w:pPr>
            <w:r>
              <w:t>公开知识目录与检索内容</w:t>
            </w:r>
          </w:p>
        </w:tc>
      </w:tr>
      <w:tr w14:paraId="05FB045E">
        <w:trPr>
          <w:cantSplit/>
        </w:trPr>
        <w:tc>
          <w:tcPr>
            <w:tcW w:w="1527" w:type="dxa"/>
            <w:vAlign w:val="center"/>
          </w:tcPr>
          <w:p w14:paraId="3783DC3B">
            <w:pPr>
              <w:pStyle w:val="14"/>
              <w:snapToGrid w:val="0"/>
              <w:jc w:val="left"/>
            </w:pPr>
            <w:r>
              <w:t>身份与原文问答</w:t>
            </w:r>
          </w:p>
        </w:tc>
        <w:tc>
          <w:tcPr>
            <w:tcW w:w="5538" w:type="dxa"/>
            <w:vAlign w:val="center"/>
          </w:tcPr>
          <w:p w14:paraId="6BEADD10">
            <w:pPr>
              <w:pStyle w:val="14"/>
              <w:snapToGrid w:val="0"/>
              <w:jc w:val="left"/>
            </w:pPr>
            <w:r>
              <w:t>结合访客或员工身份检索可见片段，组织回答并附文件名及条款位置，保持企业介绍口径一致。</w:t>
            </w:r>
          </w:p>
        </w:tc>
        <w:tc>
          <w:tcPr>
            <w:tcW w:w="2007" w:type="dxa"/>
            <w:vAlign w:val="center"/>
          </w:tcPr>
          <w:p w14:paraId="05FF75A1">
            <w:pPr>
              <w:pStyle w:val="14"/>
              <w:snapToGrid w:val="0"/>
              <w:jc w:val="left"/>
            </w:pPr>
            <w:r>
              <w:t>带出处的知识回答</w:t>
            </w:r>
          </w:p>
        </w:tc>
      </w:tr>
      <w:tr w14:paraId="5CA0A1A9">
        <w:trPr>
          <w:cantSplit/>
        </w:trPr>
        <w:tc>
          <w:tcPr>
            <w:tcW w:w="1527" w:type="dxa"/>
            <w:vAlign w:val="center"/>
          </w:tcPr>
          <w:p w14:paraId="6E5D8152">
            <w:pPr>
              <w:pStyle w:val="14"/>
              <w:snapToGrid w:val="0"/>
              <w:jc w:val="left"/>
            </w:pPr>
            <w:r>
              <w:t>知识维护与服务完善</w:t>
            </w:r>
          </w:p>
        </w:tc>
        <w:tc>
          <w:tcPr>
            <w:tcW w:w="5538" w:type="dxa"/>
            <w:vAlign w:val="center"/>
          </w:tcPr>
          <w:p w14:paraId="23F636F3">
            <w:pPr>
              <w:pStyle w:val="14"/>
              <w:snapToGrid w:val="0"/>
              <w:jc w:val="left"/>
            </w:pPr>
            <w:r>
              <w:t>记录未命中的真实问题，按线索审核补充材料并验证检索结果，持续完善常见问题服务。</w:t>
            </w:r>
          </w:p>
        </w:tc>
        <w:tc>
          <w:tcPr>
            <w:tcW w:w="2007" w:type="dxa"/>
            <w:vAlign w:val="center"/>
          </w:tcPr>
          <w:p w14:paraId="1AA87BD2">
            <w:pPr>
              <w:pStyle w:val="14"/>
              <w:snapToGrid w:val="0"/>
              <w:jc w:val="left"/>
            </w:pPr>
            <w:r>
              <w:t>知识缺口与更新后的答案</w:t>
            </w:r>
          </w:p>
        </w:tc>
      </w:tr>
    </w:tbl>
    <w:p w14:paraId="3B3D4D77">
      <w:pPr>
        <w:pStyle w:val="12"/>
        <w:snapToGrid w:val="0"/>
        <w:spacing w:after="25"/>
      </w:pPr>
    </w:p>
    <w:p w14:paraId="6F770801">
      <w:pPr>
        <w:ind w:firstLineChars="200"/>
        <w:rPr>
          <w:rFonts w:ascii="宋体" w:hAnsi="宋体" w:eastAsia="宋体"/>
          <w:b w:val="0"/>
          <w:color w:val="auto"/>
        </w:rPr>
      </w:pPr>
      <w:r>
        <w:rPr>
          <w:rFonts w:ascii="宋体" w:hAnsi="宋体" w:eastAsia="宋体"/>
          <w:b w:val="0"/>
          <w:color w:val="auto"/>
        </w:rPr>
        <w:t>主要输入：公开文档、参观须知、通用制度、入职指引、文档权限和身份。</w:t>
      </w:r>
    </w:p>
    <w:p w14:paraId="72000025">
      <w:pPr>
        <w:ind w:firstLineChars="200"/>
        <w:rPr>
          <w:rFonts w:ascii="宋体" w:hAnsi="宋体" w:eastAsia="宋体"/>
          <w:b w:val="0"/>
          <w:color w:val="auto"/>
        </w:rPr>
      </w:pPr>
      <w:r>
        <w:rPr>
          <w:rFonts w:ascii="宋体" w:hAnsi="宋体" w:eastAsia="宋体"/>
          <w:b w:val="0"/>
          <w:color w:val="auto"/>
        </w:rPr>
        <w:t>本场景的业务流程及节点说明见3.4.1节。</w:t>
      </w:r>
    </w:p>
    <w:p w14:paraId="129E94CE">
      <w:pPr>
        <w:pStyle w:val="5"/>
        <w:snapToGrid w:val="0"/>
      </w:pPr>
      <w:bookmarkStart w:id="80" w:name="s5_3_4_2"/>
      <w:r>
        <w:rPr>
          <w:rFonts w:ascii="黑体" w:hAnsi="黑体" w:eastAsia="黑体" w:cs="黑体"/>
          <w:b/>
          <w:color w:val="000000"/>
        </w:rPr>
        <w:t>5.3.4.2　数字人语音唤醒</w:t>
      </w:r>
      <w:bookmarkEnd w:id="80"/>
    </w:p>
    <w:p w14:paraId="3164B3F7">
      <w:pPr>
        <w:ind w:firstLineChars="200"/>
        <w:rPr>
          <w:rFonts w:ascii="宋体" w:hAnsi="宋体" w:eastAsia="宋体"/>
          <w:b w:val="0"/>
          <w:color w:val="auto"/>
        </w:rPr>
      </w:pPr>
      <w:r>
        <w:rPr>
          <w:rFonts w:ascii="宋体" w:hAnsi="宋体" w:eastAsia="宋体"/>
          <w:b w:val="0"/>
          <w:color w:val="auto"/>
        </w:rPr>
        <w:t>面向展厅语音交互，建立从唤醒、语音识别到问题转写的接入能力，使参观者能够通过自然说话启动问答。语音问题转为文字后进入统一知识问答链路，识别失败时提示重说，连续失败时提供文字输入引导，形成与展厅数字人回答、语音播报及大屏呈现相衔接的交互入口。</w:t>
      </w:r>
    </w:p>
    <w:p w14:paraId="0DCA6862">
      <w:pPr>
        <w:pStyle w:val="15"/>
        <w:snapToGrid w:val="0"/>
        <w:jc w:val="center"/>
      </w:pPr>
      <w:r>
        <w:t>表5-16　数字人语音唤醒建设内容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74D311C3">
        <w:trPr>
          <w:cantSplit/>
          <w:tblHeader/>
        </w:trPr>
        <w:tc>
          <w:tcPr>
            <w:tcW w:w="1527" w:type="dxa"/>
            <w:vAlign w:val="center"/>
          </w:tcPr>
          <w:p w14:paraId="539ECADC">
            <w:pPr>
              <w:pStyle w:val="14"/>
              <w:snapToGrid w:val="0"/>
              <w:jc w:val="center"/>
            </w:pPr>
            <w:r>
              <w:rPr>
                <w:b/>
              </w:rPr>
              <w:t>功能事项</w:t>
            </w:r>
          </w:p>
        </w:tc>
        <w:tc>
          <w:tcPr>
            <w:tcW w:w="5538" w:type="dxa"/>
            <w:vAlign w:val="center"/>
          </w:tcPr>
          <w:p w14:paraId="7B4FC3FC">
            <w:pPr>
              <w:pStyle w:val="14"/>
              <w:snapToGrid w:val="0"/>
              <w:jc w:val="center"/>
            </w:pPr>
            <w:r>
              <w:rPr>
                <w:b/>
              </w:rPr>
              <w:t>建设内容</w:t>
            </w:r>
          </w:p>
        </w:tc>
        <w:tc>
          <w:tcPr>
            <w:tcW w:w="2007" w:type="dxa"/>
            <w:vAlign w:val="center"/>
          </w:tcPr>
          <w:p w14:paraId="6237C1C7">
            <w:pPr>
              <w:pStyle w:val="14"/>
              <w:snapToGrid w:val="0"/>
              <w:jc w:val="center"/>
            </w:pPr>
            <w:r>
              <w:rPr>
                <w:b/>
              </w:rPr>
              <w:t>业务输出</w:t>
            </w:r>
          </w:p>
        </w:tc>
      </w:tr>
      <w:tr w14:paraId="1952BD03">
        <w:trPr>
          <w:cantSplit/>
        </w:trPr>
        <w:tc>
          <w:tcPr>
            <w:tcW w:w="1527" w:type="dxa"/>
            <w:vAlign w:val="center"/>
          </w:tcPr>
          <w:p w14:paraId="5064A554">
            <w:pPr>
              <w:pStyle w:val="14"/>
              <w:snapToGrid w:val="0"/>
              <w:jc w:val="left"/>
            </w:pPr>
            <w:r>
              <w:t>语音唤醒与接入</w:t>
            </w:r>
          </w:p>
        </w:tc>
        <w:tc>
          <w:tcPr>
            <w:tcW w:w="5538" w:type="dxa"/>
            <w:vAlign w:val="center"/>
          </w:tcPr>
          <w:p w14:paraId="312A7A11">
            <w:pPr>
              <w:pStyle w:val="14"/>
              <w:snapToGrid w:val="0"/>
              <w:jc w:val="left"/>
            </w:pPr>
            <w:r>
              <w:t>通过展厅语音设备接收唤醒词和提问，启动对应问答轮次，关联演示账号的公开知识权限。</w:t>
            </w:r>
          </w:p>
        </w:tc>
        <w:tc>
          <w:tcPr>
            <w:tcW w:w="2007" w:type="dxa"/>
            <w:vAlign w:val="center"/>
          </w:tcPr>
          <w:p w14:paraId="7DEDAB62">
            <w:pPr>
              <w:pStyle w:val="14"/>
              <w:snapToGrid w:val="0"/>
              <w:jc w:val="left"/>
            </w:pPr>
            <w:r>
              <w:t>已唤醒会话与待识别语音</w:t>
            </w:r>
          </w:p>
        </w:tc>
      </w:tr>
      <w:tr w14:paraId="1DD552B8">
        <w:trPr>
          <w:cantSplit/>
        </w:trPr>
        <w:tc>
          <w:tcPr>
            <w:tcW w:w="1527" w:type="dxa"/>
            <w:vAlign w:val="center"/>
          </w:tcPr>
          <w:p w14:paraId="4F4EE6CF">
            <w:pPr>
              <w:pStyle w:val="14"/>
              <w:snapToGrid w:val="0"/>
              <w:jc w:val="left"/>
            </w:pPr>
            <w:r>
              <w:t>语音识别与转写</w:t>
            </w:r>
          </w:p>
        </w:tc>
        <w:tc>
          <w:tcPr>
            <w:tcW w:w="5538" w:type="dxa"/>
            <w:vAlign w:val="center"/>
          </w:tcPr>
          <w:p w14:paraId="3F9408DA">
            <w:pPr>
              <w:pStyle w:val="14"/>
              <w:snapToGrid w:val="0"/>
              <w:jc w:val="left"/>
            </w:pPr>
            <w:r>
              <w:t>将用户语音转为问题文字，保持语音入口与统一知识问答衔接，提供后续回答所需的输入。</w:t>
            </w:r>
          </w:p>
        </w:tc>
        <w:tc>
          <w:tcPr>
            <w:tcW w:w="2007" w:type="dxa"/>
            <w:vAlign w:val="center"/>
          </w:tcPr>
          <w:p w14:paraId="2486C40D">
            <w:pPr>
              <w:pStyle w:val="14"/>
              <w:snapToGrid w:val="0"/>
              <w:jc w:val="left"/>
            </w:pPr>
            <w:r>
              <w:t>转写问题与问答请求</w:t>
            </w:r>
          </w:p>
        </w:tc>
      </w:tr>
      <w:tr w14:paraId="14CF79ED">
        <w:trPr>
          <w:cantSplit/>
        </w:trPr>
        <w:tc>
          <w:tcPr>
            <w:tcW w:w="1527" w:type="dxa"/>
            <w:vAlign w:val="center"/>
          </w:tcPr>
          <w:p w14:paraId="412815C3">
            <w:pPr>
              <w:pStyle w:val="14"/>
              <w:snapToGrid w:val="0"/>
              <w:jc w:val="left"/>
            </w:pPr>
            <w:r>
              <w:t>识别恢复与文字引导</w:t>
            </w:r>
          </w:p>
        </w:tc>
        <w:tc>
          <w:tcPr>
            <w:tcW w:w="5538" w:type="dxa"/>
            <w:vAlign w:val="center"/>
          </w:tcPr>
          <w:p w14:paraId="780B80EF">
            <w:pPr>
              <w:pStyle w:val="14"/>
              <w:snapToGrid w:val="0"/>
              <w:jc w:val="left"/>
            </w:pPr>
            <w:r>
              <w:t>识别失败时提示重说，连续失败时引导文字输入，使用户能够继续完成当前问题的表达。</w:t>
            </w:r>
          </w:p>
        </w:tc>
        <w:tc>
          <w:tcPr>
            <w:tcW w:w="2007" w:type="dxa"/>
            <w:vAlign w:val="center"/>
          </w:tcPr>
          <w:p w14:paraId="6992B4D7">
            <w:pPr>
              <w:pStyle w:val="14"/>
              <w:snapToGrid w:val="0"/>
              <w:jc w:val="left"/>
            </w:pPr>
            <w:r>
              <w:t>重试提示或文字问题</w:t>
            </w:r>
          </w:p>
        </w:tc>
      </w:tr>
    </w:tbl>
    <w:p w14:paraId="6B07C70A">
      <w:pPr>
        <w:pStyle w:val="12"/>
        <w:snapToGrid w:val="0"/>
        <w:spacing w:after="25"/>
      </w:pPr>
    </w:p>
    <w:p w14:paraId="397DD66A">
      <w:pPr>
        <w:ind w:firstLineChars="200"/>
        <w:rPr>
          <w:rFonts w:ascii="宋体" w:hAnsi="宋体" w:eastAsia="宋体"/>
          <w:b w:val="0"/>
          <w:color w:val="auto"/>
        </w:rPr>
      </w:pPr>
      <w:r>
        <w:rPr>
          <w:rFonts w:ascii="宋体" w:hAnsi="宋体" w:eastAsia="宋体"/>
          <w:b w:val="0"/>
          <w:color w:val="auto"/>
        </w:rPr>
        <w:t>主要输入：展厅音频设备、唤醒词、用户语音、演示账号和文字输入。</w:t>
      </w:r>
    </w:p>
    <w:p w14:paraId="72000027">
      <w:pPr>
        <w:ind w:firstLineChars="200"/>
        <w:rPr>
          <w:rFonts w:ascii="宋体" w:hAnsi="宋体" w:eastAsia="宋体"/>
          <w:b w:val="0"/>
          <w:color w:val="auto"/>
        </w:rPr>
      </w:pPr>
      <w:r>
        <w:rPr>
          <w:rFonts w:ascii="宋体" w:hAnsi="宋体" w:eastAsia="宋体"/>
          <w:b w:val="0"/>
          <w:color w:val="auto"/>
        </w:rPr>
        <w:t>本场景的业务流程及节点说明见3.4.2节。</w:t>
      </w:r>
    </w:p>
    <w:p w14:paraId="16A36A94">
      <w:pPr>
        <w:pStyle w:val="5"/>
        <w:snapToGrid w:val="0"/>
      </w:pPr>
      <w:bookmarkStart w:id="81" w:name="s5_3_4_3"/>
      <w:r>
        <w:rPr>
          <w:rFonts w:ascii="黑体" w:hAnsi="黑体" w:eastAsia="黑体" w:cs="黑体"/>
          <w:b/>
          <w:color w:val="000000"/>
        </w:rPr>
        <w:t>5.3.4.3　展厅智能问答数字人</w:t>
      </w:r>
      <w:bookmarkEnd w:id="81"/>
    </w:p>
    <w:p w14:paraId="0E7B1BC8">
      <w:pPr>
        <w:ind w:firstLineChars="200"/>
        <w:rPr>
          <w:rFonts w:ascii="宋体" w:hAnsi="宋体" w:eastAsia="宋体"/>
          <w:b w:val="0"/>
          <w:color w:val="auto"/>
        </w:rPr>
      </w:pPr>
      <w:r>
        <w:rPr>
          <w:rFonts w:ascii="宋体" w:hAnsi="宋体" w:eastAsia="宋体"/>
          <w:b w:val="0"/>
          <w:color w:val="auto"/>
        </w:rPr>
        <w:t>面向展厅参观交流，承接语音唤醒与转写入口，复用访客公开知识问答，形成有来源、可播报的回答。AI问答侧将过滤后的文本转换为音频，并向数字孪生模块传递本轮识别与问答结果；数字孪生结合形象、三维模型、口型和展厅大屏完成呈现，支持语音或文字继续提问，通过联调验证问答、音频与画面的一致性。</w:t>
      </w:r>
    </w:p>
    <w:p w14:paraId="25F0F76B">
      <w:pPr>
        <w:pStyle w:val="15"/>
        <w:snapToGrid w:val="0"/>
        <w:jc w:val="center"/>
      </w:pPr>
      <w:r>
        <w:t>表5-17　展厅智能问答数字人建设内容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06630313">
        <w:trPr>
          <w:cantSplit/>
          <w:tblHeader/>
        </w:trPr>
        <w:tc>
          <w:tcPr>
            <w:tcW w:w="1527" w:type="dxa"/>
            <w:vAlign w:val="center"/>
          </w:tcPr>
          <w:p w14:paraId="618460DD">
            <w:pPr>
              <w:pStyle w:val="14"/>
              <w:keepNext w:val="0"/>
              <w:keepLines/>
              <w:snapToGrid w:val="0"/>
              <w:jc w:val="center"/>
            </w:pPr>
            <w:r>
              <w:rPr>
                <w:b/>
              </w:rPr>
              <w:t>功能事项</w:t>
            </w:r>
          </w:p>
        </w:tc>
        <w:tc>
          <w:tcPr>
            <w:tcW w:w="5538" w:type="dxa"/>
            <w:vAlign w:val="center"/>
          </w:tcPr>
          <w:p w14:paraId="72137C6B">
            <w:pPr>
              <w:pStyle w:val="14"/>
              <w:keepNext w:val="0"/>
              <w:keepLines/>
              <w:snapToGrid w:val="0"/>
              <w:jc w:val="center"/>
            </w:pPr>
            <w:r>
              <w:rPr>
                <w:b/>
              </w:rPr>
              <w:t>建设内容</w:t>
            </w:r>
          </w:p>
        </w:tc>
        <w:tc>
          <w:tcPr>
            <w:tcW w:w="2007" w:type="dxa"/>
            <w:vAlign w:val="center"/>
          </w:tcPr>
          <w:p w14:paraId="6C3C3C13">
            <w:pPr>
              <w:pStyle w:val="14"/>
              <w:keepNext w:val="0"/>
              <w:keepLines/>
              <w:snapToGrid w:val="0"/>
              <w:jc w:val="center"/>
            </w:pPr>
            <w:r>
              <w:rPr>
                <w:b/>
              </w:rPr>
              <w:t>业务输出</w:t>
            </w:r>
          </w:p>
        </w:tc>
      </w:tr>
      <w:tr w14:paraId="0950B447">
        <w:trPr>
          <w:cantSplit/>
        </w:trPr>
        <w:tc>
          <w:tcPr>
            <w:tcW w:w="1527" w:type="dxa"/>
            <w:vAlign w:val="center"/>
          </w:tcPr>
          <w:p w14:paraId="5C3E5837">
            <w:pPr>
              <w:pStyle w:val="14"/>
              <w:keepNext w:val="0"/>
              <w:keepLines/>
              <w:snapToGrid w:val="0"/>
              <w:jc w:val="left"/>
            </w:pPr>
            <w:r>
              <w:t>公开知识与语音入口衔接</w:t>
            </w:r>
          </w:p>
        </w:tc>
        <w:tc>
          <w:tcPr>
            <w:tcW w:w="5538" w:type="dxa"/>
            <w:vAlign w:val="center"/>
          </w:tcPr>
          <w:p w14:paraId="7582B056">
            <w:pPr>
              <w:pStyle w:val="14"/>
              <w:keepNext w:val="0"/>
              <w:keepLines/>
              <w:snapToGrid w:val="0"/>
              <w:jc w:val="left"/>
            </w:pPr>
            <w:r>
              <w:t>承接5.3.4.2形成的语音转写或文字问题，沿用访客级演示身份，复用企业介绍、参观须知等公开知识并保留出处。</w:t>
            </w:r>
          </w:p>
        </w:tc>
        <w:tc>
          <w:tcPr>
            <w:tcW w:w="2007" w:type="dxa"/>
            <w:vAlign w:val="center"/>
          </w:tcPr>
          <w:p w14:paraId="2AF60ACB">
            <w:pPr>
              <w:pStyle w:val="14"/>
              <w:keepNext w:val="0"/>
              <w:keepLines/>
              <w:snapToGrid w:val="0"/>
              <w:jc w:val="left"/>
            </w:pPr>
            <w:r>
              <w:t>本轮问答任务、公开回答与来源</w:t>
            </w:r>
          </w:p>
        </w:tc>
      </w:tr>
      <w:tr w14:paraId="6299B55A">
        <w:trPr>
          <w:cantSplit/>
        </w:trPr>
        <w:tc>
          <w:tcPr>
            <w:tcW w:w="1527" w:type="dxa"/>
            <w:vAlign w:val="center"/>
          </w:tcPr>
          <w:p w14:paraId="3AD8CFBA">
            <w:pPr>
              <w:pStyle w:val="14"/>
              <w:keepNext w:val="0"/>
              <w:keepLines/>
              <w:snapToGrid w:val="0"/>
              <w:jc w:val="left"/>
            </w:pPr>
            <w:r>
              <w:t>安全回答与语音合成</w:t>
            </w:r>
          </w:p>
        </w:tc>
        <w:tc>
          <w:tcPr>
            <w:tcW w:w="5538" w:type="dxa"/>
            <w:vAlign w:val="center"/>
          </w:tcPr>
          <w:p w14:paraId="31DBCF3C">
            <w:pPr>
              <w:pStyle w:val="14"/>
              <w:keepNext w:val="0"/>
              <w:keepLines/>
              <w:snapToGrid w:val="0"/>
              <w:jc w:val="left"/>
            </w:pPr>
            <w:r>
              <w:t>对公开回答、拒答或未命中说明执行输出内容过滤，生成与已核对文本一致的合成音频。</w:t>
            </w:r>
          </w:p>
        </w:tc>
        <w:tc>
          <w:tcPr>
            <w:tcW w:w="2007" w:type="dxa"/>
            <w:vAlign w:val="center"/>
          </w:tcPr>
          <w:p w14:paraId="2FACE324">
            <w:pPr>
              <w:pStyle w:val="14"/>
              <w:keepNext w:val="0"/>
              <w:keepLines/>
              <w:snapToGrid w:val="0"/>
              <w:jc w:val="left"/>
            </w:pPr>
            <w:r>
              <w:t>可播报文本与合成音频</w:t>
            </w:r>
          </w:p>
        </w:tc>
      </w:tr>
      <w:tr w14:paraId="17650353">
        <w:trPr>
          <w:cantSplit/>
        </w:trPr>
        <w:tc>
          <w:tcPr>
            <w:tcW w:w="1527" w:type="dxa"/>
            <w:vAlign w:val="center"/>
          </w:tcPr>
          <w:p w14:paraId="04B4A5B3">
            <w:pPr>
              <w:pStyle w:val="14"/>
              <w:keepNext w:val="0"/>
              <w:keepLines/>
              <w:snapToGrid w:val="0"/>
              <w:jc w:val="left"/>
            </w:pPr>
            <w:r>
              <w:t>数字孪生形象与大屏呈现</w:t>
            </w:r>
          </w:p>
        </w:tc>
        <w:tc>
          <w:tcPr>
            <w:tcW w:w="5538" w:type="dxa"/>
            <w:vAlign w:val="center"/>
          </w:tcPr>
          <w:p w14:paraId="472506AB">
            <w:pPr>
              <w:pStyle w:val="14"/>
              <w:keepNext w:val="0"/>
              <w:keepLines/>
              <w:snapToGrid w:val="0"/>
              <w:jc w:val="left"/>
            </w:pPr>
            <w:r>
              <w:t>将识别及问答结果、合成音频交给数字孪生模块，衔接数字人形象、三维模型、口型驱动和展厅大屏适配。</w:t>
            </w:r>
          </w:p>
        </w:tc>
        <w:tc>
          <w:tcPr>
            <w:tcW w:w="2007" w:type="dxa"/>
            <w:vAlign w:val="center"/>
          </w:tcPr>
          <w:p w14:paraId="6AABFFA8">
            <w:pPr>
              <w:pStyle w:val="14"/>
              <w:keepNext w:val="0"/>
              <w:keepLines/>
              <w:snapToGrid w:val="0"/>
              <w:jc w:val="left"/>
            </w:pPr>
            <w:r>
              <w:t>数字人形象、口型与大屏播报</w:t>
            </w:r>
          </w:p>
        </w:tc>
      </w:tr>
      <w:tr w14:paraId="2296578D">
        <w:trPr>
          <w:cantSplit/>
        </w:trPr>
        <w:tc>
          <w:tcPr>
            <w:tcW w:w="1527" w:type="dxa"/>
            <w:vAlign w:val="center"/>
          </w:tcPr>
          <w:p w14:paraId="25F4DB3E">
            <w:pPr>
              <w:pStyle w:val="14"/>
              <w:keepNext w:val="0"/>
              <w:keepLines/>
              <w:snapToGrid w:val="0"/>
              <w:jc w:val="left"/>
            </w:pPr>
            <w:r>
              <w:t>连续互动与联调验证</w:t>
            </w:r>
          </w:p>
        </w:tc>
        <w:tc>
          <w:tcPr>
            <w:tcW w:w="5538" w:type="dxa"/>
            <w:vAlign w:val="center"/>
          </w:tcPr>
          <w:p w14:paraId="0F4281CF">
            <w:pPr>
              <w:pStyle w:val="14"/>
              <w:keepNext w:val="0"/>
              <w:keepLines/>
              <w:snapToGrid w:val="0"/>
              <w:jc w:val="left"/>
            </w:pPr>
            <w:r>
              <w:t>支持本轮播报后再次语音或文字提问；使用正式企业公开知识联调语音入口、问答、音频及画面，核对权限、引用和播报内容。</w:t>
            </w:r>
          </w:p>
        </w:tc>
        <w:tc>
          <w:tcPr>
            <w:tcW w:w="2007" w:type="dxa"/>
            <w:vAlign w:val="center"/>
          </w:tcPr>
          <w:p w14:paraId="168BCE4F">
            <w:pPr>
              <w:pStyle w:val="14"/>
              <w:keepNext w:val="0"/>
              <w:keepLines/>
              <w:snapToGrid w:val="0"/>
              <w:jc w:val="left"/>
            </w:pPr>
            <w:r>
              <w:t>可连续互动的展厅展示体验</w:t>
            </w:r>
          </w:p>
        </w:tc>
      </w:tr>
    </w:tbl>
    <w:p w14:paraId="626A145C">
      <w:pPr>
        <w:pStyle w:val="12"/>
        <w:snapToGrid w:val="0"/>
        <w:spacing w:after="25"/>
      </w:pPr>
    </w:p>
    <w:p w14:paraId="26683211">
      <w:pPr>
        <w:ind w:firstLineChars="200"/>
        <w:rPr>
          <w:rFonts w:ascii="宋体" w:hAnsi="宋体" w:eastAsia="宋体"/>
          <w:b w:val="0"/>
          <w:color w:val="auto"/>
        </w:rPr>
      </w:pPr>
      <w:r>
        <w:rPr>
          <w:rFonts w:ascii="宋体" w:hAnsi="宋体" w:eastAsia="宋体"/>
          <w:b w:val="0"/>
          <w:color w:val="auto"/>
        </w:rPr>
        <w:t>主要输入：5.3.4.2提供的语音转写或文字问题、访客级演示身份、企业正式公开知识及来源、问答文本、语音合成能力和数字孪生呈现接口。</w:t>
      </w:r>
    </w:p>
    <w:p w14:paraId="72000029">
      <w:pPr>
        <w:ind w:firstLineChars="200"/>
        <w:rPr>
          <w:rFonts w:ascii="宋体" w:hAnsi="宋体" w:eastAsia="宋体"/>
          <w:b w:val="0"/>
          <w:color w:val="auto"/>
        </w:rPr>
      </w:pPr>
      <w:r>
        <w:rPr>
          <w:rFonts w:ascii="宋体" w:hAnsi="宋体" w:eastAsia="宋体"/>
          <w:b w:val="0"/>
          <w:color w:val="auto"/>
        </w:rPr>
        <w:t>本场景的业务流程及节点说明见3.4.3节。</w:t>
      </w:r>
    </w:p>
    <w:p w14:paraId="5EC15958">
      <w:pPr>
        <w:pStyle w:val="4"/>
        <w:snapToGrid w:val="0"/>
      </w:pPr>
      <w:bookmarkStart w:id="82" w:name="s5_3_5"/>
      <w:r>
        <w:rPr>
          <w:rFonts w:ascii="黑体" w:hAnsi="黑体" w:eastAsia="黑体" w:cs="黑体"/>
          <w:b/>
          <w:color w:val="000000"/>
        </w:rPr>
        <w:t>5.3.5　质量安全环保类</w:t>
      </w:r>
      <w:bookmarkEnd w:id="82"/>
    </w:p>
    <w:p w14:paraId="52063D83">
      <w:pPr>
        <w:pStyle w:val="5"/>
        <w:snapToGrid w:val="0"/>
      </w:pPr>
      <w:bookmarkStart w:id="83" w:name="s5_3_5_1"/>
      <w:r>
        <w:rPr>
          <w:rFonts w:ascii="黑体" w:hAnsi="黑体" w:eastAsia="黑体" w:cs="黑体"/>
          <w:b/>
          <w:color w:val="000000"/>
        </w:rPr>
        <w:t>5.3.5.1　质量安全环保</w:t>
      </w:r>
      <w:bookmarkEnd w:id="83"/>
    </w:p>
    <w:p w14:paraId="5F3E95D3">
      <w:pPr>
        <w:ind w:firstLineChars="200"/>
        <w:rPr>
          <w:rFonts w:ascii="宋体" w:hAnsi="宋体" w:eastAsia="宋体"/>
          <w:b w:val="0"/>
          <w:color w:val="auto"/>
        </w:rPr>
      </w:pPr>
      <w:r>
        <w:rPr>
          <w:rFonts w:ascii="宋体" w:hAnsi="宋体" w:eastAsia="宋体"/>
          <w:b w:val="0"/>
          <w:color w:val="auto"/>
        </w:rPr>
        <w:t>面向质量、安全、环保和一线人员，整合制度规程查询、排放及超标记录、违章事件和隐患图片辅助识别。系统提供带原文依据的知识回答，关联业务记录说明对象、时间和处置情况，按订阅提供相关事件信息；对隐患图片生成类型、位置和描述等预填结果，经人员核实后衔接上报与处置流程。</w:t>
      </w:r>
    </w:p>
    <w:p w14:paraId="202E404C">
      <w:pPr>
        <w:pStyle w:val="15"/>
        <w:snapToGrid w:val="0"/>
        <w:jc w:val="center"/>
      </w:pPr>
      <w:r>
        <w:t>表5-18　质量安全环保建设内容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527"/>
        <w:gridCol w:w="5538"/>
        <w:gridCol w:w="2007"/>
      </w:tblGrid>
      <w:tr w14:paraId="134EAA89">
        <w:trPr>
          <w:cantSplit/>
          <w:tblHeader/>
        </w:trPr>
        <w:tc>
          <w:tcPr>
            <w:tcW w:w="1527" w:type="dxa"/>
            <w:vAlign w:val="center"/>
          </w:tcPr>
          <w:p w14:paraId="2A8F298F">
            <w:pPr>
              <w:pStyle w:val="14"/>
              <w:snapToGrid w:val="0"/>
              <w:jc w:val="center"/>
            </w:pPr>
            <w:r>
              <w:rPr>
                <w:b/>
              </w:rPr>
              <w:t>功能事项</w:t>
            </w:r>
          </w:p>
        </w:tc>
        <w:tc>
          <w:tcPr>
            <w:tcW w:w="5538" w:type="dxa"/>
            <w:vAlign w:val="center"/>
          </w:tcPr>
          <w:p w14:paraId="714F25AC">
            <w:pPr>
              <w:pStyle w:val="14"/>
              <w:snapToGrid w:val="0"/>
              <w:jc w:val="center"/>
            </w:pPr>
            <w:r>
              <w:rPr>
                <w:b/>
              </w:rPr>
              <w:t>建设内容</w:t>
            </w:r>
          </w:p>
        </w:tc>
        <w:tc>
          <w:tcPr>
            <w:tcW w:w="2007" w:type="dxa"/>
            <w:vAlign w:val="center"/>
          </w:tcPr>
          <w:p w14:paraId="1B831CB5">
            <w:pPr>
              <w:pStyle w:val="14"/>
              <w:snapToGrid w:val="0"/>
              <w:jc w:val="center"/>
            </w:pPr>
            <w:r>
              <w:rPr>
                <w:b/>
              </w:rPr>
              <w:t>业务输出</w:t>
            </w:r>
          </w:p>
        </w:tc>
      </w:tr>
      <w:tr w14:paraId="178C344A">
        <w:trPr>
          <w:cantSplit/>
        </w:trPr>
        <w:tc>
          <w:tcPr>
            <w:tcW w:w="1527" w:type="dxa"/>
            <w:vAlign w:val="center"/>
          </w:tcPr>
          <w:p w14:paraId="12479F56">
            <w:pPr>
              <w:pStyle w:val="14"/>
              <w:snapToGrid w:val="0"/>
              <w:jc w:val="left"/>
            </w:pPr>
            <w:r>
              <w:t>制度规程与业务查询</w:t>
            </w:r>
          </w:p>
        </w:tc>
        <w:tc>
          <w:tcPr>
            <w:tcW w:w="5538" w:type="dxa"/>
            <w:vAlign w:val="center"/>
          </w:tcPr>
          <w:p w14:paraId="79F67214">
            <w:pPr>
              <w:pStyle w:val="14"/>
              <w:snapToGrid w:val="0"/>
              <w:jc w:val="left"/>
            </w:pPr>
            <w:r>
              <w:t>检索质量安全环保制度并引用条款，查询排放点、污染物指标、超标、处置及违章记录。</w:t>
            </w:r>
          </w:p>
        </w:tc>
        <w:tc>
          <w:tcPr>
            <w:tcW w:w="2007" w:type="dxa"/>
            <w:vAlign w:val="center"/>
          </w:tcPr>
          <w:p w14:paraId="06A0FC26">
            <w:pPr>
              <w:pStyle w:val="14"/>
              <w:snapToGrid w:val="0"/>
              <w:jc w:val="left"/>
            </w:pPr>
            <w:r>
              <w:t>带出处的答案与业务记录</w:t>
            </w:r>
          </w:p>
        </w:tc>
      </w:tr>
      <w:tr w14:paraId="4B435AE7">
        <w:trPr>
          <w:cantSplit/>
        </w:trPr>
        <w:tc>
          <w:tcPr>
            <w:tcW w:w="1527" w:type="dxa"/>
            <w:vAlign w:val="center"/>
          </w:tcPr>
          <w:p w14:paraId="39631CB9">
            <w:pPr>
              <w:pStyle w:val="14"/>
              <w:snapToGrid w:val="0"/>
              <w:jc w:val="left"/>
            </w:pPr>
            <w:r>
              <w:t>违章事件查询与通知</w:t>
            </w:r>
          </w:p>
        </w:tc>
        <w:tc>
          <w:tcPr>
            <w:tcW w:w="5538" w:type="dxa"/>
            <w:vAlign w:val="center"/>
          </w:tcPr>
          <w:p w14:paraId="53B80441">
            <w:pPr>
              <w:pStyle w:val="14"/>
              <w:snapToGrid w:val="0"/>
              <w:jc w:val="left"/>
            </w:pPr>
            <w:r>
              <w:t>关联已有视频安全事件，按对象、区域和时间查询统计，并依据授权订阅通知相关人员。</w:t>
            </w:r>
          </w:p>
        </w:tc>
        <w:tc>
          <w:tcPr>
            <w:tcW w:w="2007" w:type="dxa"/>
            <w:vAlign w:val="center"/>
          </w:tcPr>
          <w:p w14:paraId="40E8F79A">
            <w:pPr>
              <w:pStyle w:val="14"/>
              <w:snapToGrid w:val="0"/>
              <w:jc w:val="left"/>
            </w:pPr>
            <w:r>
              <w:t>违章统计与安全事件通知</w:t>
            </w:r>
          </w:p>
        </w:tc>
      </w:tr>
      <w:tr w14:paraId="74DC9429">
        <w:trPr>
          <w:cantSplit/>
        </w:trPr>
        <w:tc>
          <w:tcPr>
            <w:tcW w:w="1527" w:type="dxa"/>
            <w:vAlign w:val="center"/>
          </w:tcPr>
          <w:p w14:paraId="4C02DE63">
            <w:pPr>
              <w:pStyle w:val="14"/>
              <w:snapToGrid w:val="0"/>
              <w:jc w:val="left"/>
            </w:pPr>
            <w:r>
              <w:t>隐患图片辅助填报</w:t>
            </w:r>
          </w:p>
        </w:tc>
        <w:tc>
          <w:tcPr>
            <w:tcW w:w="5538" w:type="dxa"/>
            <w:vAlign w:val="center"/>
          </w:tcPr>
          <w:p w14:paraId="6F756A99">
            <w:pPr>
              <w:pStyle w:val="14"/>
              <w:snapToGrid w:val="0"/>
              <w:jc w:val="left"/>
            </w:pPr>
            <w:r>
              <w:t>识别图片中的隐患类型、位置、描述及置信度，返回结构化预填字段，供人员核实后上报。</w:t>
            </w:r>
          </w:p>
        </w:tc>
        <w:tc>
          <w:tcPr>
            <w:tcW w:w="2007" w:type="dxa"/>
            <w:vAlign w:val="center"/>
          </w:tcPr>
          <w:p w14:paraId="1C6CA20E">
            <w:pPr>
              <w:pStyle w:val="14"/>
              <w:snapToGrid w:val="0"/>
              <w:jc w:val="left"/>
            </w:pPr>
            <w:r>
              <w:t>隐患预填字段与人工确认</w:t>
            </w:r>
          </w:p>
        </w:tc>
      </w:tr>
    </w:tbl>
    <w:p w14:paraId="029ACCF4">
      <w:pPr>
        <w:pStyle w:val="12"/>
        <w:snapToGrid w:val="0"/>
        <w:spacing w:after="25"/>
      </w:pPr>
    </w:p>
    <w:p w14:paraId="733678CC">
      <w:pPr>
        <w:ind w:firstLineChars="200"/>
        <w:rPr>
          <w:rFonts w:ascii="宋体" w:hAnsi="宋体" w:eastAsia="宋体"/>
          <w:b w:val="0"/>
          <w:color w:val="auto"/>
        </w:rPr>
      </w:pPr>
      <w:r>
        <w:rPr>
          <w:rFonts w:ascii="宋体" w:hAnsi="宋体" w:eastAsia="宋体"/>
          <w:b w:val="0"/>
          <w:color w:val="auto"/>
        </w:rPr>
        <w:t>主要输入：质量安全环保制度、排放超标和处置记录、视频违章事件、隐患图片及类型位置字典。</w:t>
      </w:r>
    </w:p>
    <w:p w14:paraId="7200002F">
      <w:pPr>
        <w:ind w:firstLineChars="200"/>
        <w:rPr>
          <w:rFonts w:ascii="宋体" w:hAnsi="宋体" w:eastAsia="宋体"/>
          <w:b w:val="0"/>
          <w:color w:val="auto"/>
        </w:rPr>
      </w:pPr>
      <w:r>
        <w:rPr>
          <w:rFonts w:ascii="宋体" w:hAnsi="宋体" w:eastAsia="宋体"/>
          <w:b w:val="0"/>
          <w:color w:val="auto"/>
        </w:rPr>
        <w:t>本场景的业务流程及节点说明见3.5.1节。</w:t>
      </w:r>
    </w:p>
    <w:p w14:paraId="46AFE47B">
      <w:pPr>
        <w:pStyle w:val="4"/>
        <w:snapToGrid w:val="0"/>
      </w:pPr>
      <w:bookmarkStart w:id="84" w:name="s5_3_6"/>
      <w:r>
        <w:rPr>
          <w:rFonts w:ascii="黑体" w:hAnsi="黑体" w:eastAsia="黑体" w:cs="黑体"/>
          <w:b/>
          <w:color w:val="000000"/>
        </w:rPr>
        <w:t>5.3.6　场景服务对象与业务输出</w:t>
      </w:r>
      <w:bookmarkEnd w:id="84"/>
    </w:p>
    <w:p w14:paraId="57C3D597">
      <w:pPr>
        <w:pStyle w:val="15"/>
        <w:snapToGrid w:val="0"/>
        <w:jc w:val="center"/>
      </w:pPr>
      <w:r>
        <w:t>表5-19　场景使用与输出总览</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318"/>
        <w:gridCol w:w="3124"/>
        <w:gridCol w:w="3630"/>
      </w:tblGrid>
      <w:tr w14:paraId="387B146F">
        <w:trPr>
          <w:cantSplit/>
          <w:tblHeader/>
        </w:trPr>
        <w:tc>
          <w:tcPr>
            <w:tcW w:w="2318" w:type="dxa"/>
            <w:vAlign w:val="center"/>
          </w:tcPr>
          <w:p w14:paraId="47EE37C3">
            <w:pPr>
              <w:pStyle w:val="14"/>
              <w:snapToGrid w:val="0"/>
              <w:jc w:val="center"/>
            </w:pPr>
            <w:r>
              <w:rPr>
                <w:b/>
              </w:rPr>
              <w:t>场景组</w:t>
            </w:r>
          </w:p>
        </w:tc>
        <w:tc>
          <w:tcPr>
            <w:tcW w:w="3124" w:type="dxa"/>
            <w:vAlign w:val="center"/>
          </w:tcPr>
          <w:p w14:paraId="7B7A3FDF">
            <w:pPr>
              <w:pStyle w:val="14"/>
              <w:snapToGrid w:val="0"/>
              <w:jc w:val="center"/>
            </w:pPr>
            <w:r>
              <w:rPr>
                <w:b/>
              </w:rPr>
              <w:t>主要服务对象</w:t>
            </w:r>
          </w:p>
        </w:tc>
        <w:tc>
          <w:tcPr>
            <w:tcW w:w="3630" w:type="dxa"/>
            <w:vAlign w:val="center"/>
          </w:tcPr>
          <w:p w14:paraId="435D2025">
            <w:pPr>
              <w:pStyle w:val="14"/>
              <w:snapToGrid w:val="0"/>
              <w:jc w:val="center"/>
            </w:pPr>
            <w:r>
              <w:rPr>
                <w:b/>
              </w:rPr>
              <w:t>典型业务输出</w:t>
            </w:r>
          </w:p>
        </w:tc>
      </w:tr>
      <w:tr w14:paraId="247F4B83">
        <w:trPr>
          <w:cantSplit/>
        </w:trPr>
        <w:tc>
          <w:tcPr>
            <w:tcW w:w="2318" w:type="dxa"/>
            <w:vAlign w:val="center"/>
          </w:tcPr>
          <w:p w14:paraId="63A8E86F">
            <w:pPr>
              <w:pStyle w:val="14"/>
              <w:snapToGrid w:val="0"/>
              <w:jc w:val="left"/>
            </w:pPr>
            <w:r>
              <w:t>问数及知识交互</w:t>
            </w:r>
          </w:p>
        </w:tc>
        <w:tc>
          <w:tcPr>
            <w:tcW w:w="3124" w:type="dxa"/>
            <w:vAlign w:val="center"/>
          </w:tcPr>
          <w:p w14:paraId="54A6FB64">
            <w:pPr>
              <w:pStyle w:val="14"/>
              <w:snapToGrid w:val="0"/>
              <w:jc w:val="left"/>
            </w:pPr>
            <w:r>
              <w:t>业务人员、管理人员、访客与新员工</w:t>
            </w:r>
          </w:p>
        </w:tc>
        <w:tc>
          <w:tcPr>
            <w:tcW w:w="3630" w:type="dxa"/>
            <w:vAlign w:val="center"/>
          </w:tcPr>
          <w:p w14:paraId="4EDC40C4">
            <w:pPr>
              <w:pStyle w:val="14"/>
              <w:snapToGrid w:val="0"/>
              <w:jc w:val="left"/>
            </w:pPr>
            <w:r>
              <w:t>回答、引用、图表及语音播报</w:t>
            </w:r>
          </w:p>
        </w:tc>
      </w:tr>
      <w:tr w14:paraId="75FF1119">
        <w:trPr>
          <w:cantSplit/>
        </w:trPr>
        <w:tc>
          <w:tcPr>
            <w:tcW w:w="2318" w:type="dxa"/>
            <w:vAlign w:val="center"/>
          </w:tcPr>
          <w:p w14:paraId="44DE485A">
            <w:pPr>
              <w:pStyle w:val="14"/>
              <w:snapToGrid w:val="0"/>
              <w:jc w:val="center"/>
            </w:pPr>
            <w:r>
              <w:t>衡算及归因</w:t>
            </w:r>
          </w:p>
        </w:tc>
        <w:tc>
          <w:tcPr>
            <w:tcW w:w="3124" w:type="dxa"/>
            <w:vAlign w:val="center"/>
          </w:tcPr>
          <w:p w14:paraId="72618028">
            <w:pPr>
              <w:pStyle w:val="14"/>
              <w:snapToGrid w:val="0"/>
              <w:jc w:val="left"/>
            </w:pPr>
            <w:r>
              <w:t>生产、工艺、能源和成本管理人员</w:t>
            </w:r>
          </w:p>
        </w:tc>
        <w:tc>
          <w:tcPr>
            <w:tcW w:w="3630" w:type="dxa"/>
            <w:vAlign w:val="center"/>
          </w:tcPr>
          <w:p w14:paraId="3BF40E84">
            <w:pPr>
              <w:pStyle w:val="14"/>
              <w:snapToGrid w:val="0"/>
              <w:jc w:val="left"/>
            </w:pPr>
            <w:r>
              <w:t>核算结果、偏差位置、原因及建议</w:t>
            </w:r>
          </w:p>
        </w:tc>
      </w:tr>
      <w:tr w14:paraId="3199273A">
        <w:trPr>
          <w:cantSplit/>
        </w:trPr>
        <w:tc>
          <w:tcPr>
            <w:tcW w:w="2318" w:type="dxa"/>
            <w:vAlign w:val="center"/>
          </w:tcPr>
          <w:p w14:paraId="229AD2B9">
            <w:pPr>
              <w:pStyle w:val="14"/>
              <w:snapToGrid w:val="0"/>
              <w:jc w:val="left"/>
            </w:pPr>
            <w:r>
              <w:t>质量与设备分析</w:t>
            </w:r>
          </w:p>
        </w:tc>
        <w:tc>
          <w:tcPr>
            <w:tcW w:w="3124" w:type="dxa"/>
            <w:vAlign w:val="center"/>
          </w:tcPr>
          <w:p w14:paraId="469F3040">
            <w:pPr>
              <w:pStyle w:val="14"/>
              <w:snapToGrid w:val="0"/>
              <w:jc w:val="left"/>
            </w:pPr>
            <w:r>
              <w:t>质量、工艺、设备和检修人员</w:t>
            </w:r>
          </w:p>
        </w:tc>
        <w:tc>
          <w:tcPr>
            <w:tcW w:w="3630" w:type="dxa"/>
            <w:vAlign w:val="center"/>
          </w:tcPr>
          <w:p w14:paraId="3626C1D9">
            <w:pPr>
              <w:pStyle w:val="14"/>
              <w:snapToGrid w:val="0"/>
              <w:jc w:val="left"/>
            </w:pPr>
            <w:r>
              <w:t>根因、批次链、预警解释及处置依据</w:t>
            </w:r>
          </w:p>
        </w:tc>
      </w:tr>
      <w:tr w14:paraId="01503E16">
        <w:trPr>
          <w:cantSplit/>
        </w:trPr>
        <w:tc>
          <w:tcPr>
            <w:tcW w:w="2318" w:type="dxa"/>
            <w:vAlign w:val="center"/>
          </w:tcPr>
          <w:p w14:paraId="0466BE6D">
            <w:pPr>
              <w:pStyle w:val="14"/>
              <w:snapToGrid w:val="0"/>
              <w:jc w:val="left"/>
            </w:pPr>
            <w:r>
              <w:t>供应链与工艺优化</w:t>
            </w:r>
          </w:p>
        </w:tc>
        <w:tc>
          <w:tcPr>
            <w:tcW w:w="3124" w:type="dxa"/>
            <w:vAlign w:val="center"/>
          </w:tcPr>
          <w:p w14:paraId="603AB682">
            <w:pPr>
              <w:pStyle w:val="14"/>
              <w:snapToGrid w:val="0"/>
              <w:jc w:val="left"/>
            </w:pPr>
            <w:r>
              <w:t>计划采购、工艺与生产人员</w:t>
            </w:r>
          </w:p>
        </w:tc>
        <w:tc>
          <w:tcPr>
            <w:tcW w:w="3630" w:type="dxa"/>
            <w:vAlign w:val="center"/>
          </w:tcPr>
          <w:p w14:paraId="07BA471D">
            <w:pPr>
              <w:pStyle w:val="14"/>
              <w:snapToGrid w:val="0"/>
              <w:jc w:val="left"/>
            </w:pPr>
            <w:r>
              <w:t>分析结果、候选方案、参数方案及效果对照</w:t>
            </w:r>
          </w:p>
        </w:tc>
      </w:tr>
      <w:tr w14:paraId="7402A9AE">
        <w:trPr>
          <w:cantSplit/>
        </w:trPr>
        <w:tc>
          <w:tcPr>
            <w:tcW w:w="2318" w:type="dxa"/>
            <w:vAlign w:val="center"/>
          </w:tcPr>
          <w:p w14:paraId="42FE3023">
            <w:pPr>
              <w:pStyle w:val="14"/>
              <w:snapToGrid w:val="0"/>
              <w:jc w:val="left"/>
            </w:pPr>
            <w:r>
              <w:t>DCS报警联动与工况诊断</w:t>
            </w:r>
          </w:p>
        </w:tc>
        <w:tc>
          <w:tcPr>
            <w:tcW w:w="3124" w:type="dxa"/>
            <w:vAlign w:val="center"/>
          </w:tcPr>
          <w:p w14:paraId="602E4295">
            <w:pPr>
              <w:pStyle w:val="14"/>
              <w:snapToGrid w:val="0"/>
              <w:jc w:val="left"/>
            </w:pPr>
            <w:r>
              <w:t>操作员、班组长、工艺和安全人员</w:t>
            </w:r>
          </w:p>
        </w:tc>
        <w:tc>
          <w:tcPr>
            <w:tcW w:w="3630" w:type="dxa"/>
            <w:vAlign w:val="center"/>
          </w:tcPr>
          <w:p w14:paraId="2992586F">
            <w:pPr>
              <w:pStyle w:val="14"/>
              <w:snapToGrid w:val="0"/>
              <w:jc w:val="left"/>
            </w:pPr>
            <w:r>
              <w:t>DCS侧高级报警提供的事件及状态；事故链、诊断结论及处置记录</w:t>
            </w:r>
          </w:p>
        </w:tc>
      </w:tr>
    </w:tbl>
    <w:p w14:paraId="090FCD99">
      <w:pPr>
        <w:pStyle w:val="12"/>
        <w:snapToGrid w:val="0"/>
        <w:spacing w:after="25"/>
      </w:pPr>
    </w:p>
    <w:p w14:paraId="14924C64">
      <w:pPr>
        <w:pStyle w:val="3"/>
        <w:snapToGrid w:val="0"/>
      </w:pPr>
      <w:bookmarkStart w:id="85" w:name="s5_4"/>
      <w:r>
        <w:rPr>
          <w:rFonts w:ascii="黑体" w:hAnsi="黑体" w:eastAsia="黑体" w:cs="黑体"/>
          <w:b/>
          <w:color w:val="000000"/>
        </w:rPr>
        <w:t>5.4　智能体基座</w:t>
      </w:r>
      <w:bookmarkEnd w:id="85"/>
    </w:p>
    <w:p w14:paraId="2C422032">
      <w:pPr>
        <w:pStyle w:val="4"/>
        <w:snapToGrid w:val="0"/>
      </w:pPr>
      <w:bookmarkStart w:id="86" w:name="s5_4_1"/>
      <w:r>
        <w:rPr>
          <w:rFonts w:ascii="黑体" w:hAnsi="黑体" w:eastAsia="黑体" w:cs="黑体"/>
          <w:b/>
          <w:color w:val="000000"/>
        </w:rPr>
        <w:t>5.4.1　主智能体</w:t>
      </w:r>
      <w:bookmarkEnd w:id="86"/>
    </w:p>
    <w:p w14:paraId="26DE03D8">
      <w:pPr>
        <w:ind w:firstLineChars="200"/>
        <w:rPr>
          <w:rFonts w:ascii="宋体" w:hAnsi="宋体" w:eastAsia="宋体"/>
          <w:b w:val="0"/>
          <w:color w:val="auto"/>
        </w:rPr>
      </w:pPr>
      <w:r>
        <w:rPr>
          <w:rFonts w:ascii="宋体" w:hAnsi="宋体" w:eastAsia="宋体"/>
          <w:b w:val="0"/>
          <w:color w:val="auto"/>
        </w:rPr>
        <w:t>主智能体统一接收问题，完成对象确认、意图识别、任务规划、能力分派和结果汇总。跨领域问题按数据和业务关系拆为子任务，并行或顺序执行；结果经完整性、来源和一致性检查后按角色呈现。能力登记记录适用问题、输入输出、所需数据与示例问法，支撑场景匹配和持续扩充。</w:t>
      </w:r>
    </w:p>
    <w:p w14:paraId="720003A4">
      <w:pPr>
        <w:ind w:firstLineChars="200"/>
        <w:rPr>
          <w:rFonts w:ascii="宋体" w:hAnsi="宋体" w:eastAsia="宋体"/>
          <w:b w:val="0"/>
          <w:color w:val="auto"/>
        </w:rPr>
      </w:pPr>
      <w:r>
        <w:rPr>
          <w:rFonts w:ascii="宋体" w:hAnsi="宋体" w:eastAsia="宋体"/>
          <w:b w:val="0"/>
          <w:color w:val="auto"/>
        </w:rPr>
        <w:t>相互独立的任务可并行执行，有前后依赖的按顺序执行；前序失败时说明对后续结果的影响。能力登记卡与示例问法由知识工作台维护，并通过能力地图供用户了解可用功能。</w:t>
      </w:r>
    </w:p>
    <w:p w14:paraId="65AD19AC">
      <w:pPr>
        <w:pStyle w:val="4"/>
        <w:snapToGrid w:val="0"/>
      </w:pPr>
      <w:bookmarkStart w:id="87" w:name="s5_4_2"/>
      <w:r>
        <w:rPr>
          <w:rFonts w:ascii="黑体" w:hAnsi="黑体" w:eastAsia="黑体" w:cs="黑体"/>
          <w:b/>
          <w:color w:val="000000"/>
        </w:rPr>
        <w:t>5.4.2　公共支撑能力</w:t>
      </w:r>
      <w:bookmarkEnd w:id="87"/>
    </w:p>
    <w:p w14:paraId="6CDB2DBF">
      <w:pPr>
        <w:pStyle w:val="15"/>
        <w:snapToGrid w:val="0"/>
        <w:jc w:val="center"/>
      </w:pPr>
      <w:r>
        <w:t>表5-20　智能体基座建设内容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663"/>
        <w:gridCol w:w="5140"/>
        <w:gridCol w:w="2269"/>
      </w:tblGrid>
      <w:tr w14:paraId="0F09DA8C">
        <w:trPr>
          <w:cantSplit/>
          <w:tblHeader/>
        </w:trPr>
        <w:tc>
          <w:tcPr>
            <w:tcW w:w="1663" w:type="dxa"/>
            <w:vAlign w:val="center"/>
          </w:tcPr>
          <w:p w14:paraId="566EE601">
            <w:pPr>
              <w:pStyle w:val="14"/>
              <w:snapToGrid w:val="0"/>
              <w:jc w:val="center"/>
            </w:pPr>
            <w:r>
              <w:rPr>
                <w:b/>
              </w:rPr>
              <w:t>公共能力</w:t>
            </w:r>
          </w:p>
        </w:tc>
        <w:tc>
          <w:tcPr>
            <w:tcW w:w="5140" w:type="dxa"/>
            <w:vAlign w:val="center"/>
          </w:tcPr>
          <w:p w14:paraId="5F71A443">
            <w:pPr>
              <w:pStyle w:val="14"/>
              <w:snapToGrid w:val="0"/>
              <w:jc w:val="center"/>
            </w:pPr>
            <w:r>
              <w:rPr>
                <w:b/>
              </w:rPr>
              <w:t>建设内容</w:t>
            </w:r>
          </w:p>
        </w:tc>
        <w:tc>
          <w:tcPr>
            <w:tcW w:w="2269" w:type="dxa"/>
            <w:vAlign w:val="center"/>
          </w:tcPr>
          <w:p w14:paraId="720E0BFE">
            <w:pPr>
              <w:pStyle w:val="14"/>
              <w:snapToGrid w:val="0"/>
              <w:jc w:val="center"/>
            </w:pPr>
            <w:r>
              <w:rPr>
                <w:b/>
              </w:rPr>
              <w:t>服务结果</w:t>
            </w:r>
          </w:p>
        </w:tc>
      </w:tr>
      <w:tr w14:paraId="604F329B">
        <w:trPr>
          <w:cantSplit/>
        </w:trPr>
        <w:tc>
          <w:tcPr>
            <w:tcW w:w="1663" w:type="dxa"/>
            <w:vAlign w:val="center"/>
          </w:tcPr>
          <w:p w14:paraId="589163BC">
            <w:pPr>
              <w:pStyle w:val="14"/>
              <w:snapToGrid w:val="0"/>
              <w:jc w:val="center"/>
            </w:pPr>
            <w:r>
              <w:t>工具运行框架</w:t>
            </w:r>
          </w:p>
        </w:tc>
        <w:tc>
          <w:tcPr>
            <w:tcW w:w="5140" w:type="dxa"/>
            <w:vAlign w:val="center"/>
          </w:tcPr>
          <w:p w14:paraId="0C11B5F2">
            <w:pPr>
              <w:pStyle w:val="14"/>
              <w:snapToGrid w:val="0"/>
              <w:jc w:val="left"/>
            </w:pPr>
            <w:r>
              <w:t>统一执行查询模板、传递业务身份、查询对应判定标准、组织跨系统取证和服务调用；在生成回答前核验返回值，按6.2处理异常取值、未知枚举及必需或可选证据缺失</w:t>
            </w:r>
          </w:p>
        </w:tc>
        <w:tc>
          <w:tcPr>
            <w:tcW w:w="2269" w:type="dxa"/>
            <w:vAlign w:val="center"/>
          </w:tcPr>
          <w:p w14:paraId="23090AD7">
            <w:pPr>
              <w:pStyle w:val="14"/>
              <w:snapToGrid w:val="0"/>
              <w:jc w:val="left"/>
            </w:pPr>
            <w:r>
              <w:t>带状态、来源和依据的执行结果</w:t>
            </w:r>
          </w:p>
        </w:tc>
      </w:tr>
      <w:tr w14:paraId="0043F57E">
        <w:trPr>
          <w:cantSplit/>
        </w:trPr>
        <w:tc>
          <w:tcPr>
            <w:tcW w:w="1663" w:type="dxa"/>
            <w:vAlign w:val="center"/>
          </w:tcPr>
          <w:p w14:paraId="72B160A0">
            <w:pPr>
              <w:pStyle w:val="14"/>
              <w:snapToGrid w:val="0"/>
              <w:jc w:val="left"/>
            </w:pPr>
            <w:r>
              <w:t>实体识别与消歧</w:t>
            </w:r>
          </w:p>
        </w:tc>
        <w:tc>
          <w:tcPr>
            <w:tcW w:w="5140" w:type="dxa"/>
            <w:vAlign w:val="center"/>
          </w:tcPr>
          <w:p w14:paraId="4F44E1D2">
            <w:pPr>
              <w:pStyle w:val="14"/>
              <w:snapToGrid w:val="0"/>
              <w:jc w:val="left"/>
            </w:pPr>
            <w:r>
              <w:t>结合标准编码、别名和语义匹配定位对象；多候选时组织澄清</w:t>
            </w:r>
          </w:p>
        </w:tc>
        <w:tc>
          <w:tcPr>
            <w:tcW w:w="2269" w:type="dxa"/>
            <w:vAlign w:val="center"/>
          </w:tcPr>
          <w:p w14:paraId="1926A7C5">
            <w:pPr>
              <w:pStyle w:val="14"/>
              <w:snapToGrid w:val="0"/>
              <w:jc w:val="left"/>
            </w:pPr>
            <w:r>
              <w:t>唯一对象及确认记录</w:t>
            </w:r>
          </w:p>
        </w:tc>
      </w:tr>
      <w:tr w14:paraId="57182182">
        <w:trPr>
          <w:cantSplit/>
        </w:trPr>
        <w:tc>
          <w:tcPr>
            <w:tcW w:w="1663" w:type="dxa"/>
            <w:vAlign w:val="center"/>
          </w:tcPr>
          <w:p w14:paraId="2A164555">
            <w:pPr>
              <w:pStyle w:val="14"/>
              <w:snapToGrid w:val="0"/>
              <w:jc w:val="center"/>
            </w:pPr>
            <w:r>
              <w:t>统计特征计算</w:t>
            </w:r>
          </w:p>
        </w:tc>
        <w:tc>
          <w:tcPr>
            <w:tcW w:w="5140" w:type="dxa"/>
            <w:vAlign w:val="center"/>
          </w:tcPr>
          <w:p w14:paraId="4976E9A5">
            <w:pPr>
              <w:pStyle w:val="14"/>
              <w:snapToGrid w:val="0"/>
              <w:jc w:val="left"/>
            </w:pPr>
            <w:r>
              <w:t>计算变点、趋势斜率和阶跃等时序特征，为原因核证提供量化依据</w:t>
            </w:r>
          </w:p>
        </w:tc>
        <w:tc>
          <w:tcPr>
            <w:tcW w:w="2269" w:type="dxa"/>
            <w:vAlign w:val="center"/>
          </w:tcPr>
          <w:p w14:paraId="5C043C42">
            <w:pPr>
              <w:pStyle w:val="14"/>
              <w:snapToGrid w:val="0"/>
              <w:jc w:val="center"/>
            </w:pPr>
            <w:r>
              <w:t>时序变化特征</w:t>
            </w:r>
          </w:p>
        </w:tc>
      </w:tr>
      <w:tr w14:paraId="10A5CD91">
        <w:trPr>
          <w:cantSplit/>
        </w:trPr>
        <w:tc>
          <w:tcPr>
            <w:tcW w:w="1663" w:type="dxa"/>
            <w:vAlign w:val="center"/>
          </w:tcPr>
          <w:p w14:paraId="7841AC82">
            <w:pPr>
              <w:pStyle w:val="14"/>
              <w:snapToGrid w:val="0"/>
              <w:jc w:val="left"/>
            </w:pPr>
            <w:r>
              <w:t>模型接入与运行</w:t>
            </w:r>
          </w:p>
        </w:tc>
        <w:tc>
          <w:tcPr>
            <w:tcW w:w="5140" w:type="dxa"/>
            <w:vAlign w:val="center"/>
          </w:tcPr>
          <w:p w14:paraId="14BF0C80">
            <w:pPr>
              <w:pStyle w:val="14"/>
              <w:snapToGrid w:val="0"/>
              <w:jc w:val="left"/>
            </w:pPr>
            <w:r>
              <w:t>在项目算力环境部署适配和调优模型，管理路由、版本、配额和状态；服务不可用时按预置策略降级并提示用户，异常按配置向运维告警；升级完成确认和回归验证后平滑切换，保持在线服务连续</w:t>
            </w:r>
          </w:p>
        </w:tc>
        <w:tc>
          <w:tcPr>
            <w:tcW w:w="2269" w:type="dxa"/>
            <w:vAlign w:val="center"/>
          </w:tcPr>
          <w:p w14:paraId="6CEBAD92">
            <w:pPr>
              <w:pStyle w:val="14"/>
              <w:snapToGrid w:val="0"/>
              <w:jc w:val="left"/>
            </w:pPr>
            <w:r>
              <w:t>模型服务、降级提示、告警及版本切换记录</w:t>
            </w:r>
          </w:p>
        </w:tc>
      </w:tr>
      <w:tr w14:paraId="1B527B16">
        <w:trPr>
          <w:cantSplit/>
        </w:trPr>
        <w:tc>
          <w:tcPr>
            <w:tcW w:w="1663" w:type="dxa"/>
            <w:vAlign w:val="center"/>
          </w:tcPr>
          <w:p w14:paraId="4C336B77">
            <w:pPr>
              <w:pStyle w:val="14"/>
              <w:snapToGrid w:val="0"/>
              <w:jc w:val="left"/>
            </w:pPr>
            <w:r>
              <w:t>开放接口与事件服务</w:t>
            </w:r>
          </w:p>
        </w:tc>
        <w:tc>
          <w:tcPr>
            <w:tcW w:w="5140" w:type="dxa"/>
            <w:vAlign w:val="center"/>
          </w:tcPr>
          <w:p w14:paraId="70892FCA">
            <w:pPr>
              <w:pStyle w:val="14"/>
              <w:snapToGrid w:val="0"/>
              <w:jc w:val="left"/>
            </w:pPr>
            <w:r>
              <w:t>提供问答、消息及图片识别服务，登记事件并组织路由、鉴权和调用监控；接收异常自动重传，消息发送失败按配置重试，最终未送达时告警</w:t>
            </w:r>
          </w:p>
        </w:tc>
        <w:tc>
          <w:tcPr>
            <w:tcW w:w="2269" w:type="dxa"/>
            <w:vAlign w:val="center"/>
          </w:tcPr>
          <w:p w14:paraId="47A0C2EB">
            <w:pPr>
              <w:pStyle w:val="14"/>
              <w:snapToGrid w:val="0"/>
              <w:jc w:val="left"/>
            </w:pPr>
            <w:r>
              <w:t>业务调用结果及事件记录</w:t>
            </w:r>
          </w:p>
        </w:tc>
      </w:tr>
      <w:tr w14:paraId="5C4750F8">
        <w:trPr>
          <w:cantSplit/>
        </w:trPr>
        <w:tc>
          <w:tcPr>
            <w:tcW w:w="1663" w:type="dxa"/>
            <w:vAlign w:val="center"/>
          </w:tcPr>
          <w:p w14:paraId="12671A79">
            <w:pPr>
              <w:pStyle w:val="14"/>
              <w:snapToGrid w:val="0"/>
              <w:jc w:val="center"/>
            </w:pPr>
            <w:r>
              <w:t>评估运营</w:t>
            </w:r>
          </w:p>
        </w:tc>
        <w:tc>
          <w:tcPr>
            <w:tcW w:w="5140" w:type="dxa"/>
            <w:vAlign w:val="center"/>
          </w:tcPr>
          <w:p w14:paraId="03DF33ED">
            <w:pPr>
              <w:pStyle w:val="14"/>
              <w:snapToGrid w:val="0"/>
              <w:jc w:val="left"/>
            </w:pPr>
            <w:r>
              <w:t>维护典型用例、标准答案和判定依据，定位问题并开展修复回归</w:t>
            </w:r>
          </w:p>
        </w:tc>
        <w:tc>
          <w:tcPr>
            <w:tcW w:w="2269" w:type="dxa"/>
            <w:vAlign w:val="center"/>
          </w:tcPr>
          <w:p w14:paraId="23F0133C">
            <w:pPr>
              <w:pStyle w:val="14"/>
              <w:snapToGrid w:val="0"/>
              <w:jc w:val="left"/>
            </w:pPr>
            <w:r>
              <w:t>评估结果、问题工单与运营报告</w:t>
            </w:r>
          </w:p>
        </w:tc>
      </w:tr>
      <w:tr w14:paraId="75C8F3DD">
        <w:trPr>
          <w:cantSplit/>
        </w:trPr>
        <w:tc>
          <w:tcPr>
            <w:tcW w:w="1663" w:type="dxa"/>
            <w:vAlign w:val="center"/>
          </w:tcPr>
          <w:p w14:paraId="7019ECEB">
            <w:pPr>
              <w:pStyle w:val="14"/>
              <w:snapToGrid w:val="0"/>
              <w:jc w:val="center"/>
            </w:pPr>
            <w:r>
              <w:t>系统管理</w:t>
            </w:r>
          </w:p>
        </w:tc>
        <w:tc>
          <w:tcPr>
            <w:tcW w:w="5140" w:type="dxa"/>
            <w:vAlign w:val="center"/>
          </w:tcPr>
          <w:p w14:paraId="41663ACF">
            <w:pPr>
              <w:pStyle w:val="14"/>
              <w:snapToGrid w:val="0"/>
              <w:jc w:val="left"/>
            </w:pPr>
            <w:r>
              <w:t>维护后台账号角色、订阅、模板、模型、事件及业务数据授权同步；按2.4管理会话、执行链路和审计日志的角色访问及留存</w:t>
            </w:r>
          </w:p>
        </w:tc>
        <w:tc>
          <w:tcPr>
            <w:tcW w:w="2269" w:type="dxa"/>
            <w:vAlign w:val="center"/>
          </w:tcPr>
          <w:p w14:paraId="653751C8">
            <w:pPr>
              <w:pStyle w:val="14"/>
              <w:snapToGrid w:val="0"/>
              <w:jc w:val="left"/>
            </w:pPr>
            <w:r>
              <w:t>配置、权限及审计记录</w:t>
            </w:r>
          </w:p>
        </w:tc>
      </w:tr>
      <w:tr w14:paraId="6FDDA96B">
        <w:trPr>
          <w:cantSplit/>
        </w:trPr>
        <w:tc>
          <w:tcPr>
            <w:tcW w:w="1663" w:type="dxa"/>
            <w:vAlign w:val="center"/>
          </w:tcPr>
          <w:p w14:paraId="79AA2C6D">
            <w:pPr>
              <w:pStyle w:val="14"/>
              <w:snapToGrid w:val="0"/>
              <w:jc w:val="center"/>
            </w:pPr>
            <w:r>
              <w:t>内容安全</w:t>
            </w:r>
          </w:p>
        </w:tc>
        <w:tc>
          <w:tcPr>
            <w:tcW w:w="5140" w:type="dxa"/>
            <w:vAlign w:val="center"/>
          </w:tcPr>
          <w:p w14:paraId="4FF10E91">
            <w:pPr>
              <w:pStyle w:val="14"/>
              <w:snapToGrid w:val="0"/>
              <w:jc w:val="left"/>
            </w:pPr>
            <w:r>
              <w:t>按公开或内部业务用途配置知识访问及输出检查，维护诱导类测试用例</w:t>
            </w:r>
          </w:p>
        </w:tc>
        <w:tc>
          <w:tcPr>
            <w:tcW w:w="2269" w:type="dxa"/>
            <w:vAlign w:val="center"/>
          </w:tcPr>
          <w:p w14:paraId="2A0EE5F9">
            <w:pPr>
              <w:pStyle w:val="14"/>
              <w:snapToGrid w:val="0"/>
              <w:jc w:val="left"/>
            </w:pPr>
            <w:r>
              <w:t>符合用户身份的业务回答</w:t>
            </w:r>
          </w:p>
        </w:tc>
      </w:tr>
    </w:tbl>
    <w:p w14:paraId="7A9F0DBD">
      <w:pPr>
        <w:pStyle w:val="12"/>
        <w:snapToGrid w:val="0"/>
        <w:spacing w:after="25"/>
      </w:pPr>
    </w:p>
    <w:p w14:paraId="720003A5">
      <w:pPr>
        <w:pStyle w:val="5"/>
        <w:snapToGrid w:val="0"/>
      </w:pPr>
      <w:bookmarkStart w:id="88" w:name="s5_4_2_1"/>
      <w:r>
        <w:rPr>
          <w:rFonts w:ascii="黑体" w:hAnsi="黑体" w:eastAsia="黑体" w:cs="黑体"/>
          <w:b/>
          <w:color w:val="000000"/>
        </w:rPr>
        <w:t>5.4.2.1　工具运行框架</w:t>
      </w:r>
      <w:bookmarkEnd w:id="88"/>
    </w:p>
    <w:p w14:paraId="720003A6">
      <w:pPr>
        <w:ind w:firstLineChars="200"/>
        <w:rPr>
          <w:rFonts w:ascii="宋体" w:hAnsi="宋体" w:eastAsia="宋体"/>
          <w:b w:val="0"/>
          <w:color w:val="auto"/>
        </w:rPr>
      </w:pPr>
      <w:r>
        <w:rPr>
          <w:rFonts w:ascii="宋体" w:hAnsi="宋体" w:eastAsia="宋体"/>
          <w:b w:val="0"/>
          <w:color w:val="auto"/>
        </w:rPr>
        <w:t>工具运行框架统一执行查询模板、数据取证与能力调用，携带业务用户身份并按授权取得数据，保留调用参数、执行状态和来源。查询数据时同时取得对应的正常范围、标准值或阈值，并按确认口径统一单位和量纲，使用户能够对照判断；空值、异常值及超出定义域的取值按执行状态处理。</w:t>
      </w:r>
    </w:p>
    <w:p w14:paraId="720003A7">
      <w:pPr>
        <w:ind w:firstLineChars="200"/>
        <w:rPr>
          <w:rFonts w:ascii="宋体" w:hAnsi="宋体" w:eastAsia="宋体"/>
          <w:b w:val="0"/>
          <w:color w:val="auto"/>
        </w:rPr>
      </w:pPr>
      <w:r>
        <w:rPr>
          <w:rFonts w:ascii="宋体" w:hAnsi="宋体" w:eastAsia="宋体"/>
          <w:b w:val="0"/>
          <w:color w:val="auto"/>
        </w:rPr>
        <w:t>归因取证按工作流标明必需与可选证据。可选证据缺失时保留缺口说明，必需证据不足时终止相应判断。历史回溯与实时事件分析共用取证编排和判定规则，分别按请求时间范围或事件窗口执行。平台内部诊断与优化能力以及已接入服务均通过统一调用方式返回数值、版本、来源和状态。</w:t>
      </w:r>
    </w:p>
    <w:p w14:paraId="720003A8">
      <w:pPr>
        <w:pStyle w:val="5"/>
        <w:snapToGrid w:val="0"/>
      </w:pPr>
      <w:bookmarkStart w:id="89" w:name="s5_4_2_2"/>
      <w:r>
        <w:rPr>
          <w:rFonts w:ascii="黑体" w:hAnsi="黑体" w:eastAsia="黑体" w:cs="黑体"/>
          <w:b/>
          <w:color w:val="000000"/>
        </w:rPr>
        <w:t>5.4.2.2　实体消歧服务</w:t>
      </w:r>
      <w:bookmarkEnd w:id="89"/>
    </w:p>
    <w:p w14:paraId="720003A9">
      <w:pPr>
        <w:ind w:firstLineChars="200"/>
        <w:rPr>
          <w:rFonts w:ascii="宋体" w:hAnsi="宋体" w:eastAsia="宋体"/>
          <w:b w:val="0"/>
          <w:color w:val="auto"/>
        </w:rPr>
      </w:pPr>
      <w:r>
        <w:rPr>
          <w:rFonts w:ascii="宋体" w:hAnsi="宋体" w:eastAsia="宋体"/>
          <w:b w:val="0"/>
          <w:color w:val="auto"/>
        </w:rPr>
        <w:t>以治理后的标准编码、名称和对象映射为基础，建设现场俗称、简称及别名词库，依次通过精确匹配、别名匹配和语义匹配召回候选对象。唯一命中时继续执行；存在多个候选时向用户反问确认；未命中时说明未找到。</w:t>
      </w:r>
    </w:p>
    <w:p w14:paraId="720003AA">
      <w:pPr>
        <w:ind w:firstLineChars="200"/>
        <w:rPr>
          <w:rFonts w:ascii="宋体" w:hAnsi="宋体" w:eastAsia="宋体"/>
          <w:b w:val="0"/>
          <w:color w:val="auto"/>
        </w:rPr>
      </w:pPr>
      <w:r>
        <w:rPr>
          <w:rFonts w:ascii="宋体" w:hAnsi="宋体" w:eastAsia="宋体"/>
          <w:b w:val="0"/>
          <w:color w:val="auto"/>
        </w:rPr>
        <w:t>消歧失败案例形成别名建议并进入知识工作台，经审核后补充词库。对象识别结果供主智能体和各场景共用，避免同一会话中的对象解释不一致。</w:t>
      </w:r>
    </w:p>
    <w:p w14:paraId="720003AB">
      <w:pPr>
        <w:pStyle w:val="5"/>
        <w:snapToGrid w:val="0"/>
      </w:pPr>
      <w:bookmarkStart w:id="90" w:name="s5_4_2_3"/>
      <w:r>
        <w:rPr>
          <w:rFonts w:ascii="黑体" w:hAnsi="黑体" w:eastAsia="黑体" w:cs="黑体"/>
          <w:b/>
          <w:color w:val="000000"/>
        </w:rPr>
        <w:t>5.4.2.3　统计特征计算</w:t>
      </w:r>
      <w:bookmarkEnd w:id="90"/>
    </w:p>
    <w:p w14:paraId="720003AC">
      <w:pPr>
        <w:ind w:firstLineChars="200"/>
        <w:rPr>
          <w:rFonts w:ascii="宋体" w:hAnsi="宋体" w:eastAsia="宋体"/>
          <w:b w:val="0"/>
          <w:color w:val="auto"/>
        </w:rPr>
      </w:pPr>
      <w:r>
        <w:rPr>
          <w:rFonts w:ascii="宋体" w:hAnsi="宋体" w:eastAsia="宋体"/>
          <w:b w:val="0"/>
          <w:color w:val="auto"/>
        </w:rPr>
        <w:t>面向经AI数据治理取得的时序数据，由程序计算变点、趋势斜率及阶跃等特征，输出变化时刻、趋势方向和相关数值，供各归因与预警场景核证。大模型消费已计算的特征和证据组织说明，计算口径及数值处理按已确认规则执行。</w:t>
      </w:r>
    </w:p>
    <w:p w14:paraId="720003AD">
      <w:pPr>
        <w:pStyle w:val="5"/>
        <w:snapToGrid w:val="0"/>
      </w:pPr>
      <w:bookmarkStart w:id="91" w:name="s5_4_2_4"/>
      <w:r>
        <w:rPr>
          <w:rFonts w:ascii="黑体" w:hAnsi="黑体" w:eastAsia="黑体" w:cs="黑体"/>
          <w:b/>
          <w:color w:val="000000"/>
        </w:rPr>
        <w:t>5.4.2.4　大模型接入网关</w:t>
      </w:r>
      <w:bookmarkEnd w:id="91"/>
    </w:p>
    <w:p w14:paraId="720003AE">
      <w:pPr>
        <w:ind w:firstLineChars="200"/>
        <w:rPr>
          <w:rFonts w:ascii="宋体" w:hAnsi="宋体" w:eastAsia="宋体"/>
          <w:b w:val="0"/>
          <w:color w:val="auto"/>
        </w:rPr>
      </w:pPr>
      <w:r>
        <w:rPr>
          <w:rFonts w:ascii="宋体" w:hAnsi="宋体" w:eastAsia="宋体"/>
          <w:b w:val="0"/>
          <w:color w:val="auto"/>
        </w:rPr>
        <w:t>完成本地化模型部署、适配与性能调优，以统一接口接入已登记模型服务。按任务类型选择模型，记录调用用量及场景、角色配额；服务异常时按配置降级并向用户说明当前受限能力。</w:t>
      </w:r>
    </w:p>
    <w:p w14:paraId="720003AF">
      <w:pPr>
        <w:ind w:firstLineChars="200"/>
        <w:rPr>
          <w:rFonts w:ascii="宋体" w:hAnsi="宋体" w:eastAsia="宋体"/>
          <w:b w:val="0"/>
          <w:color w:val="auto"/>
        </w:rPr>
      </w:pPr>
      <w:r>
        <w:rPr>
          <w:rFonts w:ascii="宋体" w:hAnsi="宋体" w:eastAsia="宋体"/>
          <w:b w:val="0"/>
          <w:color w:val="auto"/>
        </w:rPr>
        <w:t>模型清单和版本统一管理，变更经确认及评估回归后生效，支持新旧版本平滑切换。运行状态、调用失败和超过阈值的情况进入监控与告警，供运维人员定位处理。</w:t>
      </w:r>
    </w:p>
    <w:p w14:paraId="720003B0">
      <w:pPr>
        <w:pStyle w:val="5"/>
        <w:snapToGrid w:val="0"/>
      </w:pPr>
      <w:bookmarkStart w:id="92" w:name="s5_4_2_5"/>
      <w:r>
        <w:rPr>
          <w:rFonts w:ascii="黑体" w:hAnsi="黑体" w:eastAsia="黑体" w:cs="黑体"/>
          <w:b/>
          <w:color w:val="000000"/>
        </w:rPr>
        <w:t>5.4.2.5　开放接口与事件接入总线</w:t>
      </w:r>
      <w:bookmarkEnd w:id="92"/>
    </w:p>
    <w:p w14:paraId="720003B1">
      <w:pPr>
        <w:ind w:firstLineChars="200"/>
        <w:rPr>
          <w:rFonts w:ascii="宋体" w:hAnsi="宋体" w:eastAsia="宋体"/>
          <w:b w:val="0"/>
          <w:color w:val="auto"/>
        </w:rPr>
      </w:pPr>
      <w:r>
        <w:rPr>
          <w:rFonts w:ascii="宋体" w:hAnsi="宋体" w:eastAsia="宋体"/>
          <w:b w:val="0"/>
          <w:color w:val="auto"/>
        </w:rPr>
        <w:t>统一提供问答、消息推送、隐患图片辅助识别及大屏分析结果接口，执行鉴权、限流、调用监控和对账。数据订阅规则可配置，保留接收日志不少于一年，并提供接收异常告警和可配置重传。</w:t>
      </w:r>
    </w:p>
    <w:p w14:paraId="720003B2">
      <w:pPr>
        <w:ind w:firstLineChars="200"/>
        <w:rPr>
          <w:rFonts w:ascii="宋体" w:hAnsi="宋体" w:eastAsia="宋体"/>
          <w:b w:val="0"/>
          <w:color w:val="auto"/>
        </w:rPr>
      </w:pPr>
      <w:r>
        <w:rPr>
          <w:rFonts w:ascii="宋体" w:hAnsi="宋体" w:eastAsia="宋体"/>
          <w:b w:val="0"/>
          <w:color w:val="auto"/>
        </w:rPr>
        <w:t>业务事件经AI数据治理进入总线后，按事件登记卡路由至推送或分析流程，校验接收人的业务可见范围并关联事件编号。对外接口保留业务回写扩展能力；业务单据生成与流转按原业务系统流程执行，控制类操作遵循既定人工确认与生产控制规则。</w:t>
      </w:r>
    </w:p>
    <w:p w14:paraId="720003B3">
      <w:pPr>
        <w:pStyle w:val="5"/>
        <w:snapToGrid w:val="0"/>
      </w:pPr>
      <w:bookmarkStart w:id="93" w:name="s5_4_2_6"/>
      <w:r>
        <w:rPr>
          <w:rFonts w:ascii="黑体" w:hAnsi="黑体" w:eastAsia="黑体" w:cs="黑体"/>
          <w:b/>
          <w:color w:val="000000"/>
        </w:rPr>
        <w:t>5.4.2.6　评估运营中心</w:t>
      </w:r>
      <w:bookmarkEnd w:id="93"/>
    </w:p>
    <w:p w14:paraId="720003B4">
      <w:pPr>
        <w:ind w:firstLineChars="200"/>
        <w:rPr>
          <w:rFonts w:ascii="宋体" w:hAnsi="宋体" w:eastAsia="宋体"/>
          <w:b w:val="0"/>
          <w:color w:val="auto"/>
        </w:rPr>
      </w:pPr>
      <w:r>
        <w:rPr>
          <w:rFonts w:ascii="宋体" w:hAnsi="宋体" w:eastAsia="宋体"/>
          <w:b w:val="0"/>
          <w:color w:val="auto"/>
        </w:rPr>
        <w:t>评估运营中心管理典型问法、标准答案、判定依据及已确认的评估基线，支持自动回归、结果比对与变更验证。问答保留消歧、路由、模板及参数、返回状态和生成环节等全链路执行记录，供运营人员按问题定位与检索。</w:t>
      </w:r>
    </w:p>
    <w:p w14:paraId="720003B5">
      <w:pPr>
        <w:ind w:firstLineChars="200"/>
        <w:rPr>
          <w:rFonts w:ascii="宋体" w:hAnsi="宋体" w:eastAsia="宋体"/>
          <w:b w:val="0"/>
          <w:color w:val="auto"/>
        </w:rPr>
      </w:pPr>
      <w:r>
        <w:rPr>
          <w:rFonts w:ascii="宋体" w:hAnsi="宋体" w:eastAsia="宋体"/>
          <w:b w:val="0"/>
          <w:color w:val="auto"/>
        </w:rPr>
        <w:t>用户负反馈进入问题工单，按消歧、路由、取数模板、知识、生成表述、数据质量及范围外诉求分类，组织修复、验证和回归，并将有效用例沉淀到评估集。处理终态和结果通知按运营闭环执行。</w:t>
      </w:r>
    </w:p>
    <w:p w14:paraId="720003B6">
      <w:pPr>
        <w:ind w:firstLineChars="200"/>
        <w:rPr>
          <w:rFonts w:ascii="宋体" w:hAnsi="宋体" w:eastAsia="宋体"/>
          <w:b w:val="0"/>
          <w:color w:val="auto"/>
        </w:rPr>
      </w:pPr>
      <w:r>
        <w:rPr>
          <w:rFonts w:ascii="宋体" w:hAnsi="宋体" w:eastAsia="宋体"/>
          <w:b w:val="0"/>
          <w:color w:val="auto"/>
        </w:rPr>
        <w:t>使用与价值视图按时间、部门、角色和场景呈现问答量、活跃用户、解决率、知识缺口、数据需求、消歧情况、问题闭环、报告送达确认及回归通过情况，同时跟踪场景数据准备和数据质量问题闭环。各项指标显示统计口径并可追溯到对应记录，形成运营报告和改进依据。后台运营视图展示平台自身运行数据；产量、成本等业务指标按问数及相应业务权限查询。运营方法、工具及使用说明随功能一并移交。</w:t>
      </w:r>
    </w:p>
    <w:p w14:paraId="028DEF93">
      <w:pPr>
        <w:keepNext/>
      </w:pPr>
      <w:r>
        <w:drawing>
          <wp:inline distT="0" distB="0" distL="114300" distR="114300">
            <wp:extent cx="5749290" cy="3283585"/>
            <wp:effectExtent l="0" t="0" r="16510" b="1841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37"/>
                    <a:stretch>
                      <a:fillRect/>
                    </a:stretch>
                  </pic:blipFill>
                  <pic:spPr>
                    <a:xfrm>
                      <a:off x="0" y="0"/>
                      <a:ext cx="5749290" cy="3283585"/>
                    </a:xfrm>
                    <a:prstGeom prst="rect">
                      <a:avLst/>
                    </a:prstGeom>
                    <a:noFill/>
                    <a:ln>
                      <a:noFill/>
                    </a:ln>
                  </pic:spPr>
                </pic:pic>
              </a:graphicData>
            </a:graphic>
          </wp:inline>
        </w:drawing>
      </w:r>
    </w:p>
    <w:p w14:paraId="720003D4">
      <w:pPr>
        <w:pStyle w:val="15"/>
        <w:keepNext w:val="0"/>
        <w:snapToGrid w:val="0"/>
        <w:jc w:val="center"/>
      </w:pPr>
      <w:r>
        <w:t>图5-7　使用与价值看板页面示意</w:t>
      </w:r>
    </w:p>
    <w:p w14:paraId="533999BF">
      <w:pPr>
        <w:keepNext/>
      </w:pPr>
      <w:r>
        <w:drawing>
          <wp:inline distT="0" distB="0" distL="114300" distR="114300">
            <wp:extent cx="5753100" cy="3253740"/>
            <wp:effectExtent l="0" t="0" r="12700" b="2286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38"/>
                    <a:stretch>
                      <a:fillRect/>
                    </a:stretch>
                  </pic:blipFill>
                  <pic:spPr>
                    <a:xfrm>
                      <a:off x="0" y="0"/>
                      <a:ext cx="5753100" cy="3253740"/>
                    </a:xfrm>
                    <a:prstGeom prst="rect">
                      <a:avLst/>
                    </a:prstGeom>
                    <a:noFill/>
                    <a:ln>
                      <a:noFill/>
                    </a:ln>
                  </pic:spPr>
                </pic:pic>
              </a:graphicData>
            </a:graphic>
          </wp:inline>
        </w:drawing>
      </w:r>
    </w:p>
    <w:p w14:paraId="720003D6">
      <w:pPr>
        <w:pStyle w:val="15"/>
        <w:keepNext w:val="0"/>
        <w:snapToGrid w:val="0"/>
        <w:jc w:val="center"/>
      </w:pPr>
      <w:r>
        <w:t>图5-8　评估与运营台页面示意</w:t>
      </w:r>
    </w:p>
    <w:p w14:paraId="720003B7">
      <w:pPr>
        <w:pStyle w:val="5"/>
        <w:snapToGrid w:val="0"/>
      </w:pPr>
      <w:bookmarkStart w:id="94" w:name="s5_4_2_7"/>
      <w:r>
        <w:rPr>
          <w:rFonts w:ascii="黑体" w:hAnsi="黑体" w:eastAsia="黑体" w:cs="黑体"/>
          <w:b/>
          <w:color w:val="000000"/>
        </w:rPr>
        <w:t>5.4.2.7　系统管理</w:t>
      </w:r>
      <w:bookmarkEnd w:id="94"/>
    </w:p>
    <w:p w14:paraId="720003B8">
      <w:pPr>
        <w:ind w:firstLineChars="200"/>
        <w:rPr>
          <w:rFonts w:ascii="宋体" w:hAnsi="宋体" w:eastAsia="宋体"/>
          <w:b w:val="0"/>
          <w:color w:val="auto"/>
        </w:rPr>
      </w:pPr>
      <w:r>
        <w:rPr>
          <w:rFonts w:ascii="宋体" w:hAnsi="宋体" w:eastAsia="宋体"/>
          <w:b w:val="0"/>
          <w:color w:val="auto"/>
        </w:rPr>
        <w:t>平台后台管理账号配置知识维护员、平台运营、平台管理员及审计角色，支持角色分配和账号生命周期管理。知识维护员使用知识工作台，平台运营使用评估运营台，平台管理员维护运行配置，审计角色按权限查询审计记录；业务用户继续通过统一门户使用问答、报告和订阅功能。</w:t>
      </w:r>
    </w:p>
    <w:p w14:paraId="720003B9">
      <w:pPr>
        <w:ind w:firstLineChars="200"/>
        <w:rPr>
          <w:rFonts w:ascii="宋体" w:hAnsi="宋体" w:eastAsia="宋体"/>
          <w:b w:val="0"/>
          <w:color w:val="auto"/>
        </w:rPr>
      </w:pPr>
      <w:r>
        <w:rPr>
          <w:rFonts w:ascii="宋体" w:hAnsi="宋体" w:eastAsia="宋体"/>
          <w:b w:val="0"/>
          <w:color w:val="auto"/>
        </w:rPr>
        <w:t>业务权限维护页面利用统一数据服务层的权限体系、数据域和表等基础信息，配置业务角色或用户可查看、取数的数据域、表及行范围，并将维护结果同步至统一数据服务层。管理权限与业务取数权限分别配置，后台账号不自动获得业务数据可见范围。</w:t>
      </w:r>
    </w:p>
    <w:p w14:paraId="720003BA">
      <w:pPr>
        <w:ind w:firstLineChars="200"/>
        <w:rPr>
          <w:rFonts w:ascii="宋体" w:hAnsi="宋体" w:eastAsia="宋体"/>
          <w:b w:val="0"/>
          <w:color w:val="auto"/>
        </w:rPr>
      </w:pPr>
      <w:r>
        <w:rPr>
          <w:rFonts w:ascii="宋体" w:hAnsi="宋体" w:eastAsia="宋体"/>
          <w:b w:val="0"/>
          <w:color w:val="auto"/>
        </w:rPr>
        <w:t>管理功能包括订阅审核、事件登记卡和查询模板维护、模型服务配置、开放接口调用监控及审计日志查询。会话记录由本人查看和继续；运营排障使用全链路执行记录；审计记录覆盖访问、越权试探、报告和数据导出以及业务授权配置变更。普通管理员不查看会话内容明文，执行记录不含业务数据明文。</w:t>
      </w:r>
    </w:p>
    <w:p w14:paraId="42AD2814">
      <w:pPr>
        <w:keepNext/>
      </w:pPr>
      <w:r>
        <w:drawing>
          <wp:inline distT="0" distB="0" distL="114300" distR="114300">
            <wp:extent cx="5745480" cy="3257550"/>
            <wp:effectExtent l="0" t="0" r="20320" b="1905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39"/>
                    <a:stretch>
                      <a:fillRect/>
                    </a:stretch>
                  </pic:blipFill>
                  <pic:spPr>
                    <a:xfrm>
                      <a:off x="0" y="0"/>
                      <a:ext cx="5745480" cy="3257550"/>
                    </a:xfrm>
                    <a:prstGeom prst="rect">
                      <a:avLst/>
                    </a:prstGeom>
                    <a:noFill/>
                    <a:ln>
                      <a:noFill/>
                    </a:ln>
                  </pic:spPr>
                </pic:pic>
              </a:graphicData>
            </a:graphic>
          </wp:inline>
        </w:drawing>
      </w:r>
    </w:p>
    <w:p w14:paraId="720003D7">
      <w:pPr>
        <w:pStyle w:val="15"/>
        <w:keepNext w:val="0"/>
        <w:snapToGrid w:val="0"/>
        <w:jc w:val="center"/>
      </w:pPr>
      <w:r>
        <w:t>图5-9　系统与管理台页面示意</w:t>
      </w:r>
    </w:p>
    <w:p w14:paraId="720003BB">
      <w:pPr>
        <w:pStyle w:val="5"/>
        <w:snapToGrid w:val="0"/>
      </w:pPr>
      <w:bookmarkStart w:id="95" w:name="s5_4_2_8"/>
      <w:r>
        <w:rPr>
          <w:rFonts w:ascii="黑体" w:hAnsi="黑体" w:eastAsia="黑体" w:cs="黑体"/>
          <w:b/>
          <w:color w:val="000000"/>
        </w:rPr>
        <w:t>5.4.2.8　内容安全防护</w:t>
      </w:r>
      <w:bookmarkEnd w:id="95"/>
    </w:p>
    <w:p w14:paraId="720003BC">
      <w:pPr>
        <w:ind w:firstLineChars="200"/>
        <w:rPr>
          <w:rFonts w:ascii="宋体" w:hAnsi="宋体" w:eastAsia="宋体"/>
          <w:b w:val="0"/>
          <w:color w:val="auto"/>
        </w:rPr>
      </w:pPr>
      <w:r>
        <w:rPr>
          <w:rFonts w:ascii="宋体" w:hAnsi="宋体" w:eastAsia="宋体"/>
          <w:b w:val="0"/>
          <w:color w:val="auto"/>
        </w:rPr>
        <w:t>对访客问答、展厅数字人等公开入口配置提示词约束和输出内容过滤，按可见范围检索和生成。维护并执行提示词注入、诱导越权及涉密试探等测试用例，验证拒答稳定性及拒答内容，防止输出暴露内部数据资产。</w:t>
      </w:r>
    </w:p>
    <w:p w14:paraId="63A9EBC8">
      <w:pPr>
        <w:pStyle w:val="3"/>
        <w:snapToGrid w:val="0"/>
      </w:pPr>
      <w:bookmarkStart w:id="96" w:name="s5_5"/>
      <w:r>
        <w:rPr>
          <w:rFonts w:ascii="黑体" w:hAnsi="黑体" w:eastAsia="黑体" w:cs="黑体"/>
          <w:b/>
          <w:color w:val="000000"/>
        </w:rPr>
        <w:t>5.5　知识基座</w:t>
      </w:r>
      <w:bookmarkEnd w:id="96"/>
    </w:p>
    <w:p w14:paraId="403CBED8">
      <w:pPr>
        <w:pStyle w:val="4"/>
        <w:snapToGrid w:val="0"/>
      </w:pPr>
      <w:bookmarkStart w:id="97" w:name="s5_5_1"/>
      <w:r>
        <w:rPr>
          <w:rFonts w:ascii="黑体" w:hAnsi="黑体" w:eastAsia="黑体" w:cs="黑体"/>
          <w:b/>
          <w:color w:val="000000"/>
        </w:rPr>
        <w:t>5.5.1　知识图谱</w:t>
      </w:r>
      <w:bookmarkEnd w:id="97"/>
    </w:p>
    <w:p w14:paraId="0BCD6F12">
      <w:pPr>
        <w:ind w:firstLineChars="200"/>
        <w:rPr>
          <w:rFonts w:ascii="宋体" w:hAnsi="宋体" w:eastAsia="宋体"/>
          <w:b w:val="0"/>
          <w:color w:val="auto"/>
        </w:rPr>
      </w:pPr>
      <w:r>
        <w:rPr>
          <w:rFonts w:ascii="宋体" w:hAnsi="宋体" w:eastAsia="宋体"/>
          <w:b w:val="0"/>
          <w:color w:val="auto"/>
        </w:rPr>
        <w:t>知识图谱将组织位置、设备测点、工艺拓扑、物料批次及指标对象相互关联，并在其上建立故障模式、偏差影响因素、质量因果链与工艺风险链。场景使用图谱定位对象、圈定取证范围、推断异常传播路径和查看防护措施。对象关系随治理后的主数据更新，专业知识由业务人员审核维护。</w:t>
      </w:r>
    </w:p>
    <w:p w14:paraId="6AA86325">
      <w:pPr>
        <w:ind w:firstLineChars="200"/>
        <w:rPr>
          <w:rFonts w:ascii="宋体" w:hAnsi="宋体" w:eastAsia="宋体"/>
          <w:b w:val="0"/>
          <w:color w:val="auto"/>
        </w:rPr>
      </w:pPr>
      <w:r>
        <w:rPr>
          <w:rFonts w:ascii="宋体" w:hAnsi="宋体" w:eastAsia="宋体"/>
          <w:b w:val="0"/>
          <w:color w:val="auto"/>
        </w:rPr>
        <w:t>工艺危险与可操作性分析（HAZOP）用于组织工艺偏离，失效模式及影响分析（FMEA）用于展开设备失效原因、局部影响、系统后果及检测手段。建模支持导入设备清单与主要参数，复用设备知识模板并推荐关联事故链，将连续操作、间歇操作、What-If及作业安全分析成果关联到风险图谱。独立保护层（IPL）与在线状态关联，支持保护层分析（LOPA）和动态风险计算；输出HAZOP分析报表、LOPA定级及FMEA风险优先数（RPN），用于专业复核和维护分析。</w:t>
      </w:r>
    </w:p>
    <w:p w14:paraId="275D2C2F">
      <w:pPr>
        <w:pStyle w:val="15"/>
        <w:snapToGrid w:val="0"/>
        <w:jc w:val="center"/>
      </w:pPr>
      <w:r>
        <w:t>表5-21　知识图谱视图与用途</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814"/>
        <w:gridCol w:w="4939"/>
        <w:gridCol w:w="2319"/>
      </w:tblGrid>
      <w:tr w14:paraId="2A94F7D1">
        <w:trPr>
          <w:cantSplit/>
          <w:tblHeader/>
        </w:trPr>
        <w:tc>
          <w:tcPr>
            <w:tcW w:w="1814" w:type="dxa"/>
            <w:vAlign w:val="center"/>
          </w:tcPr>
          <w:p w14:paraId="1EF5E6F2">
            <w:pPr>
              <w:pStyle w:val="14"/>
              <w:snapToGrid w:val="0"/>
              <w:jc w:val="center"/>
            </w:pPr>
            <w:r>
              <w:rPr>
                <w:b/>
              </w:rPr>
              <w:t>知识视图</w:t>
            </w:r>
          </w:p>
        </w:tc>
        <w:tc>
          <w:tcPr>
            <w:tcW w:w="4939" w:type="dxa"/>
            <w:vAlign w:val="center"/>
          </w:tcPr>
          <w:p w14:paraId="630634FD">
            <w:pPr>
              <w:pStyle w:val="14"/>
              <w:snapToGrid w:val="0"/>
              <w:jc w:val="center"/>
            </w:pPr>
            <w:r>
              <w:rPr>
                <w:b/>
              </w:rPr>
              <w:t>建设内容</w:t>
            </w:r>
          </w:p>
        </w:tc>
        <w:tc>
          <w:tcPr>
            <w:tcW w:w="2319" w:type="dxa"/>
            <w:vAlign w:val="center"/>
          </w:tcPr>
          <w:p w14:paraId="73468D25">
            <w:pPr>
              <w:pStyle w:val="14"/>
              <w:snapToGrid w:val="0"/>
              <w:jc w:val="center"/>
            </w:pPr>
            <w:r>
              <w:rPr>
                <w:b/>
              </w:rPr>
              <w:t>应用场景</w:t>
            </w:r>
          </w:p>
        </w:tc>
      </w:tr>
      <w:tr w14:paraId="19ACC14E">
        <w:trPr>
          <w:cantSplit/>
        </w:trPr>
        <w:tc>
          <w:tcPr>
            <w:tcW w:w="1814" w:type="dxa"/>
            <w:vAlign w:val="center"/>
          </w:tcPr>
          <w:p w14:paraId="5D5ECA88">
            <w:pPr>
              <w:pStyle w:val="14"/>
              <w:snapToGrid w:val="0"/>
              <w:jc w:val="left"/>
            </w:pPr>
            <w:r>
              <w:t>业务对象与关联</w:t>
            </w:r>
          </w:p>
        </w:tc>
        <w:tc>
          <w:tcPr>
            <w:tcW w:w="4939" w:type="dxa"/>
            <w:vAlign w:val="center"/>
          </w:tcPr>
          <w:p w14:paraId="1C953AAD">
            <w:pPr>
              <w:pStyle w:val="14"/>
              <w:snapToGrid w:val="0"/>
              <w:jc w:val="left"/>
            </w:pPr>
            <w:r>
              <w:t>组织人员位置、设备测点、工序和热力网络、物料供应商及指标关系</w:t>
            </w:r>
          </w:p>
        </w:tc>
        <w:tc>
          <w:tcPr>
            <w:tcW w:w="2319" w:type="dxa"/>
            <w:vAlign w:val="center"/>
          </w:tcPr>
          <w:p w14:paraId="12CACFAB">
            <w:pPr>
              <w:pStyle w:val="14"/>
              <w:snapToGrid w:val="0"/>
              <w:jc w:val="left"/>
            </w:pPr>
            <w:r>
              <w:t>问数、消歧、批次追溯、取证</w:t>
            </w:r>
          </w:p>
        </w:tc>
      </w:tr>
      <w:tr w14:paraId="5E564DF5">
        <w:trPr>
          <w:cantSplit/>
        </w:trPr>
        <w:tc>
          <w:tcPr>
            <w:tcW w:w="1814" w:type="dxa"/>
            <w:vAlign w:val="center"/>
          </w:tcPr>
          <w:p w14:paraId="03583EBE">
            <w:pPr>
              <w:pStyle w:val="14"/>
              <w:snapToGrid w:val="0"/>
              <w:jc w:val="left"/>
            </w:pPr>
            <w:r>
              <w:t>故障及影响因素</w:t>
            </w:r>
          </w:p>
        </w:tc>
        <w:tc>
          <w:tcPr>
            <w:tcW w:w="4939" w:type="dxa"/>
            <w:vAlign w:val="center"/>
          </w:tcPr>
          <w:p w14:paraId="6F2DF3AF">
            <w:pPr>
              <w:pStyle w:val="14"/>
              <w:snapToGrid w:val="0"/>
              <w:jc w:val="left"/>
            </w:pPr>
            <w:r>
              <w:t>设备故障模式、征兆、验证方法；物料、能量、能耗、成本和质量影响因素</w:t>
            </w:r>
          </w:p>
        </w:tc>
        <w:tc>
          <w:tcPr>
            <w:tcW w:w="2319" w:type="dxa"/>
            <w:vAlign w:val="center"/>
          </w:tcPr>
          <w:p w14:paraId="365F3E75">
            <w:pPr>
              <w:pStyle w:val="14"/>
              <w:snapToGrid w:val="0"/>
              <w:jc w:val="left"/>
            </w:pPr>
            <w:r>
              <w:t>设备预警解释及偏差归因</w:t>
            </w:r>
          </w:p>
        </w:tc>
      </w:tr>
      <w:tr w14:paraId="0D877CAF">
        <w:trPr>
          <w:cantSplit/>
        </w:trPr>
        <w:tc>
          <w:tcPr>
            <w:tcW w:w="1814" w:type="dxa"/>
            <w:vAlign w:val="center"/>
          </w:tcPr>
          <w:p w14:paraId="2AA42AFB">
            <w:pPr>
              <w:pStyle w:val="14"/>
              <w:snapToGrid w:val="0"/>
              <w:jc w:val="center"/>
            </w:pPr>
            <w:r>
              <w:t>质量因果图谱</w:t>
            </w:r>
          </w:p>
        </w:tc>
        <w:tc>
          <w:tcPr>
            <w:tcW w:w="4939" w:type="dxa"/>
            <w:vAlign w:val="center"/>
          </w:tcPr>
          <w:p w14:paraId="0BF396FE">
            <w:pPr>
              <w:pStyle w:val="14"/>
              <w:snapToGrid w:val="0"/>
              <w:jc w:val="left"/>
            </w:pPr>
            <w:r>
              <w:t>终点质量指标、中间质检点、工序参数、设备状态和原料批次关联</w:t>
            </w:r>
          </w:p>
        </w:tc>
        <w:tc>
          <w:tcPr>
            <w:tcW w:w="2319" w:type="dxa"/>
            <w:vAlign w:val="center"/>
          </w:tcPr>
          <w:p w14:paraId="44CC9247">
            <w:pPr>
              <w:pStyle w:val="14"/>
              <w:snapToGrid w:val="0"/>
              <w:jc w:val="left"/>
            </w:pPr>
            <w:r>
              <w:t>质量监控、根因回溯与因素贡献分析</w:t>
            </w:r>
          </w:p>
        </w:tc>
      </w:tr>
      <w:tr w14:paraId="7BBB6BD1">
        <w:trPr>
          <w:cantSplit/>
        </w:trPr>
        <w:tc>
          <w:tcPr>
            <w:tcW w:w="1814" w:type="dxa"/>
            <w:vAlign w:val="center"/>
          </w:tcPr>
          <w:p w14:paraId="4965255D">
            <w:pPr>
              <w:pStyle w:val="14"/>
              <w:snapToGrid w:val="0"/>
              <w:jc w:val="center"/>
            </w:pPr>
            <w:r>
              <w:t>工艺风险图谱</w:t>
            </w:r>
          </w:p>
        </w:tc>
        <w:tc>
          <w:tcPr>
            <w:tcW w:w="4939" w:type="dxa"/>
            <w:vAlign w:val="center"/>
          </w:tcPr>
          <w:p w14:paraId="13C656D5">
            <w:pPr>
              <w:pStyle w:val="14"/>
              <w:snapToGrid w:val="0"/>
              <w:jc w:val="left"/>
            </w:pPr>
            <w:r>
              <w:t>HAZOP工艺偏离与FMEA设备失效、诱因后果及独立保护层关联</w:t>
            </w:r>
          </w:p>
        </w:tc>
        <w:tc>
          <w:tcPr>
            <w:tcW w:w="2319" w:type="dxa"/>
            <w:vAlign w:val="center"/>
          </w:tcPr>
          <w:p w14:paraId="35C31AD5">
            <w:pPr>
              <w:pStyle w:val="14"/>
              <w:snapToGrid w:val="0"/>
              <w:jc w:val="left"/>
            </w:pPr>
            <w:r>
              <w:t>异常工况、风险路径与防护措施分析</w:t>
            </w:r>
          </w:p>
        </w:tc>
      </w:tr>
      <w:tr w14:paraId="4D7AA1E5">
        <w:trPr>
          <w:cantSplit/>
        </w:trPr>
        <w:tc>
          <w:tcPr>
            <w:tcW w:w="1814" w:type="dxa"/>
            <w:vAlign w:val="center"/>
          </w:tcPr>
          <w:p w14:paraId="3CD3EBE1">
            <w:pPr>
              <w:pStyle w:val="14"/>
              <w:snapToGrid w:val="0"/>
              <w:jc w:val="center"/>
            </w:pPr>
            <w:r>
              <w:t>能力地图</w:t>
            </w:r>
          </w:p>
        </w:tc>
        <w:tc>
          <w:tcPr>
            <w:tcW w:w="4939" w:type="dxa"/>
            <w:vAlign w:val="center"/>
          </w:tcPr>
          <w:p w14:paraId="11C95D76">
            <w:pPr>
              <w:pStyle w:val="14"/>
              <w:snapToGrid w:val="0"/>
              <w:jc w:val="left"/>
            </w:pPr>
            <w:r>
              <w:t>场景、适用问题、输入输出和数据依赖关系</w:t>
            </w:r>
          </w:p>
        </w:tc>
        <w:tc>
          <w:tcPr>
            <w:tcW w:w="2319" w:type="dxa"/>
            <w:vAlign w:val="center"/>
          </w:tcPr>
          <w:p w14:paraId="5655143A">
            <w:pPr>
              <w:pStyle w:val="14"/>
              <w:snapToGrid w:val="0"/>
              <w:jc w:val="left"/>
            </w:pPr>
            <w:r>
              <w:t>主智能体路由及能力扩充</w:t>
            </w:r>
          </w:p>
        </w:tc>
      </w:tr>
    </w:tbl>
    <w:p w14:paraId="008FF133">
      <w:pPr>
        <w:pStyle w:val="12"/>
        <w:snapToGrid w:val="0"/>
        <w:spacing w:after="25"/>
      </w:pPr>
    </w:p>
    <w:p w14:paraId="720003BD">
      <w:pPr>
        <w:ind w:firstLineChars="200"/>
        <w:rPr>
          <w:rFonts w:ascii="宋体" w:hAnsi="宋体" w:eastAsia="宋体"/>
          <w:b w:val="0"/>
          <w:color w:val="auto"/>
        </w:rPr>
      </w:pPr>
      <w:r>
        <w:rPr>
          <w:rFonts w:ascii="宋体" w:hAnsi="宋体" w:eastAsia="宋体"/>
          <w:b w:val="0"/>
          <w:color w:val="auto"/>
        </w:rPr>
        <w:t>实例层覆盖组织人员与位置区域、设备与测点、工艺拓扑与热力网络、物料与供应商、指标五个域。实例由治理后的主数据和指标语义自动生成，随主数据变化同步并在失败时告警；专业人员维护故障模式、偏差影响因素、质量和风险等知识内容。</w:t>
      </w:r>
    </w:p>
    <w:p w14:paraId="720003BE">
      <w:pPr>
        <w:ind w:firstLineChars="200"/>
        <w:rPr>
          <w:rFonts w:ascii="宋体" w:hAnsi="宋体" w:eastAsia="宋体"/>
          <w:b w:val="0"/>
          <w:color w:val="auto"/>
        </w:rPr>
      </w:pPr>
      <w:r>
        <w:rPr>
          <w:rFonts w:ascii="宋体" w:hAnsi="宋体" w:eastAsia="宋体"/>
          <w:b w:val="0"/>
          <w:color w:val="auto"/>
        </w:rPr>
        <w:t>图谱提供消歧索引、关联索引和知识登记，支持按对象查关系、沿工艺或热力拓扑圈定取证范围。能力地图关联场景能力、适用问题和数据依赖，与知识工作台维护的能力登记卡及主智能体路由保持一致。</w:t>
      </w:r>
    </w:p>
    <w:p w14:paraId="720003BF">
      <w:pPr>
        <w:ind w:firstLineChars="200"/>
        <w:rPr>
          <w:rFonts w:ascii="宋体" w:hAnsi="宋体" w:eastAsia="宋体"/>
          <w:b w:val="0"/>
          <w:color w:val="auto"/>
        </w:rPr>
      </w:pPr>
      <w:r>
        <w:rPr>
          <w:rFonts w:ascii="宋体" w:hAnsi="宋体" w:eastAsia="宋体"/>
          <w:b w:val="0"/>
          <w:color w:val="auto"/>
        </w:rPr>
        <w:t>质量因果图谱以DE值、透光率、色值、水分等质量终点关联中间质检点、工序参数及原料批次，将设备与环境因素纳入因果网络。质量图谱与工艺风险图谱共享关键参数和对象关系，支撑质量诊断、批次追溯核证及可视化查询。</w:t>
      </w:r>
    </w:p>
    <w:p w14:paraId="50A70A75">
      <w:pPr>
        <w:keepNext/>
      </w:pPr>
      <w:r>
        <w:drawing>
          <wp:inline distT="0" distB="0" distL="114300" distR="114300">
            <wp:extent cx="5730875" cy="3272790"/>
            <wp:effectExtent l="0" t="0" r="9525" b="381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40"/>
                    <a:stretch>
                      <a:fillRect/>
                    </a:stretch>
                  </pic:blipFill>
                  <pic:spPr>
                    <a:xfrm>
                      <a:off x="0" y="0"/>
                      <a:ext cx="5730875" cy="3272790"/>
                    </a:xfrm>
                    <a:prstGeom prst="rect">
                      <a:avLst/>
                    </a:prstGeom>
                    <a:noFill/>
                    <a:ln>
                      <a:noFill/>
                    </a:ln>
                  </pic:spPr>
                </pic:pic>
              </a:graphicData>
            </a:graphic>
          </wp:inline>
        </w:drawing>
      </w:r>
    </w:p>
    <w:p w14:paraId="720003D8">
      <w:pPr>
        <w:pStyle w:val="15"/>
        <w:keepNext w:val="0"/>
        <w:snapToGrid w:val="0"/>
        <w:jc w:val="center"/>
      </w:pPr>
      <w:r>
        <w:t>图5-10　能力地图页面示意</w:t>
      </w:r>
    </w:p>
    <w:p w14:paraId="5B6EA51E">
      <w:pPr>
        <w:keepNext/>
        <w:rPr>
          <w:rFonts w:hint="default"/>
          <w:lang w:val="en-US" w:eastAsia="zh-CN"/>
        </w:rPr>
      </w:pPr>
      <w:r>
        <w:drawing>
          <wp:inline distT="0" distB="0" distL="114300" distR="114300">
            <wp:extent cx="5749290" cy="3280410"/>
            <wp:effectExtent l="0" t="0" r="16510" b="21590"/>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41"/>
                    <a:stretch>
                      <a:fillRect/>
                    </a:stretch>
                  </pic:blipFill>
                  <pic:spPr>
                    <a:xfrm>
                      <a:off x="0" y="0"/>
                      <a:ext cx="5749290" cy="3280410"/>
                    </a:xfrm>
                    <a:prstGeom prst="rect">
                      <a:avLst/>
                    </a:prstGeom>
                    <a:noFill/>
                    <a:ln>
                      <a:noFill/>
                    </a:ln>
                  </pic:spPr>
                </pic:pic>
              </a:graphicData>
            </a:graphic>
          </wp:inline>
        </w:drawing>
      </w:r>
    </w:p>
    <w:p w14:paraId="720003D9">
      <w:pPr>
        <w:pStyle w:val="15"/>
        <w:keepNext w:val="0"/>
        <w:snapToGrid w:val="0"/>
        <w:jc w:val="center"/>
      </w:pPr>
      <w:r>
        <w:t>图5-11　知识图谱页面示意</w:t>
      </w:r>
    </w:p>
    <w:p w14:paraId="3A8130D6">
      <w:pPr>
        <w:pStyle w:val="4"/>
        <w:snapToGrid w:val="0"/>
      </w:pPr>
      <w:bookmarkStart w:id="98" w:name="s5_5_2"/>
      <w:r>
        <w:rPr>
          <w:rFonts w:ascii="黑体" w:hAnsi="黑体" w:eastAsia="黑体" w:cs="黑体"/>
          <w:b/>
          <w:color w:val="000000"/>
        </w:rPr>
        <w:t>5.5.2　工艺知识库</w:t>
      </w:r>
      <w:bookmarkEnd w:id="98"/>
    </w:p>
    <w:p w14:paraId="680E53E2">
      <w:pPr>
        <w:ind w:firstLineChars="200"/>
        <w:rPr>
          <w:rFonts w:ascii="宋体" w:hAnsi="宋体" w:eastAsia="宋体"/>
          <w:b w:val="0"/>
          <w:color w:val="auto"/>
        </w:rPr>
      </w:pPr>
      <w:r>
        <w:rPr>
          <w:rFonts w:ascii="宋体" w:hAnsi="宋体" w:eastAsia="宋体"/>
          <w:b w:val="0"/>
          <w:color w:val="auto"/>
        </w:rPr>
        <w:t>工艺知识库收集工艺规程、操作手册、设计与运行资料，关联HAZOP、FMEA和经确认的处置案例。文档解析后形成可检索片段，保留文件名、条款位置、适用对象与版本。风险和质量知识通过图谱表达因果关系，文档原文为诊断和业务解释提供依据。</w:t>
      </w:r>
    </w:p>
    <w:p w14:paraId="2B615C45">
      <w:pPr>
        <w:pStyle w:val="15"/>
        <w:snapToGrid w:val="0"/>
        <w:jc w:val="center"/>
      </w:pPr>
      <w:r>
        <w:t>表5-22　知识库内容与业务使用</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016"/>
        <w:gridCol w:w="4233"/>
        <w:gridCol w:w="2823"/>
      </w:tblGrid>
      <w:tr w14:paraId="2E2B0EAA">
        <w:trPr>
          <w:cantSplit/>
          <w:tblHeader/>
        </w:trPr>
        <w:tc>
          <w:tcPr>
            <w:tcW w:w="2016" w:type="dxa"/>
            <w:vAlign w:val="center"/>
          </w:tcPr>
          <w:p w14:paraId="75CB411F">
            <w:pPr>
              <w:pStyle w:val="14"/>
              <w:snapToGrid w:val="0"/>
              <w:jc w:val="center"/>
            </w:pPr>
            <w:r>
              <w:rPr>
                <w:b/>
              </w:rPr>
              <w:t>知识内容</w:t>
            </w:r>
          </w:p>
        </w:tc>
        <w:tc>
          <w:tcPr>
            <w:tcW w:w="4233" w:type="dxa"/>
            <w:vAlign w:val="center"/>
          </w:tcPr>
          <w:p w14:paraId="32A48CF9">
            <w:pPr>
              <w:pStyle w:val="14"/>
              <w:snapToGrid w:val="0"/>
              <w:jc w:val="center"/>
            </w:pPr>
            <w:r>
              <w:rPr>
                <w:b/>
              </w:rPr>
              <w:t>建设与维护方式</w:t>
            </w:r>
          </w:p>
        </w:tc>
        <w:tc>
          <w:tcPr>
            <w:tcW w:w="2823" w:type="dxa"/>
            <w:vAlign w:val="center"/>
          </w:tcPr>
          <w:p w14:paraId="1152B884">
            <w:pPr>
              <w:pStyle w:val="14"/>
              <w:snapToGrid w:val="0"/>
              <w:jc w:val="center"/>
            </w:pPr>
            <w:r>
              <w:rPr>
                <w:b/>
              </w:rPr>
              <w:t>使用方式</w:t>
            </w:r>
          </w:p>
        </w:tc>
      </w:tr>
      <w:tr w14:paraId="3AA28BAC">
        <w:trPr>
          <w:cantSplit/>
        </w:trPr>
        <w:tc>
          <w:tcPr>
            <w:tcW w:w="2016" w:type="dxa"/>
            <w:vAlign w:val="center"/>
          </w:tcPr>
          <w:p w14:paraId="0C31D207">
            <w:pPr>
              <w:pStyle w:val="14"/>
              <w:snapToGrid w:val="0"/>
              <w:jc w:val="left"/>
            </w:pPr>
            <w:r>
              <w:t>工艺与操作文档</w:t>
            </w:r>
          </w:p>
        </w:tc>
        <w:tc>
          <w:tcPr>
            <w:tcW w:w="4233" w:type="dxa"/>
            <w:vAlign w:val="center"/>
          </w:tcPr>
          <w:p w14:paraId="188E5476">
            <w:pPr>
              <w:pStyle w:val="14"/>
              <w:snapToGrid w:val="0"/>
              <w:jc w:val="left"/>
            </w:pPr>
            <w:r>
              <w:t>清点资料、解析建库、标记版本与适用工序</w:t>
            </w:r>
          </w:p>
        </w:tc>
        <w:tc>
          <w:tcPr>
            <w:tcW w:w="2823" w:type="dxa"/>
            <w:vAlign w:val="center"/>
          </w:tcPr>
          <w:p w14:paraId="49A90E9F">
            <w:pPr>
              <w:pStyle w:val="14"/>
              <w:snapToGrid w:val="0"/>
              <w:jc w:val="left"/>
            </w:pPr>
            <w:r>
              <w:t>规程问答、原文定位、操作依据</w:t>
            </w:r>
          </w:p>
        </w:tc>
      </w:tr>
      <w:tr w14:paraId="3CAC81C3">
        <w:trPr>
          <w:cantSplit/>
        </w:trPr>
        <w:tc>
          <w:tcPr>
            <w:tcW w:w="2016" w:type="dxa"/>
            <w:vAlign w:val="center"/>
          </w:tcPr>
          <w:p w14:paraId="55645CE0">
            <w:pPr>
              <w:pStyle w:val="14"/>
              <w:snapToGrid w:val="0"/>
              <w:jc w:val="left"/>
            </w:pPr>
            <w:r>
              <w:t>质量与设备资料</w:t>
            </w:r>
          </w:p>
        </w:tc>
        <w:tc>
          <w:tcPr>
            <w:tcW w:w="4233" w:type="dxa"/>
            <w:vAlign w:val="center"/>
          </w:tcPr>
          <w:p w14:paraId="5C2BED83">
            <w:pPr>
              <w:pStyle w:val="14"/>
              <w:snapToGrid w:val="0"/>
              <w:jc w:val="left"/>
            </w:pPr>
            <w:r>
              <w:t>整理质量规范、设备资料、故障模式及检修经验</w:t>
            </w:r>
          </w:p>
        </w:tc>
        <w:tc>
          <w:tcPr>
            <w:tcW w:w="2823" w:type="dxa"/>
            <w:vAlign w:val="center"/>
          </w:tcPr>
          <w:p w14:paraId="63178BB8">
            <w:pPr>
              <w:pStyle w:val="14"/>
              <w:snapToGrid w:val="0"/>
              <w:jc w:val="left"/>
            </w:pPr>
            <w:r>
              <w:t>质量根因、设备分析与核证</w:t>
            </w:r>
          </w:p>
        </w:tc>
      </w:tr>
      <w:tr w14:paraId="150FE3E4">
        <w:trPr>
          <w:cantSplit/>
        </w:trPr>
        <w:tc>
          <w:tcPr>
            <w:tcW w:w="2016" w:type="dxa"/>
            <w:vAlign w:val="center"/>
          </w:tcPr>
          <w:p w14:paraId="0349C95A">
            <w:pPr>
              <w:pStyle w:val="14"/>
              <w:snapToGrid w:val="0"/>
              <w:jc w:val="left"/>
            </w:pPr>
            <w:r>
              <w:t>安全环保及制度</w:t>
            </w:r>
          </w:p>
        </w:tc>
        <w:tc>
          <w:tcPr>
            <w:tcW w:w="4233" w:type="dxa"/>
            <w:vAlign w:val="center"/>
          </w:tcPr>
          <w:p w14:paraId="25CE8E10">
            <w:pPr>
              <w:pStyle w:val="14"/>
              <w:snapToGrid w:val="0"/>
              <w:jc w:val="left"/>
            </w:pPr>
            <w:r>
              <w:t>按制度类别、适用岗位和密级管理片段</w:t>
            </w:r>
          </w:p>
        </w:tc>
        <w:tc>
          <w:tcPr>
            <w:tcW w:w="2823" w:type="dxa"/>
            <w:vAlign w:val="center"/>
          </w:tcPr>
          <w:p w14:paraId="78B6001A">
            <w:pPr>
              <w:pStyle w:val="14"/>
              <w:snapToGrid w:val="0"/>
              <w:jc w:val="left"/>
            </w:pPr>
            <w:r>
              <w:t>制度问答、隐患和异常解释</w:t>
            </w:r>
          </w:p>
        </w:tc>
      </w:tr>
      <w:tr w14:paraId="5881F0D3">
        <w:trPr>
          <w:cantSplit/>
        </w:trPr>
        <w:tc>
          <w:tcPr>
            <w:tcW w:w="2016" w:type="dxa"/>
            <w:vAlign w:val="center"/>
          </w:tcPr>
          <w:p w14:paraId="09CE11C0">
            <w:pPr>
              <w:pStyle w:val="14"/>
              <w:snapToGrid w:val="0"/>
              <w:jc w:val="left"/>
            </w:pPr>
            <w:r>
              <w:t>供应链物料及组织资料</w:t>
            </w:r>
          </w:p>
        </w:tc>
        <w:tc>
          <w:tcPr>
            <w:tcW w:w="4233" w:type="dxa"/>
            <w:vAlign w:val="center"/>
          </w:tcPr>
          <w:p w14:paraId="25268690">
            <w:pPr>
              <w:pStyle w:val="14"/>
              <w:snapToGrid w:val="0"/>
              <w:jc w:val="left"/>
            </w:pPr>
            <w:r>
              <w:t>整理物料、供应链规则、组织信息和公开资料</w:t>
            </w:r>
          </w:p>
        </w:tc>
        <w:tc>
          <w:tcPr>
            <w:tcW w:w="2823" w:type="dxa"/>
            <w:vAlign w:val="center"/>
          </w:tcPr>
          <w:p w14:paraId="5E43CC11">
            <w:pPr>
              <w:pStyle w:val="14"/>
              <w:snapToGrid w:val="0"/>
              <w:jc w:val="left"/>
            </w:pPr>
            <w:r>
              <w:t>业务查询、访客及新员工问答</w:t>
            </w:r>
          </w:p>
        </w:tc>
      </w:tr>
      <w:tr w14:paraId="4CC16B47">
        <w:trPr>
          <w:cantSplit/>
        </w:trPr>
        <w:tc>
          <w:tcPr>
            <w:tcW w:w="2016" w:type="dxa"/>
            <w:vAlign w:val="center"/>
          </w:tcPr>
          <w:p w14:paraId="0AE116E3">
            <w:pPr>
              <w:pStyle w:val="14"/>
              <w:snapToGrid w:val="0"/>
              <w:jc w:val="left"/>
            </w:pPr>
            <w:r>
              <w:t>风险与处置案例</w:t>
            </w:r>
          </w:p>
        </w:tc>
        <w:tc>
          <w:tcPr>
            <w:tcW w:w="4233" w:type="dxa"/>
            <w:vAlign w:val="center"/>
          </w:tcPr>
          <w:p w14:paraId="5726F11C">
            <w:pPr>
              <w:pStyle w:val="14"/>
              <w:snapToGrid w:val="0"/>
              <w:jc w:val="left"/>
            </w:pPr>
            <w:r>
              <w:t>记录诱因、后果、防护措施、处置过程及确认结论</w:t>
            </w:r>
          </w:p>
        </w:tc>
        <w:tc>
          <w:tcPr>
            <w:tcW w:w="2823" w:type="dxa"/>
            <w:vAlign w:val="center"/>
          </w:tcPr>
          <w:p w14:paraId="7DAB7D5E">
            <w:pPr>
              <w:pStyle w:val="14"/>
              <w:snapToGrid w:val="0"/>
              <w:jc w:val="left"/>
            </w:pPr>
            <w:r>
              <w:t>诊断匹配、风险分析与经验复用</w:t>
            </w:r>
          </w:p>
        </w:tc>
      </w:tr>
    </w:tbl>
    <w:p w14:paraId="6947618D">
      <w:pPr>
        <w:pStyle w:val="12"/>
        <w:snapToGrid w:val="0"/>
        <w:spacing w:after="25"/>
      </w:pPr>
    </w:p>
    <w:p w14:paraId="720003C0">
      <w:pPr>
        <w:ind w:firstLineChars="200"/>
        <w:rPr>
          <w:rFonts w:ascii="宋体" w:hAnsi="宋体" w:eastAsia="宋体"/>
          <w:b w:val="0"/>
          <w:color w:val="auto"/>
        </w:rPr>
      </w:pPr>
      <w:r>
        <w:rPr>
          <w:rFonts w:ascii="宋体" w:hAnsi="宋体" w:eastAsia="宋体"/>
          <w:b w:val="0"/>
          <w:color w:val="auto"/>
        </w:rPr>
        <w:t>文档知识按设备、质量、工艺文档、安环与制度、供应链、物料、组织架构七个类目统一建设。各类目完成资料收集清点、电子化核对、解析切分、分级和角色标签以及检索效果验证，由统一文档引擎支持检索。工艺知识库关联工艺文档、风险与质量图谱及经确认的处置案例，为业务查询、风险分析和异常诊断提供原文与专业知识依据。</w:t>
      </w:r>
    </w:p>
    <w:p w14:paraId="720003C1">
      <w:pPr>
        <w:ind w:firstLineChars="200"/>
        <w:rPr>
          <w:rFonts w:ascii="宋体" w:hAnsi="宋体" w:eastAsia="宋体"/>
          <w:b w:val="0"/>
          <w:color w:val="auto"/>
        </w:rPr>
      </w:pPr>
      <w:r>
        <w:rPr>
          <w:rFonts w:ascii="宋体" w:hAnsi="宋体" w:eastAsia="宋体"/>
          <w:b w:val="0"/>
          <w:color w:val="auto"/>
        </w:rPr>
        <w:t>检索以片段为单位排序和过滤，引用保留文件名及条款位置。片段继承文档密级和可见角色，密级调整及时生效；文档更新后重建片段，下架时同步清除旧片段，使问答引用对应有效版本。</w:t>
      </w:r>
    </w:p>
    <w:p w14:paraId="0866FC2C">
      <w:pPr>
        <w:pStyle w:val="4"/>
        <w:snapToGrid w:val="0"/>
      </w:pPr>
      <w:bookmarkStart w:id="99" w:name="s5_5_3"/>
      <w:r>
        <w:rPr>
          <w:rFonts w:ascii="黑体" w:hAnsi="黑体" w:eastAsia="黑体" w:cs="黑体"/>
          <w:b/>
          <w:color w:val="000000"/>
        </w:rPr>
        <w:t>5.5.3　建设的知识资产</w:t>
      </w:r>
      <w:bookmarkEnd w:id="99"/>
    </w:p>
    <w:p w14:paraId="721A8FC4">
      <w:pPr>
        <w:pStyle w:val="15"/>
        <w:snapToGrid w:val="0"/>
        <w:jc w:val="center"/>
      </w:pPr>
      <w:r>
        <w:t>表5-23　知识资产与建设成果</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016"/>
        <w:gridCol w:w="4536"/>
        <w:gridCol w:w="2520"/>
      </w:tblGrid>
      <w:tr w14:paraId="304640F8">
        <w:trPr>
          <w:cantSplit/>
          <w:tblHeader/>
        </w:trPr>
        <w:tc>
          <w:tcPr>
            <w:tcW w:w="2016" w:type="dxa"/>
            <w:vAlign w:val="center"/>
          </w:tcPr>
          <w:p w14:paraId="6C8B893A">
            <w:pPr>
              <w:pStyle w:val="14"/>
              <w:snapToGrid w:val="0"/>
              <w:jc w:val="center"/>
            </w:pPr>
            <w:r>
              <w:rPr>
                <w:b/>
              </w:rPr>
              <w:t>资产</w:t>
            </w:r>
          </w:p>
        </w:tc>
        <w:tc>
          <w:tcPr>
            <w:tcW w:w="4536" w:type="dxa"/>
            <w:vAlign w:val="center"/>
          </w:tcPr>
          <w:p w14:paraId="0356034D">
            <w:pPr>
              <w:pStyle w:val="14"/>
              <w:snapToGrid w:val="0"/>
              <w:jc w:val="center"/>
            </w:pPr>
            <w:r>
              <w:rPr>
                <w:b/>
              </w:rPr>
              <w:t>组织内容</w:t>
            </w:r>
          </w:p>
        </w:tc>
        <w:tc>
          <w:tcPr>
            <w:tcW w:w="2520" w:type="dxa"/>
            <w:vAlign w:val="center"/>
          </w:tcPr>
          <w:p w14:paraId="16598E65">
            <w:pPr>
              <w:pStyle w:val="14"/>
              <w:snapToGrid w:val="0"/>
              <w:jc w:val="center"/>
            </w:pPr>
            <w:r>
              <w:rPr>
                <w:b/>
              </w:rPr>
              <w:t>形成成果</w:t>
            </w:r>
          </w:p>
        </w:tc>
      </w:tr>
      <w:tr w14:paraId="2F3E43D0">
        <w:trPr>
          <w:cantSplit/>
        </w:trPr>
        <w:tc>
          <w:tcPr>
            <w:tcW w:w="2016" w:type="dxa"/>
            <w:vAlign w:val="center"/>
          </w:tcPr>
          <w:p w14:paraId="69D5A31C">
            <w:pPr>
              <w:pStyle w:val="14"/>
              <w:snapToGrid w:val="0"/>
              <w:jc w:val="center"/>
            </w:pPr>
            <w:r>
              <w:t>业务对象知识</w:t>
            </w:r>
          </w:p>
        </w:tc>
        <w:tc>
          <w:tcPr>
            <w:tcW w:w="4536" w:type="dxa"/>
            <w:vAlign w:val="center"/>
          </w:tcPr>
          <w:p w14:paraId="1B9CD9C5">
            <w:pPr>
              <w:pStyle w:val="14"/>
              <w:snapToGrid w:val="0"/>
              <w:jc w:val="left"/>
            </w:pPr>
            <w:r>
              <w:t>对象关系、别名、工艺与热力拓扑、批次关联</w:t>
            </w:r>
          </w:p>
        </w:tc>
        <w:tc>
          <w:tcPr>
            <w:tcW w:w="2520" w:type="dxa"/>
            <w:vAlign w:val="center"/>
          </w:tcPr>
          <w:p w14:paraId="585108EE">
            <w:pPr>
              <w:pStyle w:val="14"/>
              <w:snapToGrid w:val="0"/>
              <w:jc w:val="left"/>
            </w:pPr>
            <w:r>
              <w:t>对象关联图谱与别名词库</w:t>
            </w:r>
          </w:p>
        </w:tc>
      </w:tr>
      <w:tr w14:paraId="1B016071">
        <w:trPr>
          <w:cantSplit/>
        </w:trPr>
        <w:tc>
          <w:tcPr>
            <w:tcW w:w="2016" w:type="dxa"/>
            <w:vAlign w:val="center"/>
          </w:tcPr>
          <w:p w14:paraId="672314E7">
            <w:pPr>
              <w:pStyle w:val="14"/>
              <w:snapToGrid w:val="0"/>
              <w:jc w:val="left"/>
            </w:pPr>
            <w:r>
              <w:t>诊断与分析知识</w:t>
            </w:r>
          </w:p>
        </w:tc>
        <w:tc>
          <w:tcPr>
            <w:tcW w:w="4536" w:type="dxa"/>
            <w:vAlign w:val="center"/>
          </w:tcPr>
          <w:p w14:paraId="4CD92A33">
            <w:pPr>
              <w:pStyle w:val="14"/>
              <w:snapToGrid w:val="0"/>
              <w:jc w:val="left"/>
            </w:pPr>
            <w:r>
              <w:t>故障模式、偏差因素、质量因果链、风险事故链</w:t>
            </w:r>
          </w:p>
        </w:tc>
        <w:tc>
          <w:tcPr>
            <w:tcW w:w="2520" w:type="dxa"/>
            <w:vAlign w:val="center"/>
          </w:tcPr>
          <w:p w14:paraId="2B34FC78">
            <w:pPr>
              <w:pStyle w:val="14"/>
              <w:snapToGrid w:val="0"/>
              <w:jc w:val="left"/>
            </w:pPr>
            <w:r>
              <w:t>专业知识视图与诊断模型依据</w:t>
            </w:r>
          </w:p>
        </w:tc>
      </w:tr>
      <w:tr w14:paraId="47A48F1A">
        <w:trPr>
          <w:cantSplit/>
        </w:trPr>
        <w:tc>
          <w:tcPr>
            <w:tcW w:w="2016" w:type="dxa"/>
            <w:vAlign w:val="center"/>
          </w:tcPr>
          <w:p w14:paraId="404105EF">
            <w:pPr>
              <w:pStyle w:val="14"/>
              <w:snapToGrid w:val="0"/>
              <w:jc w:val="center"/>
            </w:pPr>
            <w:r>
              <w:t>文档知识</w:t>
            </w:r>
          </w:p>
        </w:tc>
        <w:tc>
          <w:tcPr>
            <w:tcW w:w="4536" w:type="dxa"/>
            <w:vAlign w:val="center"/>
          </w:tcPr>
          <w:p w14:paraId="69D52DFD">
            <w:pPr>
              <w:pStyle w:val="14"/>
              <w:snapToGrid w:val="0"/>
              <w:jc w:val="left"/>
            </w:pPr>
            <w:r>
              <w:t>设备、质量、工艺、安环制度、供应链、物料、组织资料</w:t>
            </w:r>
          </w:p>
        </w:tc>
        <w:tc>
          <w:tcPr>
            <w:tcW w:w="2520" w:type="dxa"/>
            <w:vAlign w:val="center"/>
          </w:tcPr>
          <w:p w14:paraId="32EF455A">
            <w:pPr>
              <w:pStyle w:val="14"/>
              <w:snapToGrid w:val="0"/>
              <w:jc w:val="left"/>
            </w:pPr>
            <w:r>
              <w:t>分类文档库与可引用片段</w:t>
            </w:r>
          </w:p>
        </w:tc>
      </w:tr>
      <w:tr w14:paraId="29B1D637">
        <w:trPr>
          <w:cantSplit/>
        </w:trPr>
        <w:tc>
          <w:tcPr>
            <w:tcW w:w="2016" w:type="dxa"/>
            <w:vAlign w:val="center"/>
          </w:tcPr>
          <w:p w14:paraId="1A09785A">
            <w:pPr>
              <w:pStyle w:val="14"/>
              <w:snapToGrid w:val="0"/>
              <w:jc w:val="center"/>
            </w:pPr>
            <w:r>
              <w:t>复用知识</w:t>
            </w:r>
          </w:p>
        </w:tc>
        <w:tc>
          <w:tcPr>
            <w:tcW w:w="4536" w:type="dxa"/>
            <w:vAlign w:val="center"/>
          </w:tcPr>
          <w:p w14:paraId="4BA3DBA9">
            <w:pPr>
              <w:pStyle w:val="14"/>
              <w:snapToGrid w:val="0"/>
              <w:jc w:val="left"/>
            </w:pPr>
            <w:r>
              <w:t>设备知识模板、企业共享知识与装置知识、确认案例</w:t>
            </w:r>
          </w:p>
        </w:tc>
        <w:tc>
          <w:tcPr>
            <w:tcW w:w="2520" w:type="dxa"/>
            <w:vAlign w:val="center"/>
          </w:tcPr>
          <w:p w14:paraId="2DD1D637">
            <w:pPr>
              <w:pStyle w:val="14"/>
              <w:snapToGrid w:val="0"/>
              <w:jc w:val="left"/>
            </w:pPr>
            <w:r>
              <w:t>知识模板、案例库及版本记录</w:t>
            </w:r>
          </w:p>
        </w:tc>
      </w:tr>
    </w:tbl>
    <w:p w14:paraId="216C4431">
      <w:pPr>
        <w:pStyle w:val="12"/>
        <w:snapToGrid w:val="0"/>
        <w:spacing w:after="25"/>
      </w:pPr>
    </w:p>
    <w:p w14:paraId="22F7A91F">
      <w:pPr>
        <w:pStyle w:val="4"/>
        <w:snapToGrid w:val="0"/>
      </w:pPr>
      <w:bookmarkStart w:id="100" w:name="s5_5_4"/>
      <w:r>
        <w:rPr>
          <w:rFonts w:ascii="黑体" w:hAnsi="黑体" w:eastAsia="黑体" w:cs="黑体"/>
          <w:b/>
          <w:color w:val="000000"/>
        </w:rPr>
        <w:t>5.5.4　知识维护与应用更新</w:t>
      </w:r>
      <w:bookmarkEnd w:id="100"/>
    </w:p>
    <w:p w14:paraId="0046005F">
      <w:pPr>
        <w:ind w:firstLineChars="200"/>
        <w:rPr>
          <w:rFonts w:ascii="宋体" w:hAnsi="宋体" w:eastAsia="宋体"/>
          <w:b w:val="0"/>
          <w:color w:val="auto"/>
        </w:rPr>
      </w:pPr>
      <w:r>
        <w:rPr>
          <w:rFonts w:ascii="宋体" w:hAnsi="宋体" w:eastAsia="宋体"/>
          <w:b w:val="0"/>
          <w:color w:val="auto"/>
        </w:rPr>
        <w:t>知识工作台组织资料接收、整理、专业审核、发布和停用。风险与质量图谱支持按企业共享库和装置知识库复用，按设备类型维护知识模板。根因正误、分级合理性和建议实用性等结构化反馈自动回流，支持概率权重动态校准和新型异常模式发现。新场景及模型知识经专业审核和场景验证后更新，保留版本、依据及验证记录。</w:t>
      </w:r>
    </w:p>
    <w:p w14:paraId="34D18068">
      <w:pPr>
        <w:pStyle w:val="15"/>
        <w:snapToGrid w:val="0"/>
        <w:jc w:val="center"/>
      </w:pPr>
      <w:r>
        <w:t>表5-24　知识维护与应用验证</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915"/>
        <w:gridCol w:w="4636"/>
        <w:gridCol w:w="2521"/>
      </w:tblGrid>
      <w:tr w14:paraId="0B617866">
        <w:trPr>
          <w:cantSplit/>
          <w:tblHeader/>
        </w:trPr>
        <w:tc>
          <w:tcPr>
            <w:tcW w:w="1915" w:type="dxa"/>
            <w:vAlign w:val="center"/>
          </w:tcPr>
          <w:p w14:paraId="1D7C683F">
            <w:pPr>
              <w:pStyle w:val="14"/>
              <w:snapToGrid w:val="0"/>
              <w:jc w:val="center"/>
            </w:pPr>
            <w:r>
              <w:rPr>
                <w:b/>
              </w:rPr>
              <w:t>维护事项</w:t>
            </w:r>
          </w:p>
        </w:tc>
        <w:tc>
          <w:tcPr>
            <w:tcW w:w="4636" w:type="dxa"/>
            <w:vAlign w:val="center"/>
          </w:tcPr>
          <w:p w14:paraId="4FA2B374">
            <w:pPr>
              <w:pStyle w:val="14"/>
              <w:snapToGrid w:val="0"/>
              <w:jc w:val="center"/>
            </w:pPr>
            <w:r>
              <w:rPr>
                <w:b/>
              </w:rPr>
              <w:t>处理过程</w:t>
            </w:r>
          </w:p>
        </w:tc>
        <w:tc>
          <w:tcPr>
            <w:tcW w:w="2521" w:type="dxa"/>
            <w:vAlign w:val="center"/>
          </w:tcPr>
          <w:p w14:paraId="1FEF3942">
            <w:pPr>
              <w:pStyle w:val="14"/>
              <w:snapToGrid w:val="0"/>
              <w:jc w:val="center"/>
            </w:pPr>
            <w:r>
              <w:rPr>
                <w:b/>
              </w:rPr>
              <w:t>使用成果</w:t>
            </w:r>
          </w:p>
        </w:tc>
      </w:tr>
      <w:tr w14:paraId="2612A184">
        <w:trPr>
          <w:cantSplit/>
        </w:trPr>
        <w:tc>
          <w:tcPr>
            <w:tcW w:w="1915" w:type="dxa"/>
            <w:vAlign w:val="center"/>
          </w:tcPr>
          <w:p w14:paraId="1DC8C3CB">
            <w:pPr>
              <w:pStyle w:val="14"/>
              <w:snapToGrid w:val="0"/>
              <w:jc w:val="left"/>
            </w:pPr>
            <w:r>
              <w:t>资料与案例更新</w:t>
            </w:r>
          </w:p>
        </w:tc>
        <w:tc>
          <w:tcPr>
            <w:tcW w:w="4636" w:type="dxa"/>
            <w:vAlign w:val="center"/>
          </w:tcPr>
          <w:p w14:paraId="2938EC54">
            <w:pPr>
              <w:pStyle w:val="14"/>
              <w:snapToGrid w:val="0"/>
              <w:jc w:val="left"/>
            </w:pPr>
            <w:r>
              <w:t>提出线索、核验来源、形成变更草案并专业审核</w:t>
            </w:r>
          </w:p>
        </w:tc>
        <w:tc>
          <w:tcPr>
            <w:tcW w:w="2521" w:type="dxa"/>
            <w:vAlign w:val="center"/>
          </w:tcPr>
          <w:p w14:paraId="12EF5740">
            <w:pPr>
              <w:pStyle w:val="14"/>
              <w:snapToGrid w:val="0"/>
              <w:jc w:val="left"/>
            </w:pPr>
            <w:r>
              <w:t>经审核的文档、节点及案例</w:t>
            </w:r>
          </w:p>
        </w:tc>
      </w:tr>
      <w:tr w14:paraId="2EC781A5">
        <w:trPr>
          <w:cantSplit/>
        </w:trPr>
        <w:tc>
          <w:tcPr>
            <w:tcW w:w="1915" w:type="dxa"/>
            <w:vAlign w:val="center"/>
          </w:tcPr>
          <w:p w14:paraId="4F0E39D8">
            <w:pPr>
              <w:pStyle w:val="14"/>
              <w:snapToGrid w:val="0"/>
              <w:jc w:val="left"/>
            </w:pPr>
            <w:r>
              <w:t>图谱复用与模型校准</w:t>
            </w:r>
          </w:p>
        </w:tc>
        <w:tc>
          <w:tcPr>
            <w:tcW w:w="4636" w:type="dxa"/>
            <w:vAlign w:val="center"/>
          </w:tcPr>
          <w:p w14:paraId="4D240A02">
            <w:pPr>
              <w:pStyle w:val="14"/>
              <w:snapToGrid w:val="0"/>
              <w:jc w:val="left"/>
            </w:pPr>
            <w:r>
              <w:t>复用设备及装置知识，结合自动回流的确认反馈动态校准路径和权重</w:t>
            </w:r>
          </w:p>
        </w:tc>
        <w:tc>
          <w:tcPr>
            <w:tcW w:w="2521" w:type="dxa"/>
            <w:vAlign w:val="center"/>
          </w:tcPr>
          <w:p w14:paraId="411E10F9">
            <w:pPr>
              <w:pStyle w:val="14"/>
              <w:snapToGrid w:val="0"/>
              <w:jc w:val="left"/>
            </w:pPr>
            <w:r>
              <w:t>更新后的因果关系与诊断依据</w:t>
            </w:r>
          </w:p>
        </w:tc>
      </w:tr>
      <w:tr w14:paraId="6602E9CC">
        <w:trPr>
          <w:cantSplit/>
        </w:trPr>
        <w:tc>
          <w:tcPr>
            <w:tcW w:w="1915" w:type="dxa"/>
            <w:vAlign w:val="center"/>
          </w:tcPr>
          <w:p w14:paraId="3266971A">
            <w:pPr>
              <w:pStyle w:val="14"/>
              <w:snapToGrid w:val="0"/>
              <w:jc w:val="center"/>
            </w:pPr>
            <w:r>
              <w:t>应用验证</w:t>
            </w:r>
          </w:p>
        </w:tc>
        <w:tc>
          <w:tcPr>
            <w:tcW w:w="4636" w:type="dxa"/>
            <w:vAlign w:val="center"/>
          </w:tcPr>
          <w:p w14:paraId="76039962">
            <w:pPr>
              <w:pStyle w:val="14"/>
              <w:snapToGrid w:val="0"/>
              <w:jc w:val="left"/>
            </w:pPr>
            <w:r>
              <w:t>以典型问题、历史事件和风险场景走查应用结果</w:t>
            </w:r>
          </w:p>
        </w:tc>
        <w:tc>
          <w:tcPr>
            <w:tcW w:w="2521" w:type="dxa"/>
            <w:vAlign w:val="center"/>
          </w:tcPr>
          <w:p w14:paraId="0239E734">
            <w:pPr>
              <w:pStyle w:val="14"/>
              <w:snapToGrid w:val="0"/>
              <w:jc w:val="left"/>
            </w:pPr>
            <w:r>
              <w:t>验证记录与后续改进事项</w:t>
            </w:r>
          </w:p>
        </w:tc>
      </w:tr>
      <w:tr w14:paraId="57B53EBB">
        <w:trPr>
          <w:cantSplit/>
        </w:trPr>
        <w:tc>
          <w:tcPr>
            <w:tcW w:w="1915" w:type="dxa"/>
            <w:vAlign w:val="center"/>
          </w:tcPr>
          <w:p w14:paraId="55A8A9BA">
            <w:pPr>
              <w:pStyle w:val="14"/>
              <w:snapToGrid w:val="0"/>
              <w:jc w:val="center"/>
            </w:pPr>
            <w:r>
              <w:t>发布与停用</w:t>
            </w:r>
          </w:p>
        </w:tc>
        <w:tc>
          <w:tcPr>
            <w:tcW w:w="4636" w:type="dxa"/>
            <w:vAlign w:val="center"/>
          </w:tcPr>
          <w:p w14:paraId="051282F0">
            <w:pPr>
              <w:pStyle w:val="14"/>
              <w:snapToGrid w:val="0"/>
              <w:jc w:val="left"/>
            </w:pPr>
            <w:r>
              <w:t>发布新版本并更新检索；同步调整旧版本使用状态</w:t>
            </w:r>
          </w:p>
        </w:tc>
        <w:tc>
          <w:tcPr>
            <w:tcW w:w="2521" w:type="dxa"/>
            <w:vAlign w:val="center"/>
          </w:tcPr>
          <w:p w14:paraId="3D642F05">
            <w:pPr>
              <w:pStyle w:val="14"/>
              <w:snapToGrid w:val="0"/>
              <w:jc w:val="left"/>
            </w:pPr>
            <w:r>
              <w:t>生效版本及变更记录</w:t>
            </w:r>
          </w:p>
        </w:tc>
      </w:tr>
    </w:tbl>
    <w:p w14:paraId="621830C3">
      <w:pPr>
        <w:pStyle w:val="12"/>
        <w:snapToGrid w:val="0"/>
        <w:spacing w:after="25"/>
      </w:pPr>
    </w:p>
    <w:p w14:paraId="720003C2">
      <w:pPr>
        <w:ind w:firstLineChars="200"/>
        <w:rPr>
          <w:rFonts w:ascii="宋体" w:hAnsi="宋体" w:eastAsia="宋体"/>
          <w:b w:val="0"/>
          <w:color w:val="auto"/>
        </w:rPr>
      </w:pPr>
      <w:r>
        <w:rPr>
          <w:rFonts w:ascii="宋体" w:hAnsi="宋体" w:eastAsia="宋体"/>
          <w:b w:val="0"/>
          <w:color w:val="auto"/>
        </w:rPr>
        <w:t>工作台汇集知识缺口、归因确认案例、别名建议、点踩工单和数据接入需求五类待办，每条保留原始问题、检索或执行证据及提出人。知识维护员按业务类型审核、补充和入库，维护图谱、能力登记卡及别名词库；相关知识验证生效后进入回归和结果通知。</w:t>
      </w:r>
    </w:p>
    <w:p w14:paraId="720003C3">
      <w:pPr>
        <w:ind w:firstLineChars="200"/>
        <w:rPr>
          <w:rFonts w:ascii="宋体" w:hAnsi="宋体" w:eastAsia="宋体"/>
          <w:b w:val="0"/>
          <w:color w:val="auto"/>
        </w:rPr>
      </w:pPr>
      <w:r>
        <w:rPr>
          <w:rFonts w:ascii="宋体" w:hAnsi="宋体" w:eastAsia="宋体"/>
          <w:b w:val="0"/>
          <w:color w:val="auto"/>
        </w:rPr>
        <w:t>支持企业共享知识与装置知识的分层维护和权限管理，按设备类型建立并复用模板，保留知识版本和项目复制记录。根因正误、分级及建议反馈形成结构化更新线索，支持权重校准和新模式发现；新增场景及模型知识经专业审核和验证后发布，保留依据与验证记录。</w:t>
      </w:r>
    </w:p>
    <w:p w14:paraId="5BC98F89">
      <w:pPr>
        <w:keepNext/>
      </w:pPr>
      <w:r>
        <w:drawing>
          <wp:inline distT="0" distB="0" distL="114300" distR="114300">
            <wp:extent cx="5741670" cy="3284220"/>
            <wp:effectExtent l="0" t="0" r="24130" b="1778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42"/>
                    <a:stretch>
                      <a:fillRect/>
                    </a:stretch>
                  </pic:blipFill>
                  <pic:spPr>
                    <a:xfrm>
                      <a:off x="0" y="0"/>
                      <a:ext cx="5741670" cy="3284220"/>
                    </a:xfrm>
                    <a:prstGeom prst="rect">
                      <a:avLst/>
                    </a:prstGeom>
                    <a:noFill/>
                    <a:ln>
                      <a:noFill/>
                    </a:ln>
                  </pic:spPr>
                </pic:pic>
              </a:graphicData>
            </a:graphic>
          </wp:inline>
        </w:drawing>
      </w:r>
    </w:p>
    <w:p w14:paraId="720003D5">
      <w:pPr>
        <w:pStyle w:val="15"/>
        <w:keepNext w:val="0"/>
        <w:snapToGrid w:val="0"/>
        <w:jc w:val="center"/>
      </w:pPr>
      <w:r>
        <w:t>图5-12　知识工作台页面示意</w:t>
      </w:r>
    </w:p>
    <w:p w14:paraId="720003C4">
      <w:pPr>
        <w:pStyle w:val="4"/>
        <w:snapToGrid w:val="0"/>
      </w:pPr>
      <w:bookmarkStart w:id="101" w:name="s5_5_5"/>
      <w:r>
        <w:rPr>
          <w:rFonts w:ascii="黑体" w:hAnsi="黑体" w:eastAsia="黑体" w:cs="黑体"/>
          <w:b/>
          <w:color w:val="000000"/>
        </w:rPr>
        <w:t>5.5.5　日常风险分析与模拟</w:t>
      </w:r>
      <w:bookmarkEnd w:id="101"/>
    </w:p>
    <w:p w14:paraId="720003C5">
      <w:pPr>
        <w:ind w:firstLineChars="200"/>
        <w:rPr>
          <w:rFonts w:ascii="宋体" w:hAnsi="宋体" w:eastAsia="宋体"/>
          <w:b w:val="0"/>
          <w:color w:val="auto"/>
        </w:rPr>
      </w:pPr>
      <w:r>
        <w:rPr>
          <w:rFonts w:ascii="宋体" w:hAnsi="宋体" w:eastAsia="宋体"/>
          <w:b w:val="0"/>
          <w:color w:val="auto"/>
        </w:rPr>
        <w:t>面向设备、工艺偏离或事故链中间事件，查询可能的后果和传播链，并以领结图展示诱因、事件、后果及对应防护屏障。支持检查屏障作用、失效路径以及受影响对象，供日常风险排查与专业复核。</w:t>
      </w:r>
    </w:p>
    <w:p w14:paraId="720003C6">
      <w:pPr>
        <w:ind w:firstLineChars="200"/>
        <w:rPr>
          <w:rFonts w:ascii="宋体" w:hAnsi="宋体" w:eastAsia="宋体"/>
          <w:b w:val="0"/>
          <w:color w:val="auto"/>
        </w:rPr>
      </w:pPr>
      <w:r>
        <w:rPr>
          <w:rFonts w:ascii="宋体" w:hAnsi="宋体" w:eastAsia="宋体"/>
          <w:b w:val="0"/>
          <w:color w:val="auto"/>
        </w:rPr>
        <w:t>根据风险图谱和现有联锁、防护状态，模拟联锁摘除对风险的影响，形成风险变化及防护需求说明。模拟用于分析评估；同时按装置汇总和对比风险情况，为维护与风险管理提供依据。</w:t>
      </w:r>
    </w:p>
    <w:p w14:paraId="6CB8F194">
      <w:pPr>
        <w:pStyle w:val="3"/>
        <w:snapToGrid w:val="0"/>
      </w:pPr>
      <w:bookmarkStart w:id="102" w:name="s5_6"/>
      <w:r>
        <w:rPr>
          <w:rFonts w:ascii="黑体" w:hAnsi="黑体" w:eastAsia="黑体" w:cs="黑体"/>
          <w:b/>
          <w:color w:val="000000"/>
        </w:rPr>
        <w:t>5.6　数据底座</w:t>
      </w:r>
      <w:bookmarkEnd w:id="102"/>
    </w:p>
    <w:p w14:paraId="3FC4769D">
      <w:pPr>
        <w:pStyle w:val="4"/>
        <w:snapToGrid w:val="0"/>
      </w:pPr>
      <w:bookmarkStart w:id="103" w:name="s5_6_1"/>
      <w:r>
        <w:rPr>
          <w:rFonts w:ascii="黑体" w:hAnsi="黑体" w:eastAsia="黑体" w:cs="黑体"/>
          <w:b/>
          <w:color w:val="000000"/>
        </w:rPr>
        <w:t>5.6.1　AI数据治理</w:t>
      </w:r>
      <w:bookmarkEnd w:id="103"/>
    </w:p>
    <w:p w14:paraId="78E07A7D">
      <w:pPr>
        <w:ind w:firstLineChars="200"/>
        <w:rPr>
          <w:rFonts w:ascii="宋体" w:hAnsi="宋体" w:eastAsia="宋体"/>
          <w:b w:val="0"/>
          <w:color w:val="auto"/>
        </w:rPr>
      </w:pPr>
      <w:r>
        <w:rPr>
          <w:rFonts w:ascii="宋体" w:hAnsi="宋体" w:eastAsia="宋体"/>
          <w:b w:val="0"/>
          <w:color w:val="auto"/>
        </w:rPr>
        <w:t>AI数据治理从业务场景的数据使用需求出发，统一对象、指标、判定基准与业务链路，组织数据质量治理和场景数据准备，形成可查询、可核算、可追溯的数据成果。治理工作与场景建设并行，在运行期间持续维护。</w:t>
      </w:r>
    </w:p>
    <w:p w14:paraId="631C2C14">
      <w:pPr>
        <w:ind w:firstLineChars="200"/>
        <w:rPr>
          <w:rFonts w:ascii="宋体" w:hAnsi="宋体" w:eastAsia="宋体"/>
          <w:b w:val="0"/>
          <w:color w:val="auto"/>
        </w:rPr>
      </w:pPr>
    </w:p>
    <w:p w14:paraId="2D0FE58C">
      <w:pPr>
        <w:pStyle w:val="15"/>
        <w:snapToGrid w:val="0"/>
        <w:jc w:val="center"/>
      </w:pPr>
      <w:r>
        <w:t>表5-25　AI数据治理建设内容</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016"/>
        <w:gridCol w:w="4737"/>
        <w:gridCol w:w="2319"/>
      </w:tblGrid>
      <w:tr w14:paraId="2536D6C3">
        <w:trPr>
          <w:cantSplit/>
          <w:tblHeader/>
        </w:trPr>
        <w:tc>
          <w:tcPr>
            <w:tcW w:w="2016" w:type="dxa"/>
            <w:vAlign w:val="center"/>
          </w:tcPr>
          <w:p w14:paraId="16EBE263">
            <w:pPr>
              <w:pStyle w:val="14"/>
              <w:snapToGrid w:val="0"/>
              <w:jc w:val="center"/>
            </w:pPr>
            <w:r>
              <w:rPr>
                <w:b/>
              </w:rPr>
              <w:t>建设事项</w:t>
            </w:r>
          </w:p>
        </w:tc>
        <w:tc>
          <w:tcPr>
            <w:tcW w:w="4737" w:type="dxa"/>
            <w:vAlign w:val="center"/>
          </w:tcPr>
          <w:p w14:paraId="0BEC7FA9">
            <w:pPr>
              <w:pStyle w:val="14"/>
              <w:snapToGrid w:val="0"/>
              <w:jc w:val="center"/>
            </w:pPr>
            <w:r>
              <w:rPr>
                <w:b/>
              </w:rPr>
              <w:t>主要工作</w:t>
            </w:r>
          </w:p>
        </w:tc>
        <w:tc>
          <w:tcPr>
            <w:tcW w:w="2319" w:type="dxa"/>
            <w:vAlign w:val="center"/>
          </w:tcPr>
          <w:p w14:paraId="5353410A">
            <w:pPr>
              <w:pStyle w:val="14"/>
              <w:snapToGrid w:val="0"/>
              <w:jc w:val="center"/>
            </w:pPr>
            <w:r>
              <w:rPr>
                <w:b/>
              </w:rPr>
              <w:t>形成成果</w:t>
            </w:r>
          </w:p>
        </w:tc>
      </w:tr>
      <w:tr w14:paraId="6814BBCB">
        <w:trPr>
          <w:cantSplit/>
        </w:trPr>
        <w:tc>
          <w:tcPr>
            <w:tcW w:w="2016" w:type="dxa"/>
            <w:vAlign w:val="center"/>
          </w:tcPr>
          <w:p w14:paraId="2D161F79">
            <w:pPr>
              <w:pStyle w:val="14"/>
              <w:snapToGrid w:val="0"/>
              <w:jc w:val="center"/>
            </w:pPr>
            <w:r>
              <w:t>场景需求与资产盘点</w:t>
            </w:r>
          </w:p>
        </w:tc>
        <w:tc>
          <w:tcPr>
            <w:tcW w:w="4737" w:type="dxa"/>
            <w:vAlign w:val="center"/>
          </w:tcPr>
          <w:p w14:paraId="73E55C58">
            <w:pPr>
              <w:pStyle w:val="14"/>
              <w:snapToGrid w:val="0"/>
              <w:jc w:val="left"/>
            </w:pPr>
            <w:r>
              <w:t>逐场景识别业务对象、指标、时效和可见角色，建立需求与资产对应</w:t>
            </w:r>
          </w:p>
        </w:tc>
        <w:tc>
          <w:tcPr>
            <w:tcW w:w="2319" w:type="dxa"/>
            <w:vAlign w:val="center"/>
          </w:tcPr>
          <w:p w14:paraId="486B05C1">
            <w:pPr>
              <w:pStyle w:val="14"/>
              <w:snapToGrid w:val="0"/>
              <w:jc w:val="left"/>
            </w:pPr>
            <w:r>
              <w:t>需求清单、资产盘点及处理事项</w:t>
            </w:r>
          </w:p>
        </w:tc>
      </w:tr>
      <w:tr w14:paraId="585ABB5D">
        <w:trPr>
          <w:cantSplit/>
        </w:trPr>
        <w:tc>
          <w:tcPr>
            <w:tcW w:w="2016" w:type="dxa"/>
            <w:vAlign w:val="center"/>
          </w:tcPr>
          <w:p w14:paraId="65575B8A">
            <w:pPr>
              <w:pStyle w:val="14"/>
              <w:snapToGrid w:val="0"/>
              <w:jc w:val="center"/>
            </w:pPr>
            <w:r>
              <w:t>来源确认与供给</w:t>
            </w:r>
          </w:p>
        </w:tc>
        <w:tc>
          <w:tcPr>
            <w:tcW w:w="4737" w:type="dxa"/>
            <w:vAlign w:val="center"/>
          </w:tcPr>
          <w:p w14:paraId="15947DEC">
            <w:pPr>
              <w:pStyle w:val="14"/>
              <w:snapToGrid w:val="0"/>
              <w:jc w:val="left"/>
            </w:pPr>
            <w:r>
              <w:t>确认权威来源、业务负责人、更新节奏、版本和截止时间</w:t>
            </w:r>
          </w:p>
        </w:tc>
        <w:tc>
          <w:tcPr>
            <w:tcW w:w="2319" w:type="dxa"/>
            <w:vAlign w:val="center"/>
          </w:tcPr>
          <w:p w14:paraId="3A48649D">
            <w:pPr>
              <w:pStyle w:val="14"/>
              <w:snapToGrid w:val="0"/>
              <w:jc w:val="left"/>
            </w:pPr>
            <w:r>
              <w:t>来源及供给清单</w:t>
            </w:r>
          </w:p>
        </w:tc>
      </w:tr>
      <w:tr w14:paraId="4587A93C">
        <w:trPr>
          <w:cantSplit/>
        </w:trPr>
        <w:tc>
          <w:tcPr>
            <w:tcW w:w="2016" w:type="dxa"/>
            <w:vAlign w:val="center"/>
          </w:tcPr>
          <w:p w14:paraId="2C711537">
            <w:pPr>
              <w:pStyle w:val="14"/>
              <w:snapToGrid w:val="0"/>
              <w:jc w:val="center"/>
            </w:pPr>
            <w:r>
              <w:t>主数据与受控字典</w:t>
            </w:r>
          </w:p>
        </w:tc>
        <w:tc>
          <w:tcPr>
            <w:tcW w:w="4737" w:type="dxa"/>
            <w:vAlign w:val="center"/>
          </w:tcPr>
          <w:p w14:paraId="53FA8E4E">
            <w:pPr>
              <w:pStyle w:val="14"/>
              <w:snapToGrid w:val="0"/>
              <w:jc w:val="left"/>
            </w:pPr>
            <w:r>
              <w:t>统一设备、测点、物料、批次、位置和组织编码，维护映射及受控取值</w:t>
            </w:r>
          </w:p>
        </w:tc>
        <w:tc>
          <w:tcPr>
            <w:tcW w:w="2319" w:type="dxa"/>
            <w:vAlign w:val="center"/>
          </w:tcPr>
          <w:p w14:paraId="31BBEEE8">
            <w:pPr>
              <w:pStyle w:val="14"/>
              <w:snapToGrid w:val="0"/>
              <w:jc w:val="left"/>
            </w:pPr>
            <w:r>
              <w:t>对象标准、映射与受控字典</w:t>
            </w:r>
          </w:p>
        </w:tc>
      </w:tr>
      <w:tr w14:paraId="292AF1B5">
        <w:trPr>
          <w:cantSplit/>
        </w:trPr>
        <w:tc>
          <w:tcPr>
            <w:tcW w:w="2016" w:type="dxa"/>
            <w:vAlign w:val="center"/>
          </w:tcPr>
          <w:p w14:paraId="65282681">
            <w:pPr>
              <w:pStyle w:val="14"/>
              <w:snapToGrid w:val="0"/>
              <w:jc w:val="center"/>
            </w:pPr>
            <w:r>
              <w:t>术语与指标口径</w:t>
            </w:r>
          </w:p>
        </w:tc>
        <w:tc>
          <w:tcPr>
            <w:tcW w:w="4737" w:type="dxa"/>
            <w:vAlign w:val="center"/>
          </w:tcPr>
          <w:p w14:paraId="3B8D719F">
            <w:pPr>
              <w:pStyle w:val="14"/>
              <w:snapToGrid w:val="0"/>
              <w:jc w:val="left"/>
            </w:pPr>
            <w:r>
              <w:t>统一业务定义、构成、单位、统计周期和适用对象</w:t>
            </w:r>
          </w:p>
        </w:tc>
        <w:tc>
          <w:tcPr>
            <w:tcW w:w="2319" w:type="dxa"/>
            <w:vAlign w:val="center"/>
          </w:tcPr>
          <w:p w14:paraId="1656BA9F">
            <w:pPr>
              <w:pStyle w:val="14"/>
              <w:snapToGrid w:val="0"/>
              <w:jc w:val="left"/>
            </w:pPr>
            <w:r>
              <w:t>术语及指标语义字典</w:t>
            </w:r>
          </w:p>
        </w:tc>
      </w:tr>
      <w:tr w14:paraId="0F75ECC1">
        <w:trPr>
          <w:cantSplit/>
        </w:trPr>
        <w:tc>
          <w:tcPr>
            <w:tcW w:w="2016" w:type="dxa"/>
            <w:vAlign w:val="center"/>
          </w:tcPr>
          <w:p w14:paraId="505E475D">
            <w:pPr>
              <w:pStyle w:val="14"/>
              <w:snapToGrid w:val="0"/>
              <w:jc w:val="center"/>
            </w:pPr>
            <w:r>
              <w:t>判定基准</w:t>
            </w:r>
          </w:p>
        </w:tc>
        <w:tc>
          <w:tcPr>
            <w:tcW w:w="4737" w:type="dxa"/>
            <w:vAlign w:val="center"/>
          </w:tcPr>
          <w:p w14:paraId="6AB47D8A">
            <w:pPr>
              <w:pStyle w:val="14"/>
              <w:snapToGrid w:val="0"/>
              <w:jc w:val="left"/>
            </w:pPr>
            <w:r>
              <w:t>整理额定参数、质量规格、工艺允许范围、热耗和成本口径</w:t>
            </w:r>
          </w:p>
        </w:tc>
        <w:tc>
          <w:tcPr>
            <w:tcW w:w="2319" w:type="dxa"/>
            <w:vAlign w:val="center"/>
          </w:tcPr>
          <w:p w14:paraId="7113AEA2">
            <w:pPr>
              <w:pStyle w:val="14"/>
              <w:snapToGrid w:val="0"/>
              <w:jc w:val="left"/>
            </w:pPr>
            <w:r>
              <w:t>判定基准及业务确认记录</w:t>
            </w:r>
          </w:p>
        </w:tc>
      </w:tr>
      <w:tr w14:paraId="28AB778B">
        <w:trPr>
          <w:cantSplit/>
        </w:trPr>
        <w:tc>
          <w:tcPr>
            <w:tcW w:w="2016" w:type="dxa"/>
            <w:vAlign w:val="center"/>
          </w:tcPr>
          <w:p w14:paraId="0197AE1B">
            <w:pPr>
              <w:pStyle w:val="14"/>
              <w:snapToGrid w:val="0"/>
              <w:jc w:val="center"/>
            </w:pPr>
            <w:r>
              <w:t>数据质量</w:t>
            </w:r>
          </w:p>
        </w:tc>
        <w:tc>
          <w:tcPr>
            <w:tcW w:w="4737" w:type="dxa"/>
            <w:vAlign w:val="center"/>
          </w:tcPr>
          <w:p w14:paraId="0291F756">
            <w:pPr>
              <w:pStyle w:val="14"/>
              <w:snapToGrid w:val="0"/>
              <w:jc w:val="left"/>
            </w:pPr>
            <w:r>
              <w:t>检查缺失、异常、重复、一致性与时效，组织反馈处置复核</w:t>
            </w:r>
          </w:p>
        </w:tc>
        <w:tc>
          <w:tcPr>
            <w:tcW w:w="2319" w:type="dxa"/>
            <w:vAlign w:val="center"/>
          </w:tcPr>
          <w:p w14:paraId="264E929E">
            <w:pPr>
              <w:pStyle w:val="14"/>
              <w:snapToGrid w:val="0"/>
              <w:jc w:val="left"/>
            </w:pPr>
            <w:r>
              <w:t>质量规则、问题及复核记录</w:t>
            </w:r>
          </w:p>
        </w:tc>
      </w:tr>
      <w:tr w14:paraId="0117A5AE">
        <w:trPr>
          <w:cantSplit/>
        </w:trPr>
        <w:tc>
          <w:tcPr>
            <w:tcW w:w="2016" w:type="dxa"/>
            <w:vAlign w:val="center"/>
          </w:tcPr>
          <w:p w14:paraId="532B5662">
            <w:pPr>
              <w:pStyle w:val="14"/>
              <w:snapToGrid w:val="0"/>
              <w:jc w:val="center"/>
            </w:pPr>
            <w:r>
              <w:t>分级分类与授权基础</w:t>
            </w:r>
          </w:p>
        </w:tc>
        <w:tc>
          <w:tcPr>
            <w:tcW w:w="4737" w:type="dxa"/>
            <w:vAlign w:val="center"/>
          </w:tcPr>
          <w:p w14:paraId="4606A712">
            <w:pPr>
              <w:pStyle w:val="14"/>
              <w:snapToGrid w:val="0"/>
              <w:jc w:val="left"/>
            </w:pPr>
            <w:r>
              <w:t>按业务域、组织及密级管理数据，提供业务授权配置所需信息</w:t>
            </w:r>
          </w:p>
        </w:tc>
        <w:tc>
          <w:tcPr>
            <w:tcW w:w="2319" w:type="dxa"/>
            <w:vAlign w:val="center"/>
          </w:tcPr>
          <w:p w14:paraId="2D92A1A6">
            <w:pPr>
              <w:pStyle w:val="14"/>
              <w:snapToGrid w:val="0"/>
              <w:jc w:val="left"/>
            </w:pPr>
            <w:r>
              <w:t>数据分级及授权基础信息</w:t>
            </w:r>
          </w:p>
        </w:tc>
      </w:tr>
      <w:tr w14:paraId="6BCF2237">
        <w:trPr>
          <w:cantSplit/>
        </w:trPr>
        <w:tc>
          <w:tcPr>
            <w:tcW w:w="2016" w:type="dxa"/>
            <w:vAlign w:val="center"/>
          </w:tcPr>
          <w:p w14:paraId="28F0088A">
            <w:pPr>
              <w:pStyle w:val="14"/>
              <w:snapToGrid w:val="0"/>
              <w:jc w:val="center"/>
            </w:pPr>
            <w:r>
              <w:t>数据时效</w:t>
            </w:r>
          </w:p>
        </w:tc>
        <w:tc>
          <w:tcPr>
            <w:tcW w:w="4737" w:type="dxa"/>
            <w:vAlign w:val="center"/>
          </w:tcPr>
          <w:p w14:paraId="720573DA">
            <w:pPr>
              <w:pStyle w:val="14"/>
              <w:snapToGrid w:val="0"/>
              <w:jc w:val="left"/>
            </w:pPr>
            <w:r>
              <w:t>按数据类型明确更新要求，保留截止时间和异常状态</w:t>
            </w:r>
          </w:p>
        </w:tc>
        <w:tc>
          <w:tcPr>
            <w:tcW w:w="2319" w:type="dxa"/>
            <w:vAlign w:val="center"/>
          </w:tcPr>
          <w:p w14:paraId="5773A015">
            <w:pPr>
              <w:pStyle w:val="14"/>
              <w:snapToGrid w:val="0"/>
              <w:jc w:val="left"/>
            </w:pPr>
            <w:r>
              <w:t>时效规则及异常记录</w:t>
            </w:r>
          </w:p>
        </w:tc>
      </w:tr>
      <w:tr w14:paraId="04801123">
        <w:trPr>
          <w:cantSplit/>
        </w:trPr>
        <w:tc>
          <w:tcPr>
            <w:tcW w:w="2016" w:type="dxa"/>
            <w:vAlign w:val="center"/>
          </w:tcPr>
          <w:p w14:paraId="131C265A">
            <w:pPr>
              <w:pStyle w:val="14"/>
              <w:snapToGrid w:val="0"/>
              <w:jc w:val="center"/>
            </w:pPr>
            <w:r>
              <w:t>数据资产目录</w:t>
            </w:r>
          </w:p>
        </w:tc>
        <w:tc>
          <w:tcPr>
            <w:tcW w:w="4737" w:type="dxa"/>
            <w:vAlign w:val="center"/>
          </w:tcPr>
          <w:p w14:paraId="0C76B530">
            <w:pPr>
              <w:pStyle w:val="14"/>
              <w:snapToGrid w:val="0"/>
              <w:jc w:val="left"/>
            </w:pPr>
            <w:r>
              <w:t>登记来源、业务含义、口径、质量、时效及维护岗位</w:t>
            </w:r>
          </w:p>
        </w:tc>
        <w:tc>
          <w:tcPr>
            <w:tcW w:w="2319" w:type="dxa"/>
            <w:vAlign w:val="center"/>
          </w:tcPr>
          <w:p w14:paraId="08ABE26E">
            <w:pPr>
              <w:pStyle w:val="14"/>
              <w:snapToGrid w:val="0"/>
              <w:jc w:val="left"/>
            </w:pPr>
            <w:r>
              <w:t>可检索的数据资产目录</w:t>
            </w:r>
          </w:p>
        </w:tc>
      </w:tr>
      <w:tr w14:paraId="24F5FC5E">
        <w:trPr>
          <w:cantSplit/>
        </w:trPr>
        <w:tc>
          <w:tcPr>
            <w:tcW w:w="2016" w:type="dxa"/>
            <w:vAlign w:val="center"/>
          </w:tcPr>
          <w:p w14:paraId="47AAB4A2">
            <w:pPr>
              <w:pStyle w:val="14"/>
              <w:snapToGrid w:val="0"/>
              <w:jc w:val="center"/>
            </w:pPr>
            <w:r>
              <w:t>跨系统业务关联</w:t>
            </w:r>
          </w:p>
        </w:tc>
        <w:tc>
          <w:tcPr>
            <w:tcW w:w="4737" w:type="dxa"/>
            <w:vAlign w:val="center"/>
          </w:tcPr>
          <w:p w14:paraId="25C25227">
            <w:pPr>
              <w:pStyle w:val="14"/>
              <w:snapToGrid w:val="0"/>
              <w:jc w:val="left"/>
            </w:pPr>
            <w:r>
              <w:t>按批次、工单、工序、设备和时间组织证据，贯通业务主线</w:t>
            </w:r>
          </w:p>
        </w:tc>
        <w:tc>
          <w:tcPr>
            <w:tcW w:w="2319" w:type="dxa"/>
            <w:vAlign w:val="center"/>
          </w:tcPr>
          <w:p w14:paraId="7E12ED1C">
            <w:pPr>
              <w:pStyle w:val="14"/>
              <w:snapToGrid w:val="0"/>
              <w:jc w:val="left"/>
            </w:pPr>
            <w:r>
              <w:t>批次谱系及场景数据集</w:t>
            </w:r>
          </w:p>
        </w:tc>
      </w:tr>
      <w:tr w14:paraId="5B580CBF">
        <w:trPr>
          <w:cantSplit/>
        </w:trPr>
        <w:tc>
          <w:tcPr>
            <w:tcW w:w="2016" w:type="dxa"/>
            <w:vAlign w:val="center"/>
          </w:tcPr>
          <w:p w14:paraId="1D3CC835">
            <w:pPr>
              <w:pStyle w:val="14"/>
              <w:snapToGrid w:val="0"/>
              <w:jc w:val="center"/>
            </w:pPr>
            <w:r>
              <w:t>确定性核算</w:t>
            </w:r>
          </w:p>
        </w:tc>
        <w:tc>
          <w:tcPr>
            <w:tcW w:w="4737" w:type="dxa"/>
            <w:vAlign w:val="center"/>
          </w:tcPr>
          <w:p w14:paraId="14E3CFE9">
            <w:pPr>
              <w:pStyle w:val="14"/>
              <w:snapToGrid w:val="0"/>
              <w:jc w:val="left"/>
            </w:pPr>
            <w:r>
              <w:t>按确认口径形成物料、能量、过程成本及偏差核算结果</w:t>
            </w:r>
          </w:p>
        </w:tc>
        <w:tc>
          <w:tcPr>
            <w:tcW w:w="2319" w:type="dxa"/>
            <w:vAlign w:val="center"/>
          </w:tcPr>
          <w:p w14:paraId="0DC9F9DB">
            <w:pPr>
              <w:pStyle w:val="14"/>
              <w:snapToGrid w:val="0"/>
              <w:jc w:val="left"/>
            </w:pPr>
            <w:r>
              <w:t>核算规则、结果及核对记录</w:t>
            </w:r>
          </w:p>
        </w:tc>
      </w:tr>
      <w:tr w14:paraId="41E7B2A3">
        <w:trPr>
          <w:cantSplit/>
        </w:trPr>
        <w:tc>
          <w:tcPr>
            <w:tcW w:w="2016" w:type="dxa"/>
            <w:vAlign w:val="center"/>
          </w:tcPr>
          <w:p w14:paraId="6962B6E8">
            <w:pPr>
              <w:pStyle w:val="14"/>
              <w:snapToGrid w:val="0"/>
              <w:jc w:val="center"/>
            </w:pPr>
            <w:r>
              <w:t>数据使用与变化管理</w:t>
            </w:r>
          </w:p>
        </w:tc>
        <w:tc>
          <w:tcPr>
            <w:tcW w:w="4737" w:type="dxa"/>
            <w:vAlign w:val="center"/>
          </w:tcPr>
          <w:p w14:paraId="305EAEC2">
            <w:pPr>
              <w:pStyle w:val="14"/>
              <w:snapToGrid w:val="0"/>
              <w:jc w:val="left"/>
            </w:pPr>
            <w:r>
              <w:t>记录场景使用关系，识别数据、指标和版本变化的影响</w:t>
            </w:r>
          </w:p>
        </w:tc>
        <w:tc>
          <w:tcPr>
            <w:tcW w:w="2319" w:type="dxa"/>
            <w:vAlign w:val="center"/>
          </w:tcPr>
          <w:p w14:paraId="589672B9">
            <w:pPr>
              <w:pStyle w:val="14"/>
              <w:snapToGrid w:val="0"/>
              <w:jc w:val="left"/>
            </w:pPr>
            <w:r>
              <w:t>使用关系与变化影响记录</w:t>
            </w:r>
          </w:p>
        </w:tc>
      </w:tr>
      <w:tr w14:paraId="7896E49D">
        <w:trPr>
          <w:cantSplit/>
        </w:trPr>
        <w:tc>
          <w:tcPr>
            <w:tcW w:w="2016" w:type="dxa"/>
            <w:vAlign w:val="center"/>
          </w:tcPr>
          <w:p w14:paraId="56FEDFE9">
            <w:pPr>
              <w:pStyle w:val="14"/>
              <w:snapToGrid w:val="0"/>
              <w:jc w:val="center"/>
            </w:pPr>
            <w:r>
              <w:t>治理运行与移交</w:t>
            </w:r>
          </w:p>
        </w:tc>
        <w:tc>
          <w:tcPr>
            <w:tcW w:w="4737" w:type="dxa"/>
            <w:vAlign w:val="center"/>
          </w:tcPr>
          <w:p w14:paraId="1B52EFA7">
            <w:pPr>
              <w:pStyle w:val="14"/>
              <w:snapToGrid w:val="0"/>
              <w:jc w:val="left"/>
            </w:pPr>
            <w:r>
              <w:t>受理需求及问题，维护资产、口径和数据成果，开展培训演练</w:t>
            </w:r>
          </w:p>
        </w:tc>
        <w:tc>
          <w:tcPr>
            <w:tcW w:w="2319" w:type="dxa"/>
            <w:vAlign w:val="center"/>
          </w:tcPr>
          <w:p w14:paraId="7108FB68">
            <w:pPr>
              <w:pStyle w:val="14"/>
              <w:snapToGrid w:val="0"/>
              <w:jc w:val="left"/>
            </w:pPr>
            <w:r>
              <w:t>运行规程及移交记录</w:t>
            </w:r>
          </w:p>
        </w:tc>
      </w:tr>
    </w:tbl>
    <w:p w14:paraId="758B4D53">
      <w:pPr>
        <w:pStyle w:val="12"/>
        <w:snapToGrid w:val="0"/>
        <w:spacing w:after="25"/>
      </w:pPr>
    </w:p>
    <w:p w14:paraId="720003C7">
      <w:pPr>
        <w:ind w:firstLineChars="200"/>
        <w:rPr>
          <w:rFonts w:ascii="宋体" w:hAnsi="宋体" w:eastAsia="宋体"/>
          <w:b w:val="0"/>
          <w:color w:val="auto"/>
        </w:rPr>
      </w:pPr>
      <w:r>
        <w:rPr>
          <w:rFonts w:ascii="宋体" w:hAnsi="宋体" w:eastAsia="宋体"/>
          <w:b w:val="0"/>
          <w:color w:val="auto"/>
        </w:rPr>
        <w:t>逐场景建立需求与资产对应，记录业务用途、对象、数据来源、更新节奏、可见范围以及已具备、需治理或缺失状态。统一设备、测点、物料、批次、位置、组织和人员的标准名称与编码映射，维护测点及监测类型受控字典。</w:t>
      </w:r>
    </w:p>
    <w:p w14:paraId="720003C8">
      <w:pPr>
        <w:ind w:firstLineChars="200"/>
        <w:rPr>
          <w:rFonts w:ascii="宋体" w:hAnsi="宋体" w:eastAsia="宋体"/>
          <w:b w:val="0"/>
          <w:color w:val="auto"/>
        </w:rPr>
      </w:pPr>
      <w:r>
        <w:rPr>
          <w:rFonts w:ascii="宋体" w:hAnsi="宋体" w:eastAsia="宋体"/>
          <w:b w:val="0"/>
          <w:color w:val="auto"/>
        </w:rPr>
        <w:t>指标与判定基准记录业务定义、构成、单位、统计周期、适用对象、工况、来源和版本，覆盖额定参数、报警联锁阈值、质量规格、允许范围、损失率、设计热耗及过程成本口径。数据质量按完整性、准确性、一致性和时效性检查，问题形成发现、反馈、处置与复核记录。</w:t>
      </w:r>
    </w:p>
    <w:p w14:paraId="720003C9">
      <w:pPr>
        <w:ind w:firstLineChars="200"/>
        <w:rPr>
          <w:rFonts w:ascii="宋体" w:hAnsi="宋体" w:eastAsia="宋体"/>
          <w:b w:val="0"/>
          <w:color w:val="auto"/>
        </w:rPr>
      </w:pPr>
      <w:r>
        <w:rPr>
          <w:rFonts w:ascii="宋体" w:hAnsi="宋体" w:eastAsia="宋体"/>
          <w:b w:val="0"/>
          <w:color w:val="auto"/>
        </w:rPr>
        <w:t>资产目录同步维护来源、业务含义、口径、分级分类、质量状态和时效状态。数据使用范围、权限依据、延迟及变化影响进入使用约定，为各场景判断数据可用性和分析范围提供依据。</w:t>
      </w:r>
    </w:p>
    <w:p w14:paraId="1F244A0C">
      <w:pPr>
        <w:pStyle w:val="4"/>
        <w:snapToGrid w:val="0"/>
      </w:pPr>
      <w:bookmarkStart w:id="104" w:name="s5_6_2"/>
      <w:r>
        <w:rPr>
          <w:rFonts w:ascii="黑体" w:hAnsi="黑体" w:eastAsia="黑体" w:cs="黑体"/>
          <w:b/>
          <w:color w:val="000000"/>
        </w:rPr>
        <w:t>5.6.2　场景数据准备与核算成果</w:t>
      </w:r>
      <w:bookmarkEnd w:id="104"/>
    </w:p>
    <w:p w14:paraId="05197800">
      <w:pPr>
        <w:ind w:firstLineChars="200"/>
        <w:rPr>
          <w:rFonts w:ascii="宋体" w:hAnsi="宋体" w:eastAsia="宋体"/>
          <w:b w:val="0"/>
          <w:color w:val="auto"/>
        </w:rPr>
      </w:pPr>
      <w:r>
        <w:rPr>
          <w:rFonts w:ascii="宋体" w:hAnsi="宋体" w:eastAsia="宋体"/>
          <w:b w:val="0"/>
          <w:color w:val="auto"/>
        </w:rPr>
        <w:t>质量追溯按原料批、中间批和成品批串联检验、工艺、设备、库存及发运信息；平衡和成本分析按工序、时间与计量范围组织数据；设备和能耗分析关联设备、测点、工况与责任岗位。实时物料平衡与实时能量平衡根因分析依据已确认的动态时间切片及计算规则使用实时数据形成偏差并开展核证，见5.3.2.1和5.3.2.2；工序物料衡算和工序能量衡算按业务统计周期组织核算、报告及趋势分析，见5.3.2.4和5.3.2.5。</w:t>
      </w:r>
    </w:p>
    <w:p w14:paraId="0CF99C19">
      <w:pPr>
        <w:pStyle w:val="15"/>
        <w:snapToGrid w:val="0"/>
        <w:jc w:val="center"/>
      </w:pPr>
      <w:r>
        <w:t>表5-26　场景数据准备与核验</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250"/>
        <w:gridCol w:w="2700"/>
        <w:gridCol w:w="2200"/>
        <w:gridCol w:w="2922"/>
      </w:tblGrid>
      <w:tr w14:paraId="7931630D">
        <w:trPr>
          <w:cantSplit/>
          <w:tblHeader/>
        </w:trPr>
        <w:tc>
          <w:tcPr>
            <w:tcW w:w="1250" w:type="dxa"/>
            <w:vAlign w:val="center"/>
          </w:tcPr>
          <w:p w14:paraId="25184513">
            <w:pPr>
              <w:pStyle w:val="14"/>
              <w:snapToGrid w:val="0"/>
              <w:jc w:val="center"/>
            </w:pPr>
            <w:r>
              <w:rPr>
                <w:b/>
              </w:rPr>
              <w:t>准备事项</w:t>
            </w:r>
          </w:p>
        </w:tc>
        <w:tc>
          <w:tcPr>
            <w:tcW w:w="2700" w:type="dxa"/>
            <w:vAlign w:val="center"/>
          </w:tcPr>
          <w:p w14:paraId="6A525C50">
            <w:pPr>
              <w:pStyle w:val="14"/>
              <w:snapToGrid w:val="0"/>
              <w:jc w:val="center"/>
            </w:pPr>
            <w:r>
              <w:rPr>
                <w:b/>
              </w:rPr>
              <w:t>核验内容</w:t>
            </w:r>
          </w:p>
        </w:tc>
        <w:tc>
          <w:tcPr>
            <w:tcW w:w="2200" w:type="dxa"/>
            <w:vAlign w:val="center"/>
          </w:tcPr>
          <w:p w14:paraId="23F91C5B">
            <w:pPr>
              <w:pStyle w:val="14"/>
              <w:snapToGrid w:val="0"/>
              <w:jc w:val="center"/>
            </w:pPr>
            <w:r>
              <w:rPr>
                <w:b/>
              </w:rPr>
              <w:t>验证方式</w:t>
            </w:r>
          </w:p>
        </w:tc>
        <w:tc>
          <w:tcPr>
            <w:tcW w:w="2922" w:type="dxa"/>
            <w:vAlign w:val="center"/>
          </w:tcPr>
          <w:p w14:paraId="4999C9D4">
            <w:pPr>
              <w:pStyle w:val="14"/>
              <w:snapToGrid w:val="0"/>
              <w:jc w:val="center"/>
            </w:pPr>
            <w:r>
              <w:rPr>
                <w:b/>
              </w:rPr>
              <w:t>通过条件</w:t>
            </w:r>
          </w:p>
        </w:tc>
      </w:tr>
      <w:tr w14:paraId="3FFB929D">
        <w:trPr>
          <w:cantSplit/>
        </w:trPr>
        <w:tc>
          <w:tcPr>
            <w:tcW w:w="1250" w:type="dxa"/>
            <w:vAlign w:val="center"/>
          </w:tcPr>
          <w:p w14:paraId="5C0114C1">
            <w:pPr>
              <w:pStyle w:val="14"/>
              <w:snapToGrid w:val="0"/>
              <w:jc w:val="center"/>
            </w:pPr>
            <w:r>
              <w:t>对象及口径</w:t>
            </w:r>
          </w:p>
        </w:tc>
        <w:tc>
          <w:tcPr>
            <w:tcW w:w="2700" w:type="dxa"/>
            <w:vAlign w:val="center"/>
          </w:tcPr>
          <w:p w14:paraId="6C7F49D8">
            <w:pPr>
              <w:pStyle w:val="14"/>
              <w:snapToGrid w:val="0"/>
              <w:jc w:val="left"/>
            </w:pPr>
            <w:r>
              <w:t>编码映射、指标含义、单位、时间与基准一致</w:t>
            </w:r>
          </w:p>
        </w:tc>
        <w:tc>
          <w:tcPr>
            <w:tcW w:w="2200" w:type="dxa"/>
            <w:vAlign w:val="center"/>
          </w:tcPr>
          <w:p w14:paraId="72A37BEC">
            <w:pPr>
              <w:pStyle w:val="14"/>
              <w:snapToGrid w:val="0"/>
              <w:jc w:val="left"/>
            </w:pPr>
            <w:r>
              <w:t>选取典型对象逐项核对</w:t>
            </w:r>
          </w:p>
        </w:tc>
        <w:tc>
          <w:tcPr>
            <w:tcW w:w="2922" w:type="dxa"/>
            <w:vAlign w:val="center"/>
          </w:tcPr>
          <w:p w14:paraId="6800E1E4">
            <w:pPr>
              <w:pStyle w:val="14"/>
              <w:snapToGrid w:val="0"/>
              <w:jc w:val="left"/>
            </w:pPr>
            <w:r>
              <w:t>对象唯一，权威来源明确，指标及基准经业务确认</w:t>
            </w:r>
          </w:p>
        </w:tc>
      </w:tr>
      <w:tr w14:paraId="1296DDEB">
        <w:trPr>
          <w:cantSplit/>
        </w:trPr>
        <w:tc>
          <w:tcPr>
            <w:tcW w:w="1250" w:type="dxa"/>
            <w:vAlign w:val="center"/>
          </w:tcPr>
          <w:p w14:paraId="0FBA0AD0">
            <w:pPr>
              <w:pStyle w:val="14"/>
              <w:snapToGrid w:val="0"/>
              <w:jc w:val="center"/>
            </w:pPr>
            <w:r>
              <w:t>业务链路</w:t>
            </w:r>
          </w:p>
        </w:tc>
        <w:tc>
          <w:tcPr>
            <w:tcW w:w="2700" w:type="dxa"/>
            <w:vAlign w:val="center"/>
          </w:tcPr>
          <w:p w14:paraId="07B709E3">
            <w:pPr>
              <w:pStyle w:val="14"/>
              <w:snapToGrid w:val="0"/>
              <w:jc w:val="left"/>
            </w:pPr>
            <w:r>
              <w:t>批次、工单、工序、设备及事件能够关联</w:t>
            </w:r>
          </w:p>
        </w:tc>
        <w:tc>
          <w:tcPr>
            <w:tcW w:w="2200" w:type="dxa"/>
            <w:vAlign w:val="center"/>
          </w:tcPr>
          <w:p w14:paraId="41935E08">
            <w:pPr>
              <w:pStyle w:val="14"/>
              <w:snapToGrid w:val="0"/>
              <w:jc w:val="left"/>
            </w:pPr>
            <w:r>
              <w:t>用真实业务案例走查</w:t>
            </w:r>
          </w:p>
        </w:tc>
        <w:tc>
          <w:tcPr>
            <w:tcW w:w="2922" w:type="dxa"/>
            <w:vAlign w:val="center"/>
          </w:tcPr>
          <w:p w14:paraId="42128707">
            <w:pPr>
              <w:pStyle w:val="14"/>
              <w:snapToGrid w:val="0"/>
              <w:jc w:val="left"/>
            </w:pPr>
            <w:r>
              <w:t>场景所需主线贯通，证据可追溯至来源记录</w:t>
            </w:r>
          </w:p>
        </w:tc>
      </w:tr>
      <w:tr w14:paraId="7044E665">
        <w:trPr>
          <w:cantSplit/>
        </w:trPr>
        <w:tc>
          <w:tcPr>
            <w:tcW w:w="1250" w:type="dxa"/>
            <w:vAlign w:val="center"/>
          </w:tcPr>
          <w:p w14:paraId="679D9529">
            <w:pPr>
              <w:pStyle w:val="14"/>
              <w:snapToGrid w:val="0"/>
              <w:jc w:val="center"/>
            </w:pPr>
            <w:r>
              <w:t>质量与时效</w:t>
            </w:r>
          </w:p>
        </w:tc>
        <w:tc>
          <w:tcPr>
            <w:tcW w:w="2700" w:type="dxa"/>
            <w:vAlign w:val="center"/>
          </w:tcPr>
          <w:p w14:paraId="7EE184A7">
            <w:pPr>
              <w:pStyle w:val="14"/>
              <w:snapToGrid w:val="0"/>
              <w:jc w:val="left"/>
            </w:pPr>
            <w:r>
              <w:t>缺失、异常、一致性及更新时效符合场景要求</w:t>
            </w:r>
          </w:p>
        </w:tc>
        <w:tc>
          <w:tcPr>
            <w:tcW w:w="2200" w:type="dxa"/>
            <w:vAlign w:val="center"/>
          </w:tcPr>
          <w:p w14:paraId="6A0B904B">
            <w:pPr>
              <w:pStyle w:val="14"/>
              <w:snapToGrid w:val="0"/>
              <w:jc w:val="left"/>
            </w:pPr>
            <w:r>
              <w:t>检查质量记录及数据更新</w:t>
            </w:r>
          </w:p>
        </w:tc>
        <w:tc>
          <w:tcPr>
            <w:tcW w:w="2922" w:type="dxa"/>
            <w:vAlign w:val="center"/>
          </w:tcPr>
          <w:p w14:paraId="504711F5">
            <w:pPr>
              <w:pStyle w:val="14"/>
              <w:snapToGrid w:val="0"/>
              <w:jc w:val="left"/>
            </w:pPr>
            <w:r>
              <w:t>关键质量与时效合格，影响判断的关键问题已处理并复核</w:t>
            </w:r>
          </w:p>
        </w:tc>
      </w:tr>
      <w:tr w14:paraId="30C3C1C4">
        <w:trPr>
          <w:cantSplit/>
        </w:trPr>
        <w:tc>
          <w:tcPr>
            <w:tcW w:w="1250" w:type="dxa"/>
            <w:vAlign w:val="center"/>
          </w:tcPr>
          <w:p w14:paraId="79D4817E">
            <w:pPr>
              <w:pStyle w:val="14"/>
              <w:snapToGrid w:val="0"/>
              <w:jc w:val="center"/>
            </w:pPr>
            <w:r>
              <w:t>核算结果</w:t>
            </w:r>
          </w:p>
        </w:tc>
        <w:tc>
          <w:tcPr>
            <w:tcW w:w="2700" w:type="dxa"/>
            <w:vAlign w:val="center"/>
          </w:tcPr>
          <w:p w14:paraId="5C1FAE16">
            <w:pPr>
              <w:pStyle w:val="14"/>
              <w:snapToGrid w:val="0"/>
              <w:jc w:val="left"/>
            </w:pPr>
            <w:r>
              <w:t>同一输入和口径可重复得到一致结果</w:t>
            </w:r>
          </w:p>
        </w:tc>
        <w:tc>
          <w:tcPr>
            <w:tcW w:w="2200" w:type="dxa"/>
            <w:vAlign w:val="center"/>
          </w:tcPr>
          <w:p w14:paraId="222D0CF7">
            <w:pPr>
              <w:pStyle w:val="14"/>
              <w:snapToGrid w:val="0"/>
              <w:jc w:val="left"/>
            </w:pPr>
            <w:r>
              <w:t>与确认的核算样本对照</w:t>
            </w:r>
          </w:p>
        </w:tc>
        <w:tc>
          <w:tcPr>
            <w:tcW w:w="2922" w:type="dxa"/>
            <w:vAlign w:val="center"/>
          </w:tcPr>
          <w:p w14:paraId="1DB1F781">
            <w:pPr>
              <w:pStyle w:val="14"/>
              <w:snapToGrid w:val="0"/>
              <w:jc w:val="left"/>
            </w:pPr>
            <w:r>
              <w:t>核算规则确认，样本对照及真实案例验证通过</w:t>
            </w:r>
          </w:p>
        </w:tc>
      </w:tr>
      <w:tr w14:paraId="2551CCA5">
        <w:trPr>
          <w:cantSplit/>
        </w:trPr>
        <w:tc>
          <w:tcPr>
            <w:tcW w:w="1250" w:type="dxa"/>
            <w:vAlign w:val="center"/>
          </w:tcPr>
          <w:p w14:paraId="6D8337D7">
            <w:pPr>
              <w:pStyle w:val="14"/>
              <w:snapToGrid w:val="0"/>
              <w:jc w:val="center"/>
            </w:pPr>
            <w:r>
              <w:t>权限与使用</w:t>
            </w:r>
          </w:p>
        </w:tc>
        <w:tc>
          <w:tcPr>
            <w:tcW w:w="2700" w:type="dxa"/>
            <w:vAlign w:val="center"/>
          </w:tcPr>
          <w:p w14:paraId="0EC0A655">
            <w:pPr>
              <w:pStyle w:val="14"/>
              <w:snapToGrid w:val="0"/>
              <w:jc w:val="left"/>
            </w:pPr>
            <w:r>
              <w:t>用户身份、取数授权及报告使用关系一致</w:t>
            </w:r>
          </w:p>
        </w:tc>
        <w:tc>
          <w:tcPr>
            <w:tcW w:w="2200" w:type="dxa"/>
            <w:vAlign w:val="center"/>
          </w:tcPr>
          <w:p w14:paraId="1C73296C">
            <w:pPr>
              <w:pStyle w:val="14"/>
              <w:snapToGrid w:val="0"/>
              <w:jc w:val="left"/>
            </w:pPr>
            <w:r>
              <w:t>按角色验证查询、推送和导出</w:t>
            </w:r>
          </w:p>
        </w:tc>
        <w:tc>
          <w:tcPr>
            <w:tcW w:w="2922" w:type="dxa"/>
            <w:vAlign w:val="center"/>
          </w:tcPr>
          <w:p w14:paraId="2D5D9CC5">
            <w:pPr>
              <w:pStyle w:val="14"/>
              <w:snapToGrid w:val="0"/>
              <w:jc w:val="left"/>
            </w:pPr>
            <w:r>
              <w:t>角色及数据域、表、行授权已确认同步，最终取数校验通过</w:t>
            </w:r>
          </w:p>
        </w:tc>
      </w:tr>
    </w:tbl>
    <w:p w14:paraId="310FDB93">
      <w:pPr>
        <w:pStyle w:val="12"/>
        <w:snapToGrid w:val="0"/>
        <w:spacing w:after="25"/>
      </w:pPr>
    </w:p>
    <w:p w14:paraId="02B083AC">
      <w:pPr>
        <w:pStyle w:val="4"/>
        <w:snapToGrid w:val="0"/>
      </w:pPr>
      <w:bookmarkStart w:id="105" w:name="s5_6_3"/>
      <w:r>
        <w:rPr>
          <w:rFonts w:ascii="黑体" w:hAnsi="黑体" w:eastAsia="黑体" w:cs="黑体"/>
          <w:b/>
          <w:color w:val="000000"/>
        </w:rPr>
        <w:t>5.6.3　数据成果确认与运行移交</w:t>
      </w:r>
      <w:bookmarkEnd w:id="105"/>
    </w:p>
    <w:p w14:paraId="28B453AE">
      <w:pPr>
        <w:ind w:firstLineChars="200"/>
        <w:rPr>
          <w:rFonts w:ascii="宋体" w:hAnsi="宋体" w:eastAsia="宋体"/>
          <w:b w:val="0"/>
          <w:color w:val="auto"/>
        </w:rPr>
      </w:pPr>
      <w:r>
        <w:rPr>
          <w:rFonts w:ascii="宋体" w:hAnsi="宋体" w:eastAsia="宋体"/>
          <w:b w:val="0"/>
          <w:color w:val="auto"/>
        </w:rPr>
        <w:t>场景数据按可用、待治理或缺失标记准备状态。5.6.2各项条件满足、关键问题完成处理复核，且真实业务案例与关联回归验证通过后，记录业务确认与放行结果并进入正式应用。数据管理员维护资产、指标、编码和质量记录；数据或知识变化时识别关联场景并组织复核。交接培训通过一次完整的问题发现、处理、复核、成果更新和场景验证演练，检验日常维护能力。</w:t>
      </w:r>
    </w:p>
    <w:p w14:paraId="720003CA">
      <w:pPr>
        <w:ind w:firstLineChars="200"/>
        <w:rPr>
          <w:rFonts w:ascii="宋体" w:hAnsi="宋体" w:eastAsia="宋体"/>
          <w:b w:val="0"/>
          <w:color w:val="auto"/>
        </w:rPr>
      </w:pPr>
      <w:r>
        <w:rPr>
          <w:rFonts w:ascii="宋体" w:hAnsi="宋体" w:eastAsia="宋体"/>
          <w:b w:val="0"/>
          <w:color w:val="auto"/>
        </w:rPr>
        <w:t>场景上线同步核对需求与来源、对象编码、口径和判定基准、质量及时效、授权、跨系统业务链路和确定性计算规则，并以真实批次或典型案例验证。缺失或未确认条件进入问题清单，记录限制范围、处置及复核结果。</w:t>
      </w:r>
    </w:p>
    <w:p w14:paraId="720003CB">
      <w:pPr>
        <w:ind w:firstLineChars="200"/>
        <w:rPr>
          <w:rFonts w:ascii="宋体" w:hAnsi="宋体" w:eastAsia="宋体"/>
          <w:b w:val="0"/>
          <w:color w:val="auto"/>
        </w:rPr>
      </w:pPr>
      <w:r>
        <w:rPr>
          <w:rFonts w:ascii="宋体" w:hAnsi="宋体" w:eastAsia="宋体"/>
          <w:b w:val="0"/>
          <w:color w:val="auto"/>
        </w:rPr>
        <w:t>运行期新增需求、对象或指标变化、权限调整、质量问题和数据延迟进入统一台账，更新治理成果并验证受影响场景。移交包含运行规程、变化与问题记录、培训及演练，使数据管理人员能够完成问题发现、分派、处理、复核、成果更新和场景复验的完整流程。</w:t>
      </w:r>
    </w:p>
    <w:p w14:paraId="5223EE2E">
      <w:pPr>
        <w:pStyle w:val="3"/>
        <w:snapToGrid w:val="0"/>
      </w:pPr>
      <w:bookmarkStart w:id="106" w:name="s5_7"/>
      <w:r>
        <w:rPr>
          <w:rFonts w:ascii="黑体" w:hAnsi="黑体" w:eastAsia="黑体" w:cs="黑体"/>
          <w:b/>
          <w:color w:val="000000"/>
        </w:rPr>
        <w:t>5.7　主智能体与场景能力协同</w:t>
      </w:r>
      <w:bookmarkEnd w:id="106"/>
    </w:p>
    <w:p w14:paraId="10C36867">
      <w:pPr>
        <w:pStyle w:val="15"/>
        <w:snapToGrid w:val="0"/>
        <w:jc w:val="center"/>
      </w:pPr>
      <w:r>
        <w:t>表5-27　主智能体与场景协同</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1814"/>
        <w:gridCol w:w="4737"/>
        <w:gridCol w:w="2521"/>
      </w:tblGrid>
      <w:tr w14:paraId="35734ACB">
        <w:trPr>
          <w:cantSplit/>
          <w:tblHeader/>
        </w:trPr>
        <w:tc>
          <w:tcPr>
            <w:tcW w:w="1814" w:type="dxa"/>
            <w:vAlign w:val="center"/>
          </w:tcPr>
          <w:p w14:paraId="37C8D184">
            <w:pPr>
              <w:pStyle w:val="14"/>
              <w:snapToGrid w:val="0"/>
              <w:jc w:val="center"/>
            </w:pPr>
            <w:r>
              <w:rPr>
                <w:b/>
              </w:rPr>
              <w:t>协同过程</w:t>
            </w:r>
          </w:p>
        </w:tc>
        <w:tc>
          <w:tcPr>
            <w:tcW w:w="4737" w:type="dxa"/>
            <w:vAlign w:val="center"/>
          </w:tcPr>
          <w:p w14:paraId="7CEB49B7">
            <w:pPr>
              <w:pStyle w:val="14"/>
              <w:snapToGrid w:val="0"/>
              <w:jc w:val="center"/>
            </w:pPr>
            <w:r>
              <w:rPr>
                <w:b/>
              </w:rPr>
              <w:t>业务动作</w:t>
            </w:r>
          </w:p>
        </w:tc>
        <w:tc>
          <w:tcPr>
            <w:tcW w:w="2521" w:type="dxa"/>
            <w:vAlign w:val="center"/>
          </w:tcPr>
          <w:p w14:paraId="7B6BE855">
            <w:pPr>
              <w:pStyle w:val="14"/>
              <w:snapToGrid w:val="0"/>
              <w:jc w:val="center"/>
            </w:pPr>
            <w:r>
              <w:rPr>
                <w:b/>
              </w:rPr>
              <w:t>返回内容</w:t>
            </w:r>
          </w:p>
        </w:tc>
      </w:tr>
      <w:tr w14:paraId="6656A9C1">
        <w:trPr>
          <w:cantSplit/>
        </w:trPr>
        <w:tc>
          <w:tcPr>
            <w:tcW w:w="1814" w:type="dxa"/>
            <w:vAlign w:val="center"/>
          </w:tcPr>
          <w:p w14:paraId="598513C6">
            <w:pPr>
              <w:pStyle w:val="14"/>
              <w:snapToGrid w:val="0"/>
              <w:jc w:val="center"/>
            </w:pPr>
            <w:r>
              <w:t>理解与分派</w:t>
            </w:r>
          </w:p>
        </w:tc>
        <w:tc>
          <w:tcPr>
            <w:tcW w:w="4737" w:type="dxa"/>
            <w:vAlign w:val="center"/>
          </w:tcPr>
          <w:p w14:paraId="4FEE315E">
            <w:pPr>
              <w:pStyle w:val="14"/>
              <w:snapToGrid w:val="0"/>
              <w:jc w:val="left"/>
            </w:pPr>
            <w:r>
              <w:t>确认对象及问题，匹配能力，拆解任务和依赖</w:t>
            </w:r>
          </w:p>
        </w:tc>
        <w:tc>
          <w:tcPr>
            <w:tcW w:w="2521" w:type="dxa"/>
            <w:vAlign w:val="center"/>
          </w:tcPr>
          <w:p w14:paraId="2D5F13C8">
            <w:pPr>
              <w:pStyle w:val="14"/>
              <w:snapToGrid w:val="0"/>
              <w:jc w:val="left"/>
            </w:pPr>
            <w:r>
              <w:t>场景任务与查询条件</w:t>
            </w:r>
          </w:p>
        </w:tc>
      </w:tr>
      <w:tr w14:paraId="099B51B3">
        <w:trPr>
          <w:cantSplit/>
        </w:trPr>
        <w:tc>
          <w:tcPr>
            <w:tcW w:w="1814" w:type="dxa"/>
            <w:vAlign w:val="center"/>
          </w:tcPr>
          <w:p w14:paraId="5E87004C">
            <w:pPr>
              <w:pStyle w:val="14"/>
              <w:snapToGrid w:val="0"/>
              <w:jc w:val="center"/>
            </w:pPr>
            <w:r>
              <w:t>场景执行</w:t>
            </w:r>
          </w:p>
        </w:tc>
        <w:tc>
          <w:tcPr>
            <w:tcW w:w="4737" w:type="dxa"/>
            <w:vAlign w:val="center"/>
          </w:tcPr>
          <w:p w14:paraId="4D04A457">
            <w:pPr>
              <w:pStyle w:val="14"/>
              <w:snapToGrid w:val="0"/>
              <w:jc w:val="left"/>
            </w:pPr>
            <w:r>
              <w:t>调用数据、知识和专业模型，完成核算、分析或诊断</w:t>
            </w:r>
          </w:p>
        </w:tc>
        <w:tc>
          <w:tcPr>
            <w:tcW w:w="2521" w:type="dxa"/>
            <w:vAlign w:val="center"/>
          </w:tcPr>
          <w:p w14:paraId="513DC077">
            <w:pPr>
              <w:pStyle w:val="14"/>
              <w:snapToGrid w:val="0"/>
              <w:jc w:val="left"/>
            </w:pPr>
            <w:r>
              <w:t>结果、来源、状态及证据</w:t>
            </w:r>
          </w:p>
        </w:tc>
      </w:tr>
      <w:tr w14:paraId="184A2F78">
        <w:trPr>
          <w:cantSplit/>
        </w:trPr>
        <w:tc>
          <w:tcPr>
            <w:tcW w:w="1814" w:type="dxa"/>
            <w:vAlign w:val="center"/>
          </w:tcPr>
          <w:p w14:paraId="3E43C6F7">
            <w:pPr>
              <w:pStyle w:val="14"/>
              <w:snapToGrid w:val="0"/>
              <w:jc w:val="center"/>
            </w:pPr>
            <w:r>
              <w:t>汇总与展示</w:t>
            </w:r>
          </w:p>
        </w:tc>
        <w:tc>
          <w:tcPr>
            <w:tcW w:w="4737" w:type="dxa"/>
            <w:vAlign w:val="center"/>
          </w:tcPr>
          <w:p w14:paraId="726281C9">
            <w:pPr>
              <w:pStyle w:val="14"/>
              <w:snapToGrid w:val="0"/>
              <w:jc w:val="left"/>
            </w:pPr>
            <w:r>
              <w:t>统一结果口径，按角色呈现完整回答与专业结果</w:t>
            </w:r>
          </w:p>
        </w:tc>
        <w:tc>
          <w:tcPr>
            <w:tcW w:w="2521" w:type="dxa"/>
            <w:vAlign w:val="center"/>
          </w:tcPr>
          <w:p w14:paraId="01DB2DC4">
            <w:pPr>
              <w:pStyle w:val="14"/>
              <w:snapToGrid w:val="0"/>
              <w:jc w:val="left"/>
            </w:pPr>
            <w:r>
              <w:t>回答、报告、建议或事件卡</w:t>
            </w:r>
          </w:p>
        </w:tc>
      </w:tr>
      <w:tr w14:paraId="1F60F785">
        <w:trPr>
          <w:cantSplit/>
        </w:trPr>
        <w:tc>
          <w:tcPr>
            <w:tcW w:w="1814" w:type="dxa"/>
            <w:vAlign w:val="center"/>
          </w:tcPr>
          <w:p w14:paraId="51BC80A9">
            <w:pPr>
              <w:pStyle w:val="14"/>
              <w:snapToGrid w:val="0"/>
              <w:jc w:val="center"/>
            </w:pPr>
            <w:r>
              <w:t>确认与反馈</w:t>
            </w:r>
          </w:p>
        </w:tc>
        <w:tc>
          <w:tcPr>
            <w:tcW w:w="4737" w:type="dxa"/>
            <w:vAlign w:val="center"/>
          </w:tcPr>
          <w:p w14:paraId="61610F07">
            <w:pPr>
              <w:pStyle w:val="14"/>
              <w:snapToGrid w:val="0"/>
              <w:jc w:val="left"/>
            </w:pPr>
            <w:r>
              <w:t>用户追问、确认处置、查看执行结果及提交反馈</w:t>
            </w:r>
          </w:p>
        </w:tc>
        <w:tc>
          <w:tcPr>
            <w:tcW w:w="2521" w:type="dxa"/>
            <w:vAlign w:val="center"/>
          </w:tcPr>
          <w:p w14:paraId="0C8BBACF">
            <w:pPr>
              <w:pStyle w:val="14"/>
              <w:snapToGrid w:val="0"/>
              <w:jc w:val="left"/>
            </w:pPr>
            <w:r>
              <w:t>会话、事件、案例与运营记录</w:t>
            </w:r>
          </w:p>
        </w:tc>
      </w:tr>
    </w:tbl>
    <w:p w14:paraId="53B42F4F">
      <w:pPr>
        <w:pStyle w:val="12"/>
        <w:snapToGrid w:val="0"/>
        <w:spacing w:after="25"/>
      </w:pPr>
    </w:p>
    <w:p w14:paraId="4819F8D1">
      <w:pPr>
        <w:pStyle w:val="3"/>
        <w:snapToGrid w:val="0"/>
      </w:pPr>
      <w:bookmarkStart w:id="107" w:name="s5_8"/>
      <w:r>
        <w:rPr>
          <w:rFonts w:ascii="黑体" w:hAnsi="黑体" w:eastAsia="黑体" w:cs="黑体"/>
          <w:b/>
          <w:color w:val="000000"/>
        </w:rPr>
        <w:t>5.8　平台能力扩充</w:t>
      </w:r>
      <w:bookmarkEnd w:id="107"/>
    </w:p>
    <w:p w14:paraId="66B7E91A">
      <w:pPr>
        <w:ind w:firstLineChars="200"/>
        <w:rPr>
          <w:rFonts w:ascii="宋体" w:hAnsi="宋体" w:eastAsia="宋体"/>
          <w:b w:val="0"/>
          <w:color w:val="auto"/>
        </w:rPr>
      </w:pPr>
      <w:r>
        <w:rPr>
          <w:rFonts w:ascii="宋体" w:hAnsi="宋体" w:eastAsia="宋体"/>
          <w:b w:val="0"/>
          <w:color w:val="auto"/>
        </w:rPr>
        <w:t>新增或调整场景时，维护能力说明、适用问题、数据知识需求、流程和输出形式，配置必要的查询、模型及事件规则，并建立典型验证用例。能力经过业务走查和关联场景回归验证后发布；停用或变更时同步更新能力地图、知识引用和用户入口，保留版本及处理记录。</w:t>
      </w:r>
    </w:p>
    <w:p w14:paraId="40C2684A">
      <w:pPr>
        <w:ind w:firstLineChars="200"/>
        <w:rPr>
          <w:rFonts w:ascii="宋体" w:hAnsi="宋体" w:eastAsia="宋体"/>
          <w:b w:val="0"/>
          <w:color w:val="auto"/>
        </w:rPr>
      </w:pPr>
      <w:r>
        <w:rPr>
          <w:rFonts w:ascii="宋体" w:hAnsi="宋体" w:eastAsia="宋体"/>
          <w:b w:val="0"/>
          <w:color w:val="auto"/>
        </w:rPr>
        <w:t>对尚未命中数据的问题，平台形成数据接入需求，衔接数据治理准备、查询模板配置与用例验证；完成后通知原提问人员。知识缺口、别名建议、用户负反馈和确认案例分别进入相应维护流程，保持问题到改进成果的关联。</w:t>
      </w:r>
    </w:p>
    <w:p w14:paraId="5D5452FC">
      <w:pPr>
        <w:pStyle w:val="2"/>
        <w:pageBreakBefore/>
        <w:snapToGrid w:val="0"/>
      </w:pPr>
      <w:bookmarkStart w:id="108" w:name="s6"/>
      <w:r>
        <w:rPr>
          <w:rFonts w:ascii="黑体" w:hAnsi="黑体" w:eastAsia="黑体" w:cs="黑体"/>
          <w:b/>
          <w:color w:val="000000"/>
        </w:rPr>
        <w:t>6　逻辑层：核心业务规则与研判逻辑</w:t>
      </w:r>
      <w:bookmarkEnd w:id="108"/>
    </w:p>
    <w:p w14:paraId="7A7216B2">
      <w:pPr>
        <w:ind w:firstLineChars="200"/>
        <w:rPr>
          <w:rFonts w:ascii="宋体" w:hAnsi="宋体" w:eastAsia="宋体"/>
          <w:b w:val="0"/>
          <w:color w:val="auto"/>
        </w:rPr>
      </w:pPr>
      <w:r>
        <w:rPr>
          <w:rFonts w:ascii="宋体" w:hAnsi="宋体" w:eastAsia="宋体"/>
          <w:b w:val="0"/>
          <w:color w:val="auto"/>
        </w:rPr>
        <w:t>业务规则统一管理数据口径、执行状态、证据、事件、方案确认、权限和知识变更。第三章按第五章场景顺序编排业务流程，流程编号采用P-ZLTC-AI加流程代号及101起的流水号，节点保留两位顺序编号。场景规则按首次实际适用的业务流程、节点及规则流水号编制，跨场景复用同一规则编号；独立公共规则保留R-GG序列，专业诊断规则保留原有规则结构。各节点按实际处理动作引用适用规则，本章记录具体判定与处理，并保持流程图、流程说明及规则引用一致。</w:t>
      </w:r>
    </w:p>
    <w:p w14:paraId="5EF47C7E">
      <w:pPr>
        <w:pStyle w:val="3"/>
        <w:snapToGrid w:val="0"/>
      </w:pPr>
      <w:bookmarkStart w:id="109" w:name="s6_1"/>
      <w:r>
        <w:rPr>
          <w:rFonts w:ascii="黑体" w:hAnsi="黑体" w:eastAsia="黑体" w:cs="黑体"/>
          <w:b/>
          <w:color w:val="000000"/>
        </w:rPr>
        <w:t>6.1　取数与口径规则</w:t>
      </w:r>
      <w:bookmarkEnd w:id="109"/>
    </w:p>
    <w:p w14:paraId="0C99B563">
      <w:pPr>
        <w:pStyle w:val="15"/>
        <w:snapToGrid w:val="0"/>
        <w:jc w:val="center"/>
      </w:pPr>
      <w:r>
        <w:t>表6-1　取数与口径规则</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016"/>
        <w:gridCol w:w="2116"/>
        <w:gridCol w:w="3326"/>
        <w:gridCol w:w="1614"/>
      </w:tblGrid>
      <w:tr w14:paraId="2F9D4C10">
        <w:trPr>
          <w:cantSplit/>
          <w:tblHeader/>
        </w:trPr>
        <w:tc>
          <w:tcPr>
            <w:tcW w:w="2016" w:type="dxa"/>
            <w:vAlign w:val="center"/>
          </w:tcPr>
          <w:p w14:paraId="51896947">
            <w:pPr>
              <w:pStyle w:val="14"/>
              <w:snapToGrid w:val="0"/>
              <w:jc w:val="center"/>
            </w:pPr>
            <w:r>
              <w:rPr>
                <w:b/>
              </w:rPr>
              <w:t>规则编号</w:t>
            </w:r>
          </w:p>
        </w:tc>
        <w:tc>
          <w:tcPr>
            <w:tcW w:w="2116" w:type="dxa"/>
            <w:vAlign w:val="center"/>
          </w:tcPr>
          <w:p w14:paraId="7F240F53">
            <w:pPr>
              <w:pStyle w:val="14"/>
              <w:snapToGrid w:val="0"/>
              <w:jc w:val="center"/>
            </w:pPr>
            <w:r>
              <w:rPr>
                <w:b/>
              </w:rPr>
              <w:t>规则事项及适用时点</w:t>
            </w:r>
          </w:p>
        </w:tc>
        <w:tc>
          <w:tcPr>
            <w:tcW w:w="3326" w:type="dxa"/>
            <w:vAlign w:val="center"/>
          </w:tcPr>
          <w:p w14:paraId="26C67B6F">
            <w:pPr>
              <w:pStyle w:val="14"/>
              <w:snapToGrid w:val="0"/>
              <w:jc w:val="center"/>
            </w:pPr>
            <w:r>
              <w:rPr>
                <w:b/>
              </w:rPr>
              <w:t>判定与处理</w:t>
            </w:r>
          </w:p>
        </w:tc>
        <w:tc>
          <w:tcPr>
            <w:tcW w:w="1614" w:type="dxa"/>
            <w:vAlign w:val="center"/>
          </w:tcPr>
          <w:p w14:paraId="5F8EF082">
            <w:pPr>
              <w:pStyle w:val="14"/>
              <w:snapToGrid w:val="0"/>
              <w:jc w:val="center"/>
            </w:pPr>
            <w:r>
              <w:rPr>
                <w:b/>
              </w:rPr>
              <w:t>输出记录</w:t>
            </w:r>
          </w:p>
        </w:tc>
      </w:tr>
      <w:tr w14:paraId="259AB63A">
        <w:trPr>
          <w:cantSplit/>
        </w:trPr>
        <w:tc>
          <w:tcPr>
            <w:tcW w:w="2016" w:type="dxa"/>
            <w:vAlign w:val="center"/>
          </w:tcPr>
          <w:p w14:paraId="1B2BE615">
            <w:pPr>
              <w:pStyle w:val="14"/>
              <w:snapToGrid w:val="0"/>
              <w:jc w:val="left"/>
            </w:pPr>
            <w:r>
              <w:t>P-ZLTC-AI-ZNWS-101-02-001</w:t>
            </w:r>
          </w:p>
        </w:tc>
        <w:tc>
          <w:tcPr>
            <w:tcW w:w="2116" w:type="dxa"/>
            <w:vAlign w:val="center"/>
          </w:tcPr>
          <w:p w14:paraId="561F59DC">
            <w:pPr>
              <w:pStyle w:val="14"/>
              <w:snapToGrid w:val="0"/>
              <w:jc w:val="left"/>
            </w:pPr>
            <w:r>
              <w:t>对象与时间一致</w:t>
            </w:r>
            <w:r>
              <w:br w:type="textWrapping"/>
            </w:r>
            <w:r>
              <w:t>查询及分析开始时</w:t>
            </w:r>
          </w:p>
        </w:tc>
        <w:tc>
          <w:tcPr>
            <w:tcW w:w="3326" w:type="dxa"/>
            <w:vAlign w:val="center"/>
          </w:tcPr>
          <w:p w14:paraId="78123D35">
            <w:pPr>
              <w:pStyle w:val="14"/>
              <w:snapToGrid w:val="0"/>
              <w:jc w:val="left"/>
            </w:pPr>
            <w:r>
              <w:t>确认唯一业务对象、统计时间与指标口径；跨系统数据按映射和统一单位关联。</w:t>
            </w:r>
          </w:p>
        </w:tc>
        <w:tc>
          <w:tcPr>
            <w:tcW w:w="1614" w:type="dxa"/>
            <w:vAlign w:val="center"/>
          </w:tcPr>
          <w:p w14:paraId="391F15D2">
            <w:pPr>
              <w:pStyle w:val="14"/>
              <w:snapToGrid w:val="0"/>
              <w:jc w:val="left"/>
            </w:pPr>
            <w:r>
              <w:t>对象、口径与来源记录</w:t>
            </w:r>
          </w:p>
        </w:tc>
      </w:tr>
      <w:tr w14:paraId="62AEA54A">
        <w:trPr>
          <w:cantSplit/>
        </w:trPr>
        <w:tc>
          <w:tcPr>
            <w:tcW w:w="2016" w:type="dxa"/>
            <w:vAlign w:val="center"/>
          </w:tcPr>
          <w:p w14:paraId="420BD2A2">
            <w:pPr>
              <w:pStyle w:val="14"/>
              <w:snapToGrid w:val="0"/>
              <w:jc w:val="left"/>
            </w:pPr>
            <w:r>
              <w:t>P-ZLTC-AI-ZNWS-101-08-002</w:t>
            </w:r>
          </w:p>
        </w:tc>
        <w:tc>
          <w:tcPr>
            <w:tcW w:w="2116" w:type="dxa"/>
            <w:vAlign w:val="center"/>
          </w:tcPr>
          <w:p w14:paraId="0BED63A7">
            <w:pPr>
              <w:pStyle w:val="14"/>
              <w:snapToGrid w:val="0"/>
              <w:jc w:val="left"/>
            </w:pPr>
            <w:r>
              <w:t>核定结果、程序核算与基准</w:t>
            </w:r>
            <w:r>
              <w:br w:type="textWrapping"/>
            </w:r>
            <w:r>
              <w:t>问数、衡算、比较、模拟或优化核验时</w:t>
            </w:r>
          </w:p>
        </w:tc>
        <w:tc>
          <w:tcPr>
            <w:tcW w:w="3326" w:type="dxa"/>
            <w:vAlign w:val="center"/>
          </w:tcPr>
          <w:p w14:paraId="5B1CA07F">
            <w:pPr>
              <w:pStyle w:val="14"/>
              <w:snapToGrid w:val="0"/>
              <w:jc w:val="left"/>
            </w:pPr>
            <w:r>
              <w:t>已有核定结果按同源读取；需核算时按已登记公式由程序处理统计、排序、聚合、切片及图表数值，保留公式、因子、来源和责任口径。联查权威基准并归一单位；阶段值标明未结算及截止时间，月度核定保留修订版本。无同期数据时说明原因，使用可用环比或设计值对照。</w:t>
            </w:r>
          </w:p>
        </w:tc>
        <w:tc>
          <w:tcPr>
            <w:tcW w:w="1614" w:type="dxa"/>
            <w:vAlign w:val="center"/>
          </w:tcPr>
          <w:p w14:paraId="22BE71B0">
            <w:pPr>
              <w:pStyle w:val="14"/>
              <w:snapToGrid w:val="0"/>
              <w:jc w:val="left"/>
            </w:pPr>
            <w:r>
              <w:t>核定或阶段结果、核算与基准对照</w:t>
            </w:r>
          </w:p>
        </w:tc>
      </w:tr>
      <w:tr w14:paraId="1CC77931">
        <w:trPr>
          <w:cantSplit/>
        </w:trPr>
        <w:tc>
          <w:tcPr>
            <w:tcW w:w="2016" w:type="dxa"/>
            <w:vAlign w:val="center"/>
          </w:tcPr>
          <w:p w14:paraId="3736612E">
            <w:pPr>
              <w:pStyle w:val="14"/>
              <w:snapToGrid w:val="0"/>
              <w:jc w:val="left"/>
            </w:pPr>
            <w:r>
              <w:t>P-ZLTC-AI-GXWLHS-105-02-001</w:t>
            </w:r>
          </w:p>
        </w:tc>
        <w:tc>
          <w:tcPr>
            <w:tcW w:w="2116" w:type="dxa"/>
            <w:vAlign w:val="center"/>
          </w:tcPr>
          <w:p w14:paraId="7FF6157A">
            <w:pPr>
              <w:pStyle w:val="14"/>
              <w:snapToGrid w:val="0"/>
              <w:jc w:val="left"/>
            </w:pPr>
            <w:r>
              <w:t>数据准入与运行核验</w:t>
            </w:r>
            <w:r>
              <w:br w:type="textWrapping"/>
            </w:r>
            <w:r>
              <w:t>场景发布、关键数据变化或运行校核时</w:t>
            </w:r>
          </w:p>
        </w:tc>
        <w:tc>
          <w:tcPr>
            <w:tcW w:w="3326" w:type="dxa"/>
            <w:vAlign w:val="center"/>
          </w:tcPr>
          <w:p w14:paraId="7A72EE5A">
            <w:pPr>
              <w:pStyle w:val="14"/>
              <w:snapToGrid w:val="0"/>
              <w:jc w:val="left"/>
            </w:pPr>
            <w:r>
              <w:t>首次发布或关键数据变化时，按5.6.2核对来源、对象口径、质量时效、授权同步、业务链路及核算，完成真实案例和关联回归后放行。日常运行沿用已确认的口径与授权，校核本次质量、时效和可用状态；影响判断的变化触发相应复核。</w:t>
            </w:r>
          </w:p>
        </w:tc>
        <w:tc>
          <w:tcPr>
            <w:tcW w:w="1614" w:type="dxa"/>
            <w:vAlign w:val="center"/>
          </w:tcPr>
          <w:p w14:paraId="48C4261C">
            <w:pPr>
              <w:pStyle w:val="14"/>
              <w:snapToGrid w:val="0"/>
              <w:jc w:val="left"/>
            </w:pPr>
            <w:r>
              <w:t>数据状态、运行核验及确认放行记录</w:t>
            </w:r>
          </w:p>
        </w:tc>
      </w:tr>
    </w:tbl>
    <w:p w14:paraId="040A78F9">
      <w:pPr>
        <w:pStyle w:val="12"/>
        <w:snapToGrid w:val="0"/>
        <w:spacing w:after="25"/>
      </w:pPr>
    </w:p>
    <w:p w14:paraId="64468373">
      <w:pPr>
        <w:pStyle w:val="3"/>
        <w:snapToGrid w:val="0"/>
      </w:pPr>
      <w:bookmarkStart w:id="110" w:name="s6_2"/>
      <w:r>
        <w:rPr>
          <w:rFonts w:ascii="黑体" w:hAnsi="黑体" w:eastAsia="黑体" w:cs="黑体"/>
          <w:b/>
          <w:color w:val="000000"/>
        </w:rPr>
        <w:t>6.2　执行状态与应答规则</w:t>
      </w:r>
      <w:bookmarkEnd w:id="110"/>
    </w:p>
    <w:p w14:paraId="5E7D6C6C">
      <w:pPr>
        <w:pStyle w:val="15"/>
        <w:snapToGrid w:val="0"/>
        <w:jc w:val="center"/>
      </w:pPr>
      <w:r>
        <w:t>表6-2　执行状态与应答规则</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016"/>
        <w:gridCol w:w="2116"/>
        <w:gridCol w:w="3326"/>
        <w:gridCol w:w="1614"/>
      </w:tblGrid>
      <w:tr w14:paraId="0B2CC04D">
        <w:trPr>
          <w:cantSplit/>
          <w:tblHeader/>
        </w:trPr>
        <w:tc>
          <w:tcPr>
            <w:tcW w:w="2016" w:type="dxa"/>
            <w:vAlign w:val="center"/>
          </w:tcPr>
          <w:p w14:paraId="36547234">
            <w:pPr>
              <w:pStyle w:val="14"/>
              <w:snapToGrid w:val="0"/>
              <w:jc w:val="center"/>
            </w:pPr>
            <w:r>
              <w:rPr>
                <w:b/>
              </w:rPr>
              <w:t>规则编号</w:t>
            </w:r>
          </w:p>
        </w:tc>
        <w:tc>
          <w:tcPr>
            <w:tcW w:w="2116" w:type="dxa"/>
            <w:vAlign w:val="center"/>
          </w:tcPr>
          <w:p w14:paraId="3797DB25">
            <w:pPr>
              <w:pStyle w:val="14"/>
              <w:snapToGrid w:val="0"/>
              <w:jc w:val="center"/>
            </w:pPr>
            <w:r>
              <w:rPr>
                <w:b/>
              </w:rPr>
              <w:t>规则事项及适用时点</w:t>
            </w:r>
          </w:p>
        </w:tc>
        <w:tc>
          <w:tcPr>
            <w:tcW w:w="3326" w:type="dxa"/>
            <w:vAlign w:val="center"/>
          </w:tcPr>
          <w:p w14:paraId="47D5DD3E">
            <w:pPr>
              <w:pStyle w:val="14"/>
              <w:snapToGrid w:val="0"/>
              <w:jc w:val="center"/>
            </w:pPr>
            <w:r>
              <w:rPr>
                <w:b/>
              </w:rPr>
              <w:t>判定与处理</w:t>
            </w:r>
          </w:p>
        </w:tc>
        <w:tc>
          <w:tcPr>
            <w:tcW w:w="1614" w:type="dxa"/>
            <w:vAlign w:val="center"/>
          </w:tcPr>
          <w:p w14:paraId="0E4E1F46">
            <w:pPr>
              <w:pStyle w:val="14"/>
              <w:snapToGrid w:val="0"/>
              <w:jc w:val="center"/>
            </w:pPr>
            <w:r>
              <w:rPr>
                <w:b/>
              </w:rPr>
              <w:t>输出记录</w:t>
            </w:r>
          </w:p>
        </w:tc>
      </w:tr>
      <w:tr w14:paraId="40740068">
        <w:trPr>
          <w:cantSplit/>
        </w:trPr>
        <w:tc>
          <w:tcPr>
            <w:tcW w:w="2016" w:type="dxa"/>
            <w:vAlign w:val="center"/>
          </w:tcPr>
          <w:p w14:paraId="78C02096">
            <w:pPr>
              <w:pStyle w:val="14"/>
              <w:snapToGrid w:val="0"/>
              <w:jc w:val="left"/>
            </w:pPr>
            <w:r>
              <w:t>P-ZLTC-AI-ZNWS-101-08-003</w:t>
            </w:r>
          </w:p>
        </w:tc>
        <w:tc>
          <w:tcPr>
            <w:tcW w:w="2116" w:type="dxa"/>
            <w:vAlign w:val="center"/>
          </w:tcPr>
          <w:p w14:paraId="31431569">
            <w:pPr>
              <w:pStyle w:val="14"/>
              <w:snapToGrid w:val="0"/>
              <w:jc w:val="left"/>
            </w:pPr>
            <w:r>
              <w:t>返回状态与异常取值处理</w:t>
            </w:r>
            <w:r>
              <w:br w:type="textWrapping"/>
            </w:r>
            <w:r>
              <w:t>查询或能力调用返回时</w:t>
            </w:r>
          </w:p>
        </w:tc>
        <w:tc>
          <w:tcPr>
            <w:tcW w:w="3326" w:type="dxa"/>
            <w:vAlign w:val="center"/>
          </w:tcPr>
          <w:p w14:paraId="793513C7">
            <w:pPr>
              <w:pStyle w:val="14"/>
              <w:snapToGrid w:val="0"/>
              <w:jc w:val="left"/>
            </w:pPr>
            <w:r>
              <w:t>区分有效结果、无数据、无权限和执行失败。无记录说明无数据；返回空值、异常值或超定义域时拦截受影响结果生成并记录失败；未知枚举保留原值、标记未知并通知运营。必需证据失败终止当前分析并说明，可选资料缺失如实标注；连续调用失败按配置告警。</w:t>
            </w:r>
          </w:p>
        </w:tc>
        <w:tc>
          <w:tcPr>
            <w:tcW w:w="1614" w:type="dxa"/>
            <w:vAlign w:val="center"/>
          </w:tcPr>
          <w:p w14:paraId="07A9C35C">
            <w:pPr>
              <w:pStyle w:val="14"/>
              <w:snapToGrid w:val="0"/>
              <w:jc w:val="left"/>
            </w:pPr>
            <w:r>
              <w:t>状态说明、失败及运营告警记录</w:t>
            </w:r>
          </w:p>
        </w:tc>
      </w:tr>
      <w:tr w14:paraId="090BE277">
        <w:trPr>
          <w:cantSplit/>
        </w:trPr>
        <w:tc>
          <w:tcPr>
            <w:tcW w:w="2016" w:type="dxa"/>
            <w:vAlign w:val="center"/>
          </w:tcPr>
          <w:p w14:paraId="65C56446">
            <w:pPr>
              <w:pStyle w:val="14"/>
              <w:snapToGrid w:val="0"/>
              <w:jc w:val="left"/>
            </w:pPr>
            <w:r>
              <w:t>P-ZLTC-AI-ZNWS-101-04-001</w:t>
            </w:r>
          </w:p>
        </w:tc>
        <w:tc>
          <w:tcPr>
            <w:tcW w:w="2116" w:type="dxa"/>
            <w:vAlign w:val="center"/>
          </w:tcPr>
          <w:p w14:paraId="1A182195">
            <w:pPr>
              <w:pStyle w:val="14"/>
              <w:snapToGrid w:val="0"/>
              <w:jc w:val="left"/>
            </w:pPr>
            <w:r>
              <w:t>能力路由与任务协同</w:t>
            </w:r>
            <w:r>
              <w:br w:type="textWrapping"/>
            </w:r>
            <w:r>
              <w:t>识别请求或执行跨场景任务时</w:t>
            </w:r>
          </w:p>
        </w:tc>
        <w:tc>
          <w:tcPr>
            <w:tcW w:w="3326" w:type="dxa"/>
            <w:vAlign w:val="center"/>
          </w:tcPr>
          <w:p w14:paraId="29DCCA64">
            <w:pPr>
              <w:pStyle w:val="14"/>
              <w:snapToGrid w:val="0"/>
              <w:jc w:val="left"/>
            </w:pPr>
            <w:r>
              <w:t>按已登记能力匹配请求；跨场景问题先完成前置任务，再组织依赖任务，独立任务按条件并行。汇总已获得结果并说明缺失部分及来源。</w:t>
            </w:r>
          </w:p>
        </w:tc>
        <w:tc>
          <w:tcPr>
            <w:tcW w:w="1614" w:type="dxa"/>
            <w:vAlign w:val="center"/>
          </w:tcPr>
          <w:p w14:paraId="2D4E0E26">
            <w:pPr>
              <w:pStyle w:val="14"/>
              <w:snapToGrid w:val="0"/>
              <w:jc w:val="left"/>
            </w:pPr>
            <w:r>
              <w:t>路由、任务过程及汇总结果</w:t>
            </w:r>
          </w:p>
        </w:tc>
      </w:tr>
      <w:tr w14:paraId="1F87BC3A">
        <w:trPr>
          <w:cantSplit/>
        </w:trPr>
        <w:tc>
          <w:tcPr>
            <w:tcW w:w="2016" w:type="dxa"/>
            <w:vAlign w:val="center"/>
          </w:tcPr>
          <w:p w14:paraId="3F60D6DB">
            <w:pPr>
              <w:pStyle w:val="14"/>
              <w:snapToGrid w:val="0"/>
              <w:jc w:val="left"/>
            </w:pPr>
            <w:r>
              <w:t>P-ZLTC-AI-WLPHGY-102-03-001</w:t>
            </w:r>
          </w:p>
        </w:tc>
        <w:tc>
          <w:tcPr>
            <w:tcW w:w="2116" w:type="dxa"/>
            <w:vAlign w:val="center"/>
          </w:tcPr>
          <w:p w14:paraId="156456AB">
            <w:pPr>
              <w:pStyle w:val="14"/>
              <w:snapToGrid w:val="0"/>
              <w:jc w:val="left"/>
            </w:pPr>
            <w:r>
              <w:t>既有结果复用与事实核实</w:t>
            </w:r>
            <w:r>
              <w:br w:type="textWrapping"/>
            </w:r>
            <w:r>
              <w:t>检索既有报告、追问依据或查询后续效果时</w:t>
            </w:r>
          </w:p>
        </w:tc>
        <w:tc>
          <w:tcPr>
            <w:tcW w:w="3326" w:type="dxa"/>
            <w:vAlign w:val="center"/>
          </w:tcPr>
          <w:p w14:paraId="48F59951">
            <w:pPr>
              <w:pStyle w:val="14"/>
              <w:snapToGrid w:val="0"/>
              <w:jc w:val="left"/>
            </w:pPr>
            <w:r>
              <w:t>按业务授权优先引用相同对象和时间范围的既有报告；用户需要当前事实时，按提问人身份重新查询。效果对照关联方案、实际执行时点和查询窗口，区分原结论、确认状态与当前数据。</w:t>
            </w:r>
          </w:p>
        </w:tc>
        <w:tc>
          <w:tcPr>
            <w:tcW w:w="1614" w:type="dxa"/>
            <w:vAlign w:val="center"/>
          </w:tcPr>
          <w:p w14:paraId="6F50BA66">
            <w:pPr>
              <w:pStyle w:val="14"/>
              <w:snapToGrid w:val="0"/>
              <w:jc w:val="left"/>
            </w:pPr>
            <w:r>
              <w:t>授权追问结果与数据事实对照</w:t>
            </w:r>
          </w:p>
        </w:tc>
      </w:tr>
    </w:tbl>
    <w:p w14:paraId="0E2CDDB0">
      <w:pPr>
        <w:pStyle w:val="12"/>
        <w:snapToGrid w:val="0"/>
        <w:spacing w:after="25"/>
      </w:pPr>
    </w:p>
    <w:p w14:paraId="0F4DEA41">
      <w:pPr>
        <w:pStyle w:val="3"/>
        <w:snapToGrid w:val="0"/>
      </w:pPr>
      <w:bookmarkStart w:id="111" w:name="s6_3"/>
      <w:r>
        <w:rPr>
          <w:rFonts w:ascii="黑体" w:hAnsi="黑体" w:eastAsia="黑体" w:cs="黑体"/>
          <w:b/>
          <w:color w:val="000000"/>
        </w:rPr>
        <w:t>6.3　结论分级与证据规则</w:t>
      </w:r>
      <w:bookmarkEnd w:id="111"/>
    </w:p>
    <w:p w14:paraId="3E8B79DA">
      <w:pPr>
        <w:pStyle w:val="15"/>
        <w:snapToGrid w:val="0"/>
        <w:jc w:val="center"/>
      </w:pPr>
      <w:r>
        <w:t>表6-3　结论分级与证据规则</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016"/>
        <w:gridCol w:w="2116"/>
        <w:gridCol w:w="3326"/>
        <w:gridCol w:w="1614"/>
      </w:tblGrid>
      <w:tr w14:paraId="529EA448">
        <w:trPr>
          <w:cantSplit/>
          <w:tblHeader/>
        </w:trPr>
        <w:tc>
          <w:tcPr>
            <w:tcW w:w="2016" w:type="dxa"/>
            <w:vAlign w:val="center"/>
          </w:tcPr>
          <w:p w14:paraId="29A9B52C">
            <w:pPr>
              <w:pStyle w:val="14"/>
              <w:snapToGrid w:val="0"/>
              <w:jc w:val="center"/>
            </w:pPr>
            <w:r>
              <w:rPr>
                <w:b/>
              </w:rPr>
              <w:t>规则编号</w:t>
            </w:r>
          </w:p>
        </w:tc>
        <w:tc>
          <w:tcPr>
            <w:tcW w:w="2116" w:type="dxa"/>
            <w:vAlign w:val="center"/>
          </w:tcPr>
          <w:p w14:paraId="0A0001FD">
            <w:pPr>
              <w:pStyle w:val="14"/>
              <w:snapToGrid w:val="0"/>
              <w:jc w:val="center"/>
            </w:pPr>
            <w:r>
              <w:rPr>
                <w:b/>
              </w:rPr>
              <w:t>规则事项及适用时点</w:t>
            </w:r>
          </w:p>
        </w:tc>
        <w:tc>
          <w:tcPr>
            <w:tcW w:w="3326" w:type="dxa"/>
            <w:vAlign w:val="center"/>
          </w:tcPr>
          <w:p w14:paraId="49F97D63">
            <w:pPr>
              <w:pStyle w:val="14"/>
              <w:snapToGrid w:val="0"/>
              <w:jc w:val="center"/>
            </w:pPr>
            <w:r>
              <w:rPr>
                <w:b/>
              </w:rPr>
              <w:t>判定与处理</w:t>
            </w:r>
          </w:p>
        </w:tc>
        <w:tc>
          <w:tcPr>
            <w:tcW w:w="1614" w:type="dxa"/>
            <w:vAlign w:val="center"/>
          </w:tcPr>
          <w:p w14:paraId="033FC1C7">
            <w:pPr>
              <w:pStyle w:val="14"/>
              <w:snapToGrid w:val="0"/>
              <w:jc w:val="center"/>
            </w:pPr>
            <w:r>
              <w:rPr>
                <w:b/>
              </w:rPr>
              <w:t>输出记录</w:t>
            </w:r>
          </w:p>
        </w:tc>
      </w:tr>
      <w:tr w14:paraId="23E77F4E">
        <w:trPr>
          <w:cantSplit/>
        </w:trPr>
        <w:tc>
          <w:tcPr>
            <w:tcW w:w="2016" w:type="dxa"/>
            <w:vAlign w:val="center"/>
          </w:tcPr>
          <w:p w14:paraId="03C21CFF">
            <w:pPr>
              <w:pStyle w:val="14"/>
              <w:snapToGrid w:val="0"/>
              <w:jc w:val="left"/>
            </w:pPr>
            <w:r>
              <w:t>P-ZLTC-AI-WLPHGY-102-07-001</w:t>
            </w:r>
          </w:p>
        </w:tc>
        <w:tc>
          <w:tcPr>
            <w:tcW w:w="2116" w:type="dxa"/>
            <w:vAlign w:val="center"/>
          </w:tcPr>
          <w:p w14:paraId="201D2003">
            <w:pPr>
              <w:pStyle w:val="14"/>
              <w:snapToGrid w:val="0"/>
              <w:jc w:val="left"/>
            </w:pPr>
            <w:r>
              <w:t>原因核证</w:t>
            </w:r>
            <w:r>
              <w:br w:type="textWrapping"/>
            </w:r>
            <w:r>
              <w:t>形成归因或诊断结论时</w:t>
            </w:r>
          </w:p>
        </w:tc>
        <w:tc>
          <w:tcPr>
            <w:tcW w:w="3326" w:type="dxa"/>
            <w:vAlign w:val="center"/>
          </w:tcPr>
          <w:p w14:paraId="5BBFD024">
            <w:pPr>
              <w:pStyle w:val="14"/>
              <w:snapToGrid w:val="0"/>
              <w:jc w:val="left"/>
            </w:pPr>
            <w:r>
              <w:t>将已验证、已排除与待验证因素分别列示，关联对应数据、工艺知识及核证过程。</w:t>
            </w:r>
          </w:p>
        </w:tc>
        <w:tc>
          <w:tcPr>
            <w:tcW w:w="1614" w:type="dxa"/>
            <w:vAlign w:val="center"/>
          </w:tcPr>
          <w:p w14:paraId="0DCB3B09">
            <w:pPr>
              <w:pStyle w:val="14"/>
              <w:snapToGrid w:val="0"/>
              <w:jc w:val="left"/>
            </w:pPr>
            <w:r>
              <w:t>分级结论及证据链</w:t>
            </w:r>
          </w:p>
        </w:tc>
      </w:tr>
      <w:tr w14:paraId="76B702C7">
        <w:trPr>
          <w:cantSplit/>
        </w:trPr>
        <w:tc>
          <w:tcPr>
            <w:tcW w:w="2016" w:type="dxa"/>
            <w:vAlign w:val="center"/>
          </w:tcPr>
          <w:p w14:paraId="3FF5D275">
            <w:pPr>
              <w:pStyle w:val="14"/>
              <w:snapToGrid w:val="0"/>
              <w:jc w:val="left"/>
            </w:pPr>
            <w:r>
              <w:t>P-ZLTC-AI-ZNWS-101-12-001</w:t>
            </w:r>
          </w:p>
        </w:tc>
        <w:tc>
          <w:tcPr>
            <w:tcW w:w="2116" w:type="dxa"/>
            <w:vAlign w:val="center"/>
          </w:tcPr>
          <w:p w14:paraId="5A50D542">
            <w:pPr>
              <w:pStyle w:val="14"/>
              <w:snapToGrid w:val="0"/>
              <w:jc w:val="left"/>
            </w:pPr>
            <w:r>
              <w:t>数据保真与来源追溯</w:t>
            </w:r>
            <w:r>
              <w:br w:type="textWrapping"/>
            </w:r>
            <w:r>
              <w:t>取得证据或组织回答、报告及展示内容时</w:t>
            </w:r>
          </w:p>
        </w:tc>
        <w:tc>
          <w:tcPr>
            <w:tcW w:w="3326" w:type="dxa"/>
            <w:vAlign w:val="center"/>
          </w:tcPr>
          <w:p w14:paraId="1509C4F6">
            <w:pPr>
              <w:pStyle w:val="14"/>
              <w:snapToGrid w:val="0"/>
              <w:jc w:val="left"/>
            </w:pPr>
            <w:r>
              <w:t>核对业务数字、模型返回和引用内容与原始依据的一致性，保留来源、数据窗口、版本和复核状态；对外展示和播报沿用已核对内容。</w:t>
            </w:r>
          </w:p>
        </w:tc>
        <w:tc>
          <w:tcPr>
            <w:tcW w:w="1614" w:type="dxa"/>
            <w:vAlign w:val="center"/>
          </w:tcPr>
          <w:p w14:paraId="2BB076B8">
            <w:pPr>
              <w:pStyle w:val="14"/>
              <w:snapToGrid w:val="0"/>
              <w:jc w:val="left"/>
            </w:pPr>
            <w:r>
              <w:t>可追溯证据、回答及报告</w:t>
            </w:r>
          </w:p>
        </w:tc>
      </w:tr>
    </w:tbl>
    <w:p w14:paraId="2B89772F">
      <w:pPr>
        <w:pStyle w:val="12"/>
        <w:snapToGrid w:val="0"/>
        <w:spacing w:after="25"/>
      </w:pPr>
    </w:p>
    <w:p w14:paraId="54257E9A">
      <w:pPr>
        <w:pStyle w:val="3"/>
        <w:snapToGrid w:val="0"/>
      </w:pPr>
      <w:bookmarkStart w:id="112" w:name="s6_4"/>
      <w:r>
        <w:rPr>
          <w:rFonts w:ascii="黑体" w:hAnsi="黑体" w:eastAsia="黑体" w:cs="黑体"/>
          <w:b/>
          <w:color w:val="000000"/>
        </w:rPr>
        <w:t>6.4　事件触发推送与确认规则</w:t>
      </w:r>
      <w:bookmarkEnd w:id="112"/>
    </w:p>
    <w:p w14:paraId="4B7051EA">
      <w:pPr>
        <w:pStyle w:val="15"/>
        <w:snapToGrid w:val="0"/>
        <w:jc w:val="center"/>
      </w:pPr>
      <w:r>
        <w:t>表6-4　事件触发推送与确认规则</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016"/>
        <w:gridCol w:w="2116"/>
        <w:gridCol w:w="3326"/>
        <w:gridCol w:w="1614"/>
      </w:tblGrid>
      <w:tr w14:paraId="642F5118">
        <w:trPr>
          <w:cantSplit/>
          <w:tblHeader/>
        </w:trPr>
        <w:tc>
          <w:tcPr>
            <w:tcW w:w="2016" w:type="dxa"/>
            <w:vAlign w:val="center"/>
          </w:tcPr>
          <w:p w14:paraId="69A6AFB2">
            <w:pPr>
              <w:pStyle w:val="14"/>
              <w:snapToGrid w:val="0"/>
              <w:jc w:val="center"/>
            </w:pPr>
            <w:r>
              <w:rPr>
                <w:b/>
              </w:rPr>
              <w:t>规则编号</w:t>
            </w:r>
          </w:p>
        </w:tc>
        <w:tc>
          <w:tcPr>
            <w:tcW w:w="2116" w:type="dxa"/>
            <w:vAlign w:val="center"/>
          </w:tcPr>
          <w:p w14:paraId="3F229794">
            <w:pPr>
              <w:pStyle w:val="14"/>
              <w:snapToGrid w:val="0"/>
              <w:jc w:val="center"/>
            </w:pPr>
            <w:r>
              <w:rPr>
                <w:b/>
              </w:rPr>
              <w:t>规则事项及适用时点</w:t>
            </w:r>
          </w:p>
        </w:tc>
        <w:tc>
          <w:tcPr>
            <w:tcW w:w="3326" w:type="dxa"/>
            <w:vAlign w:val="center"/>
          </w:tcPr>
          <w:p w14:paraId="311B018C">
            <w:pPr>
              <w:pStyle w:val="14"/>
              <w:snapToGrid w:val="0"/>
              <w:jc w:val="center"/>
            </w:pPr>
            <w:r>
              <w:rPr>
                <w:b/>
              </w:rPr>
              <w:t>判定与处理</w:t>
            </w:r>
          </w:p>
        </w:tc>
        <w:tc>
          <w:tcPr>
            <w:tcW w:w="1614" w:type="dxa"/>
            <w:vAlign w:val="center"/>
          </w:tcPr>
          <w:p w14:paraId="38678D01">
            <w:pPr>
              <w:pStyle w:val="14"/>
              <w:snapToGrid w:val="0"/>
              <w:jc w:val="center"/>
            </w:pPr>
            <w:r>
              <w:rPr>
                <w:b/>
              </w:rPr>
              <w:t>输出记录</w:t>
            </w:r>
          </w:p>
        </w:tc>
      </w:tr>
      <w:tr w14:paraId="77429649">
        <w:trPr>
          <w:cantSplit/>
        </w:trPr>
        <w:tc>
          <w:tcPr>
            <w:tcW w:w="2016" w:type="dxa"/>
            <w:vAlign w:val="center"/>
          </w:tcPr>
          <w:p w14:paraId="71DED982">
            <w:pPr>
              <w:pStyle w:val="14"/>
              <w:snapToGrid w:val="0"/>
              <w:jc w:val="left"/>
            </w:pPr>
            <w:r>
              <w:t>P-ZLTC-AI-WLPHGY-102-01-001</w:t>
            </w:r>
          </w:p>
        </w:tc>
        <w:tc>
          <w:tcPr>
            <w:tcW w:w="2116" w:type="dxa"/>
            <w:vAlign w:val="center"/>
          </w:tcPr>
          <w:p w14:paraId="30DC9C2B">
            <w:pPr>
              <w:pStyle w:val="14"/>
              <w:snapToGrid w:val="0"/>
              <w:jc w:val="left"/>
            </w:pPr>
            <w:r>
              <w:t>事件登记、关联与去重</w:t>
            </w:r>
            <w:r>
              <w:br w:type="textWrapping"/>
            </w:r>
            <w:r>
              <w:t>接入事件或判定业务触发条件时</w:t>
            </w:r>
          </w:p>
        </w:tc>
        <w:tc>
          <w:tcPr>
            <w:tcW w:w="3326" w:type="dxa"/>
            <w:vAlign w:val="center"/>
          </w:tcPr>
          <w:p w14:paraId="05F53167">
            <w:pPr>
              <w:pStyle w:val="14"/>
              <w:snapToGrid w:val="0"/>
              <w:jc w:val="left"/>
            </w:pPr>
            <w:r>
              <w:t>登记对象、时间、来源、类型及适用触发条件，关联同源事件和处置记录；按生效事件配置组织分析或直接通知。偏差类满足已确认条件后自动分析，主动查询按请求处理。</w:t>
            </w:r>
          </w:p>
        </w:tc>
        <w:tc>
          <w:tcPr>
            <w:tcW w:w="1614" w:type="dxa"/>
            <w:vAlign w:val="center"/>
          </w:tcPr>
          <w:p w14:paraId="1D94D9CB">
            <w:pPr>
              <w:pStyle w:val="14"/>
              <w:snapToGrid w:val="0"/>
              <w:jc w:val="left"/>
            </w:pPr>
            <w:r>
              <w:t>事件登记、关联及触发记录</w:t>
            </w:r>
          </w:p>
        </w:tc>
      </w:tr>
      <w:tr w14:paraId="2729C55A">
        <w:trPr>
          <w:cantSplit/>
        </w:trPr>
        <w:tc>
          <w:tcPr>
            <w:tcW w:w="2016" w:type="dxa"/>
            <w:vAlign w:val="center"/>
          </w:tcPr>
          <w:p w14:paraId="2C7FBF9F">
            <w:pPr>
              <w:pStyle w:val="14"/>
              <w:snapToGrid w:val="0"/>
              <w:jc w:val="left"/>
            </w:pPr>
            <w:r>
              <w:t>P-ZLTC-AI-WLPHGY-102-11-001</w:t>
            </w:r>
          </w:p>
        </w:tc>
        <w:tc>
          <w:tcPr>
            <w:tcW w:w="2116" w:type="dxa"/>
            <w:vAlign w:val="center"/>
          </w:tcPr>
          <w:p w14:paraId="7951818D">
            <w:pPr>
              <w:pStyle w:val="14"/>
              <w:snapToGrid w:val="0"/>
              <w:jc w:val="left"/>
            </w:pPr>
            <w:r>
              <w:t>责任解析与送达</w:t>
            </w:r>
            <w:r>
              <w:br w:type="textWrapping"/>
            </w:r>
            <w:r>
              <w:t>事件送达或升级提醒时</w:t>
            </w:r>
          </w:p>
        </w:tc>
        <w:tc>
          <w:tcPr>
            <w:tcW w:w="3326" w:type="dxa"/>
            <w:vAlign w:val="center"/>
          </w:tcPr>
          <w:p w14:paraId="2FD3E0C5">
            <w:pPr>
              <w:pStyle w:val="14"/>
              <w:snapToGrid w:val="0"/>
              <w:jc w:val="left"/>
            </w:pPr>
            <w:r>
              <w:t>按事件责任规则解析接收与确认岗位，校验业务身份、订阅和授权后送达，保留送达、已读及报警确认记录；失败按配置自动重试，最终未送达告警，超时未读按配置升级提醒。</w:t>
            </w:r>
          </w:p>
        </w:tc>
        <w:tc>
          <w:tcPr>
            <w:tcW w:w="1614" w:type="dxa"/>
            <w:vAlign w:val="center"/>
          </w:tcPr>
          <w:p w14:paraId="6599D4D5">
            <w:pPr>
              <w:pStyle w:val="14"/>
              <w:snapToGrid w:val="0"/>
              <w:jc w:val="left"/>
            </w:pPr>
            <w:r>
              <w:t>责任匹配、消息状态与确认记录</w:t>
            </w:r>
          </w:p>
        </w:tc>
      </w:tr>
      <w:tr w14:paraId="4F959A5E">
        <w:trPr>
          <w:cantSplit/>
        </w:trPr>
        <w:tc>
          <w:tcPr>
            <w:tcW w:w="2016" w:type="dxa"/>
            <w:vAlign w:val="center"/>
          </w:tcPr>
          <w:p w14:paraId="57F4B221">
            <w:pPr>
              <w:pStyle w:val="14"/>
              <w:snapToGrid w:val="0"/>
              <w:jc w:val="left"/>
            </w:pPr>
            <w:r>
              <w:t>P-ZLTC-AI-WLPHGY-102-13-001</w:t>
            </w:r>
          </w:p>
        </w:tc>
        <w:tc>
          <w:tcPr>
            <w:tcW w:w="2116" w:type="dxa"/>
            <w:vAlign w:val="center"/>
          </w:tcPr>
          <w:p w14:paraId="7E0BADD3">
            <w:pPr>
              <w:pStyle w:val="14"/>
              <w:snapToGrid w:val="0"/>
              <w:jc w:val="left"/>
            </w:pPr>
            <w:r>
              <w:t>报告责任人轻量确认</w:t>
            </w:r>
            <w:r>
              <w:br w:type="textWrapping"/>
            </w:r>
            <w:r>
              <w:t>平台归因或设备建议报告送达后</w:t>
            </w:r>
          </w:p>
        </w:tc>
        <w:tc>
          <w:tcPr>
            <w:tcW w:w="3326" w:type="dxa"/>
            <w:vAlign w:val="center"/>
          </w:tcPr>
          <w:p w14:paraId="3F1B90B8">
            <w:pPr>
              <w:pStyle w:val="14"/>
              <w:snapToGrid w:val="0"/>
              <w:jc w:val="left"/>
            </w:pPr>
            <w:r>
              <w:t>指定责任人选择结论确认或与实际不符，可补充实际原因；暂未确认时保留报告和状态，查看、追问及适用业务处置继续可用。责任信息缺失时通知运营核实；依据反馈内容衔接知识审核或问题处理。</w:t>
            </w:r>
          </w:p>
        </w:tc>
        <w:tc>
          <w:tcPr>
            <w:tcW w:w="1614" w:type="dxa"/>
            <w:vAlign w:val="center"/>
          </w:tcPr>
          <w:p w14:paraId="6E81F226">
            <w:pPr>
              <w:pStyle w:val="14"/>
              <w:snapToGrid w:val="0"/>
              <w:jc w:val="left"/>
            </w:pPr>
            <w:r>
              <w:t>两态确认、待核责任信息及反馈记录</w:t>
            </w:r>
          </w:p>
        </w:tc>
      </w:tr>
    </w:tbl>
    <w:p w14:paraId="34701DC3">
      <w:pPr>
        <w:pStyle w:val="12"/>
        <w:snapToGrid w:val="0"/>
        <w:spacing w:after="25"/>
      </w:pPr>
    </w:p>
    <w:p w14:paraId="167F8F8B">
      <w:pPr>
        <w:pStyle w:val="3"/>
        <w:snapToGrid w:val="0"/>
      </w:pPr>
      <w:bookmarkStart w:id="113" w:name="s6_5"/>
      <w:r>
        <w:rPr>
          <w:rFonts w:ascii="黑体" w:hAnsi="黑体" w:eastAsia="黑体" w:cs="黑体"/>
          <w:b/>
          <w:color w:val="000000"/>
        </w:rPr>
        <w:t>6.5　优化方案与处置应用规则</w:t>
      </w:r>
      <w:bookmarkEnd w:id="113"/>
    </w:p>
    <w:p w14:paraId="5D285A36">
      <w:pPr>
        <w:pStyle w:val="15"/>
        <w:snapToGrid w:val="0"/>
        <w:jc w:val="center"/>
      </w:pPr>
      <w:r>
        <w:t>表6-5　优化方案与处置应用规则</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016"/>
        <w:gridCol w:w="2116"/>
        <w:gridCol w:w="3326"/>
        <w:gridCol w:w="1614"/>
      </w:tblGrid>
      <w:tr w14:paraId="5081FF2C">
        <w:trPr>
          <w:cantSplit/>
          <w:tblHeader/>
        </w:trPr>
        <w:tc>
          <w:tcPr>
            <w:tcW w:w="2016" w:type="dxa"/>
            <w:vAlign w:val="center"/>
          </w:tcPr>
          <w:p w14:paraId="082F7D68">
            <w:pPr>
              <w:pStyle w:val="14"/>
              <w:snapToGrid w:val="0"/>
              <w:jc w:val="center"/>
            </w:pPr>
            <w:r>
              <w:rPr>
                <w:b/>
              </w:rPr>
              <w:t>规则编号</w:t>
            </w:r>
          </w:p>
        </w:tc>
        <w:tc>
          <w:tcPr>
            <w:tcW w:w="2116" w:type="dxa"/>
            <w:vAlign w:val="center"/>
          </w:tcPr>
          <w:p w14:paraId="5DC407E2">
            <w:pPr>
              <w:pStyle w:val="14"/>
              <w:snapToGrid w:val="0"/>
              <w:jc w:val="center"/>
            </w:pPr>
            <w:r>
              <w:rPr>
                <w:b/>
              </w:rPr>
              <w:t>规则事项及适用时点</w:t>
            </w:r>
          </w:p>
        </w:tc>
        <w:tc>
          <w:tcPr>
            <w:tcW w:w="3326" w:type="dxa"/>
            <w:vAlign w:val="center"/>
          </w:tcPr>
          <w:p w14:paraId="1DC2686A">
            <w:pPr>
              <w:pStyle w:val="14"/>
              <w:snapToGrid w:val="0"/>
              <w:jc w:val="center"/>
            </w:pPr>
            <w:r>
              <w:rPr>
                <w:b/>
              </w:rPr>
              <w:t>判定与处理</w:t>
            </w:r>
          </w:p>
        </w:tc>
        <w:tc>
          <w:tcPr>
            <w:tcW w:w="1614" w:type="dxa"/>
            <w:vAlign w:val="center"/>
          </w:tcPr>
          <w:p w14:paraId="6AB9F163">
            <w:pPr>
              <w:pStyle w:val="14"/>
              <w:snapToGrid w:val="0"/>
              <w:jc w:val="center"/>
            </w:pPr>
            <w:r>
              <w:rPr>
                <w:b/>
              </w:rPr>
              <w:t>输出记录</w:t>
            </w:r>
          </w:p>
        </w:tc>
      </w:tr>
      <w:tr w14:paraId="480D34E6">
        <w:trPr>
          <w:cantSplit/>
        </w:trPr>
        <w:tc>
          <w:tcPr>
            <w:tcW w:w="2016" w:type="dxa"/>
            <w:vAlign w:val="center"/>
          </w:tcPr>
          <w:p w14:paraId="0DEBF9F6">
            <w:pPr>
              <w:pStyle w:val="14"/>
              <w:snapToGrid w:val="0"/>
              <w:jc w:val="left"/>
            </w:pPr>
            <w:r>
              <w:t>P-ZLTC-AI-YHGXYH-114-06-001</w:t>
            </w:r>
          </w:p>
        </w:tc>
        <w:tc>
          <w:tcPr>
            <w:tcW w:w="2116" w:type="dxa"/>
            <w:vAlign w:val="center"/>
          </w:tcPr>
          <w:p w14:paraId="405CBD9A">
            <w:pPr>
              <w:pStyle w:val="14"/>
              <w:snapToGrid w:val="0"/>
              <w:jc w:val="left"/>
            </w:pPr>
            <w:r>
              <w:t>方案适用性核验</w:t>
            </w:r>
            <w:r>
              <w:br w:type="textWrapping"/>
            </w:r>
            <w:r>
              <w:t>形成或确认工艺参数、质量改进或异常处置方案时</w:t>
            </w:r>
          </w:p>
        </w:tc>
        <w:tc>
          <w:tcPr>
            <w:tcW w:w="3326" w:type="dxa"/>
            <w:vAlign w:val="center"/>
          </w:tcPr>
          <w:p w14:paraId="4D1935B6">
            <w:pPr>
              <w:pStyle w:val="14"/>
              <w:snapToGrid w:val="0"/>
              <w:jc w:val="left"/>
            </w:pPr>
            <w:r>
              <w:t>对照适用工况、工艺允许范围、报警联锁基准及上下游影响，形成供专业人员确认的方案；不适用项按生效规则拦截或明确警示并保留核验原因。</w:t>
            </w:r>
          </w:p>
        </w:tc>
        <w:tc>
          <w:tcPr>
            <w:tcW w:w="1614" w:type="dxa"/>
            <w:vAlign w:val="center"/>
          </w:tcPr>
          <w:p w14:paraId="1334316E">
            <w:pPr>
              <w:pStyle w:val="14"/>
              <w:snapToGrid w:val="0"/>
              <w:jc w:val="left"/>
            </w:pPr>
            <w:r>
              <w:t>方案版本及适用性核验记录</w:t>
            </w:r>
          </w:p>
        </w:tc>
      </w:tr>
      <w:tr w14:paraId="0D985617">
        <w:trPr>
          <w:cantSplit/>
        </w:trPr>
        <w:tc>
          <w:tcPr>
            <w:tcW w:w="2016" w:type="dxa"/>
            <w:vAlign w:val="center"/>
          </w:tcPr>
          <w:p w14:paraId="6E367825">
            <w:pPr>
              <w:pStyle w:val="14"/>
              <w:snapToGrid w:val="0"/>
              <w:jc w:val="left"/>
            </w:pPr>
            <w:r>
              <w:t>R-GG-001</w:t>
            </w:r>
          </w:p>
        </w:tc>
        <w:tc>
          <w:tcPr>
            <w:tcW w:w="2116" w:type="dxa"/>
            <w:vAlign w:val="center"/>
          </w:tcPr>
          <w:p w14:paraId="2A396793">
            <w:pPr>
              <w:pStyle w:val="14"/>
              <w:snapToGrid w:val="0"/>
              <w:jc w:val="left"/>
            </w:pPr>
            <w:r>
              <w:t>执行组织与结果复核</w:t>
            </w:r>
            <w:r>
              <w:br w:type="textWrapping"/>
            </w:r>
            <w:r>
              <w:t>人员确认处置方案后</w:t>
            </w:r>
          </w:p>
        </w:tc>
        <w:tc>
          <w:tcPr>
            <w:tcW w:w="3326" w:type="dxa"/>
            <w:vAlign w:val="center"/>
          </w:tcPr>
          <w:p w14:paraId="2AADB515">
            <w:pPr>
              <w:pStyle w:val="14"/>
              <w:snapToGrid w:val="0"/>
              <w:jc w:val="left"/>
            </w:pPr>
            <w:r>
              <w:t>按经人员确认的方案组织人工操作，关联确认人员、实际执行时点、步骤与运行状态；执行异常交人员复核，结合实际运行数据核对处置及优化效果并留存记录。</w:t>
            </w:r>
          </w:p>
        </w:tc>
        <w:tc>
          <w:tcPr>
            <w:tcW w:w="1614" w:type="dxa"/>
            <w:vAlign w:val="center"/>
          </w:tcPr>
          <w:p w14:paraId="3B78019C">
            <w:pPr>
              <w:pStyle w:val="14"/>
              <w:snapToGrid w:val="0"/>
              <w:jc w:val="left"/>
            </w:pPr>
            <w:r>
              <w:t>确认、执行、异常处置及效果记录</w:t>
            </w:r>
          </w:p>
        </w:tc>
      </w:tr>
    </w:tbl>
    <w:p w14:paraId="051A4A3B">
      <w:pPr>
        <w:pStyle w:val="12"/>
        <w:snapToGrid w:val="0"/>
        <w:spacing w:after="25"/>
      </w:pPr>
    </w:p>
    <w:p w14:paraId="51376D84">
      <w:pPr>
        <w:pStyle w:val="3"/>
        <w:snapToGrid w:val="0"/>
      </w:pPr>
      <w:bookmarkStart w:id="114" w:name="s6_6"/>
      <w:r>
        <w:rPr>
          <w:rFonts w:ascii="黑体" w:hAnsi="黑体" w:eastAsia="黑体" w:cs="黑体"/>
          <w:b/>
          <w:color w:val="000000"/>
        </w:rPr>
        <w:t>6.6　权限与知识访问规则</w:t>
      </w:r>
      <w:bookmarkEnd w:id="114"/>
    </w:p>
    <w:p w14:paraId="737495AA">
      <w:pPr>
        <w:pStyle w:val="15"/>
        <w:snapToGrid w:val="0"/>
        <w:jc w:val="center"/>
      </w:pPr>
      <w:r>
        <w:t>表6-6　权限与知识访问规则</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016"/>
        <w:gridCol w:w="2116"/>
        <w:gridCol w:w="3326"/>
        <w:gridCol w:w="1614"/>
      </w:tblGrid>
      <w:tr w14:paraId="69C90E78">
        <w:trPr>
          <w:cantSplit/>
          <w:tblHeader/>
        </w:trPr>
        <w:tc>
          <w:tcPr>
            <w:tcW w:w="2016" w:type="dxa"/>
            <w:vAlign w:val="center"/>
          </w:tcPr>
          <w:p w14:paraId="10484E90">
            <w:pPr>
              <w:pStyle w:val="14"/>
              <w:snapToGrid w:val="0"/>
              <w:jc w:val="center"/>
            </w:pPr>
            <w:r>
              <w:rPr>
                <w:b/>
              </w:rPr>
              <w:t>规则编号</w:t>
            </w:r>
          </w:p>
        </w:tc>
        <w:tc>
          <w:tcPr>
            <w:tcW w:w="2116" w:type="dxa"/>
            <w:vAlign w:val="center"/>
          </w:tcPr>
          <w:p w14:paraId="6ADFBA37">
            <w:pPr>
              <w:pStyle w:val="14"/>
              <w:snapToGrid w:val="0"/>
              <w:jc w:val="center"/>
            </w:pPr>
            <w:r>
              <w:rPr>
                <w:b/>
              </w:rPr>
              <w:t>规则事项及适用时点</w:t>
            </w:r>
          </w:p>
        </w:tc>
        <w:tc>
          <w:tcPr>
            <w:tcW w:w="3326" w:type="dxa"/>
            <w:vAlign w:val="center"/>
          </w:tcPr>
          <w:p w14:paraId="660BBEB5">
            <w:pPr>
              <w:pStyle w:val="14"/>
              <w:snapToGrid w:val="0"/>
              <w:jc w:val="center"/>
            </w:pPr>
            <w:r>
              <w:rPr>
                <w:b/>
              </w:rPr>
              <w:t>判定与处理</w:t>
            </w:r>
          </w:p>
        </w:tc>
        <w:tc>
          <w:tcPr>
            <w:tcW w:w="1614" w:type="dxa"/>
            <w:vAlign w:val="center"/>
          </w:tcPr>
          <w:p w14:paraId="778280EB">
            <w:pPr>
              <w:pStyle w:val="14"/>
              <w:snapToGrid w:val="0"/>
              <w:jc w:val="center"/>
            </w:pPr>
            <w:r>
              <w:rPr>
                <w:b/>
              </w:rPr>
              <w:t>输出记录</w:t>
            </w:r>
          </w:p>
        </w:tc>
      </w:tr>
      <w:tr w14:paraId="2005EB21">
        <w:trPr>
          <w:cantSplit/>
        </w:trPr>
        <w:tc>
          <w:tcPr>
            <w:tcW w:w="2016" w:type="dxa"/>
            <w:vAlign w:val="center"/>
          </w:tcPr>
          <w:p w14:paraId="6E101714">
            <w:pPr>
              <w:pStyle w:val="14"/>
              <w:snapToGrid w:val="0"/>
              <w:jc w:val="left"/>
            </w:pPr>
            <w:r>
              <w:t>P-ZLTC-AI-ZNWS-101-08-001</w:t>
            </w:r>
          </w:p>
        </w:tc>
        <w:tc>
          <w:tcPr>
            <w:tcW w:w="2116" w:type="dxa"/>
            <w:vAlign w:val="center"/>
          </w:tcPr>
          <w:p w14:paraId="1D86D568">
            <w:pPr>
              <w:pStyle w:val="14"/>
              <w:snapToGrid w:val="0"/>
              <w:jc w:val="left"/>
            </w:pPr>
            <w:r>
              <w:t>业务身份与授权</w:t>
            </w:r>
            <w:r>
              <w:br w:type="textWrapping"/>
            </w:r>
            <w:r>
              <w:t>查询、查看、推送或导出时</w:t>
            </w:r>
          </w:p>
        </w:tc>
        <w:tc>
          <w:tcPr>
            <w:tcW w:w="3326" w:type="dxa"/>
            <w:vAlign w:val="center"/>
          </w:tcPr>
          <w:p w14:paraId="2439E777">
            <w:pPr>
              <w:pStyle w:val="14"/>
              <w:snapToGrid w:val="0"/>
              <w:jc w:val="left"/>
            </w:pPr>
            <w:r>
              <w:t>传递最终业务用户身份，按平台配置并同步的授权校验数据使用，相关动作记录审计。</w:t>
            </w:r>
          </w:p>
        </w:tc>
        <w:tc>
          <w:tcPr>
            <w:tcW w:w="1614" w:type="dxa"/>
            <w:vAlign w:val="center"/>
          </w:tcPr>
          <w:p w14:paraId="058D74CC">
            <w:pPr>
              <w:pStyle w:val="14"/>
              <w:snapToGrid w:val="0"/>
              <w:jc w:val="left"/>
            </w:pPr>
            <w:r>
              <w:t>授权结果与审计记录</w:t>
            </w:r>
          </w:p>
        </w:tc>
      </w:tr>
      <w:tr w14:paraId="2248FA3B">
        <w:trPr>
          <w:cantSplit/>
        </w:trPr>
        <w:tc>
          <w:tcPr>
            <w:tcW w:w="2016" w:type="dxa"/>
            <w:vAlign w:val="center"/>
          </w:tcPr>
          <w:p w14:paraId="11D61DB2">
            <w:pPr>
              <w:pStyle w:val="14"/>
              <w:snapToGrid w:val="0"/>
              <w:jc w:val="left"/>
            </w:pPr>
            <w:r>
              <w:t>P-ZLTC-AI-FKZSWD-116-01-001</w:t>
            </w:r>
          </w:p>
        </w:tc>
        <w:tc>
          <w:tcPr>
            <w:tcW w:w="2116" w:type="dxa"/>
            <w:vAlign w:val="center"/>
          </w:tcPr>
          <w:p w14:paraId="4F2A4335">
            <w:pPr>
              <w:pStyle w:val="14"/>
              <w:snapToGrid w:val="0"/>
              <w:jc w:val="left"/>
            </w:pPr>
            <w:r>
              <w:t>知识密级、版本与公开输出</w:t>
            </w:r>
            <w:r>
              <w:br w:type="textWrapping"/>
            </w:r>
            <w:r>
              <w:t>检索、发布知识或形成公开回答时</w:t>
            </w:r>
          </w:p>
        </w:tc>
        <w:tc>
          <w:tcPr>
            <w:tcW w:w="3326" w:type="dxa"/>
            <w:vAlign w:val="center"/>
          </w:tcPr>
          <w:p w14:paraId="576853B4">
            <w:pPr>
              <w:pStyle w:val="14"/>
              <w:snapToGrid w:val="0"/>
              <w:jc w:val="left"/>
            </w:pPr>
            <w:r>
              <w:t>按密级、可见角色和生效版本提供文档及图谱，权限落实到检索片段；密级变更即时生效，下架同步清除对应片段。公开回答与播报使用公开资料并执行内容安全检查，受限信息按身份说明。</w:t>
            </w:r>
          </w:p>
        </w:tc>
        <w:tc>
          <w:tcPr>
            <w:tcW w:w="1614" w:type="dxa"/>
            <w:vAlign w:val="center"/>
          </w:tcPr>
          <w:p w14:paraId="27312EFA">
            <w:pPr>
              <w:pStyle w:val="14"/>
              <w:snapToGrid w:val="0"/>
              <w:jc w:val="left"/>
            </w:pPr>
            <w:r>
              <w:t>适用知识、引用与公开输出检查记录</w:t>
            </w:r>
          </w:p>
        </w:tc>
      </w:tr>
      <w:tr w14:paraId="66CF8958">
        <w:trPr>
          <w:cantSplit/>
        </w:trPr>
        <w:tc>
          <w:tcPr>
            <w:tcW w:w="2016" w:type="dxa"/>
            <w:vAlign w:val="center"/>
          </w:tcPr>
          <w:p w14:paraId="141CF7FA">
            <w:pPr>
              <w:pStyle w:val="14"/>
              <w:snapToGrid w:val="0"/>
              <w:jc w:val="left"/>
            </w:pPr>
            <w:r>
              <w:t>P-ZLTC-AI-ZNWS-101-08-004</w:t>
            </w:r>
          </w:p>
        </w:tc>
        <w:tc>
          <w:tcPr>
            <w:tcW w:w="2116" w:type="dxa"/>
            <w:vAlign w:val="center"/>
          </w:tcPr>
          <w:p w14:paraId="1DA5A4E2">
            <w:pPr>
              <w:pStyle w:val="14"/>
              <w:snapToGrid w:val="0"/>
              <w:jc w:val="left"/>
            </w:pPr>
            <w:r>
              <w:t>三层记录与角色可见性</w:t>
            </w:r>
            <w:r>
              <w:br w:type="textWrapping"/>
            </w:r>
            <w:r>
              <w:t>留存会话、执行链路或审计记录时</w:t>
            </w:r>
          </w:p>
        </w:tc>
        <w:tc>
          <w:tcPr>
            <w:tcW w:w="3326" w:type="dxa"/>
            <w:vAlign w:val="center"/>
          </w:tcPr>
          <w:p w14:paraId="06329328">
            <w:pPr>
              <w:pStyle w:val="14"/>
              <w:snapToGrid w:val="0"/>
              <w:jc w:val="left"/>
            </w:pPr>
            <w:r>
              <w:t>会话由本人查询续问；运营使用不含业务数据明文的执行链路定位问题；访问、越权试探、导出和权限变更形成不可删改审计记录，由审计角色按流程查询。普通管理员查看平台运行统计。</w:t>
            </w:r>
          </w:p>
        </w:tc>
        <w:tc>
          <w:tcPr>
            <w:tcW w:w="1614" w:type="dxa"/>
            <w:vAlign w:val="center"/>
          </w:tcPr>
          <w:p w14:paraId="25E0CAE7">
            <w:pPr>
              <w:pStyle w:val="14"/>
              <w:snapToGrid w:val="0"/>
              <w:jc w:val="left"/>
            </w:pPr>
            <w:r>
              <w:t>按记录类别和角色受控的留痕</w:t>
            </w:r>
          </w:p>
        </w:tc>
      </w:tr>
    </w:tbl>
    <w:p w14:paraId="6A6D5051">
      <w:pPr>
        <w:pStyle w:val="12"/>
        <w:snapToGrid w:val="0"/>
        <w:spacing w:after="25"/>
      </w:pPr>
    </w:p>
    <w:p w14:paraId="045EEF0F">
      <w:pPr>
        <w:pStyle w:val="3"/>
        <w:snapToGrid w:val="0"/>
      </w:pPr>
      <w:bookmarkStart w:id="115" w:name="s6_7"/>
      <w:r>
        <w:rPr>
          <w:rFonts w:ascii="黑体" w:hAnsi="黑体" w:eastAsia="黑体" w:cs="黑体"/>
          <w:b/>
          <w:color w:val="000000"/>
        </w:rPr>
        <w:t>6.7　知识沉淀与变更规则</w:t>
      </w:r>
      <w:bookmarkEnd w:id="115"/>
    </w:p>
    <w:p w14:paraId="5E296D4C">
      <w:pPr>
        <w:pStyle w:val="15"/>
        <w:snapToGrid w:val="0"/>
        <w:jc w:val="center"/>
      </w:pPr>
      <w:r>
        <w:t>表6-7　知识沉淀与变更规则</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016"/>
        <w:gridCol w:w="2116"/>
        <w:gridCol w:w="3326"/>
        <w:gridCol w:w="1614"/>
      </w:tblGrid>
      <w:tr w14:paraId="02B277BD">
        <w:trPr>
          <w:cantSplit/>
          <w:tblHeader/>
        </w:trPr>
        <w:tc>
          <w:tcPr>
            <w:tcW w:w="2016" w:type="dxa"/>
            <w:vAlign w:val="center"/>
          </w:tcPr>
          <w:p w14:paraId="041B14B3">
            <w:pPr>
              <w:pStyle w:val="14"/>
              <w:snapToGrid w:val="0"/>
              <w:jc w:val="center"/>
            </w:pPr>
            <w:r>
              <w:rPr>
                <w:b/>
              </w:rPr>
              <w:t>规则编号</w:t>
            </w:r>
          </w:p>
        </w:tc>
        <w:tc>
          <w:tcPr>
            <w:tcW w:w="2116" w:type="dxa"/>
            <w:vAlign w:val="center"/>
          </w:tcPr>
          <w:p w14:paraId="18FE4203">
            <w:pPr>
              <w:pStyle w:val="14"/>
              <w:snapToGrid w:val="0"/>
              <w:jc w:val="center"/>
            </w:pPr>
            <w:r>
              <w:rPr>
                <w:b/>
              </w:rPr>
              <w:t>规则事项及适用时点</w:t>
            </w:r>
          </w:p>
        </w:tc>
        <w:tc>
          <w:tcPr>
            <w:tcW w:w="3326" w:type="dxa"/>
            <w:vAlign w:val="center"/>
          </w:tcPr>
          <w:p w14:paraId="56117CA8">
            <w:pPr>
              <w:pStyle w:val="14"/>
              <w:snapToGrid w:val="0"/>
              <w:jc w:val="center"/>
            </w:pPr>
            <w:r>
              <w:rPr>
                <w:b/>
              </w:rPr>
              <w:t>判定与处理</w:t>
            </w:r>
          </w:p>
        </w:tc>
        <w:tc>
          <w:tcPr>
            <w:tcW w:w="1614" w:type="dxa"/>
            <w:vAlign w:val="center"/>
          </w:tcPr>
          <w:p w14:paraId="120724D8">
            <w:pPr>
              <w:pStyle w:val="14"/>
              <w:snapToGrid w:val="0"/>
              <w:jc w:val="center"/>
            </w:pPr>
            <w:r>
              <w:rPr>
                <w:b/>
              </w:rPr>
              <w:t>输出记录</w:t>
            </w:r>
          </w:p>
        </w:tc>
      </w:tr>
      <w:tr w14:paraId="57A195F1">
        <w:trPr>
          <w:cantSplit/>
        </w:trPr>
        <w:tc>
          <w:tcPr>
            <w:tcW w:w="2016" w:type="dxa"/>
            <w:vAlign w:val="center"/>
          </w:tcPr>
          <w:p w14:paraId="75AF3335">
            <w:pPr>
              <w:pStyle w:val="14"/>
              <w:snapToGrid w:val="0"/>
              <w:jc w:val="left"/>
            </w:pPr>
            <w:r>
              <w:t>P-ZLTC-AI-WLPHGY-102-14-001</w:t>
            </w:r>
          </w:p>
        </w:tc>
        <w:tc>
          <w:tcPr>
            <w:tcW w:w="2116" w:type="dxa"/>
            <w:vAlign w:val="center"/>
          </w:tcPr>
          <w:p w14:paraId="72D9D51E">
            <w:pPr>
              <w:pStyle w:val="14"/>
              <w:snapToGrid w:val="0"/>
              <w:jc w:val="left"/>
            </w:pPr>
            <w:r>
              <w:t>知识审核生效</w:t>
            </w:r>
            <w:r>
              <w:br w:type="textWrapping"/>
            </w:r>
            <w:r>
              <w:t>产生新增知识或调整内容时</w:t>
            </w:r>
          </w:p>
        </w:tc>
        <w:tc>
          <w:tcPr>
            <w:tcW w:w="3326" w:type="dxa"/>
            <w:vAlign w:val="center"/>
          </w:tcPr>
          <w:p w14:paraId="71A3191B">
            <w:pPr>
              <w:pStyle w:val="14"/>
              <w:snapToGrid w:val="0"/>
              <w:jc w:val="left"/>
            </w:pPr>
            <w:r>
              <w:t>整理来源、适用对象及变化内容，经专业审核和关联场景验证后发布；同步维护检索、图谱关系和版本记录。</w:t>
            </w:r>
          </w:p>
        </w:tc>
        <w:tc>
          <w:tcPr>
            <w:tcW w:w="1614" w:type="dxa"/>
            <w:vAlign w:val="center"/>
          </w:tcPr>
          <w:p w14:paraId="7E7D5E66">
            <w:pPr>
              <w:pStyle w:val="14"/>
              <w:snapToGrid w:val="0"/>
              <w:jc w:val="left"/>
            </w:pPr>
            <w:r>
              <w:t>生效版本及审核记录</w:t>
            </w:r>
          </w:p>
        </w:tc>
      </w:tr>
      <w:tr w14:paraId="6576C212">
        <w:trPr>
          <w:cantSplit/>
        </w:trPr>
        <w:tc>
          <w:tcPr>
            <w:tcW w:w="2016" w:type="dxa"/>
            <w:vAlign w:val="center"/>
          </w:tcPr>
          <w:p w14:paraId="45259530">
            <w:pPr>
              <w:pStyle w:val="14"/>
              <w:snapToGrid w:val="0"/>
              <w:jc w:val="left"/>
            </w:pPr>
            <w:r>
              <w:t>P-ZLTC-AI-FKZSWD-116-07-001</w:t>
            </w:r>
          </w:p>
        </w:tc>
        <w:tc>
          <w:tcPr>
            <w:tcW w:w="2116" w:type="dxa"/>
            <w:vAlign w:val="center"/>
          </w:tcPr>
          <w:p w14:paraId="62403294">
            <w:pPr>
              <w:pStyle w:val="14"/>
              <w:snapToGrid w:val="0"/>
              <w:jc w:val="left"/>
            </w:pPr>
            <w:r>
              <w:t>问题闭环与变更回归</w:t>
            </w:r>
            <w:r>
              <w:br w:type="textWrapping"/>
            </w:r>
            <w:r>
              <w:t>受理问题、修复或变更能力时</w:t>
            </w:r>
          </w:p>
        </w:tc>
        <w:tc>
          <w:tcPr>
            <w:tcW w:w="3326" w:type="dxa"/>
            <w:vAlign w:val="center"/>
          </w:tcPr>
          <w:p w14:paraId="15B9F607">
            <w:pPr>
              <w:pStyle w:val="14"/>
              <w:snapToGrid w:val="0"/>
              <w:jc w:val="left"/>
            </w:pPr>
            <w:r>
              <w:t>共同确认评估基线；按意图、数据、知识、配置、表达或程序缺陷分类派单，修复及配置、知识、模型变更完成关联回归，模型升级完成全量回归后发布。有效问题沉淀永久用例；工单形成已修复、转需求、转数据源跟踪或非问题终态，并通知原反馈人。</w:t>
            </w:r>
          </w:p>
        </w:tc>
        <w:tc>
          <w:tcPr>
            <w:tcW w:w="1614" w:type="dxa"/>
            <w:vAlign w:val="center"/>
          </w:tcPr>
          <w:p w14:paraId="3BBE6F9B">
            <w:pPr>
              <w:pStyle w:val="14"/>
              <w:snapToGrid w:val="0"/>
              <w:jc w:val="left"/>
            </w:pPr>
            <w:r>
              <w:t>问题终态、验证、发布与通知记录</w:t>
            </w:r>
          </w:p>
        </w:tc>
      </w:tr>
      <w:tr w14:paraId="0FF6D270">
        <w:trPr>
          <w:cantSplit/>
        </w:trPr>
        <w:tc>
          <w:tcPr>
            <w:tcW w:w="2016" w:type="dxa"/>
            <w:vAlign w:val="center"/>
          </w:tcPr>
          <w:p w14:paraId="63710517">
            <w:pPr>
              <w:pStyle w:val="14"/>
              <w:snapToGrid w:val="0"/>
              <w:jc w:val="left"/>
            </w:pPr>
            <w:r>
              <w:t>P-ZLTC-AI-ZNWS-101-06-001</w:t>
            </w:r>
          </w:p>
        </w:tc>
        <w:tc>
          <w:tcPr>
            <w:tcW w:w="2116" w:type="dxa"/>
            <w:vAlign w:val="center"/>
          </w:tcPr>
          <w:p w14:paraId="398ABE7D">
            <w:pPr>
              <w:pStyle w:val="14"/>
              <w:snapToGrid w:val="0"/>
              <w:jc w:val="left"/>
            </w:pPr>
            <w:r>
              <w:t>反馈与改进线索分流</w:t>
            </w:r>
            <w:r>
              <w:br w:type="textWrapping"/>
            </w:r>
            <w:r>
              <w:t>产生用户反馈、知识缺口或数据需求时</w:t>
            </w:r>
          </w:p>
        </w:tc>
        <w:tc>
          <w:tcPr>
            <w:tcW w:w="3326" w:type="dxa"/>
            <w:vAlign w:val="center"/>
          </w:tcPr>
          <w:p w14:paraId="3592810F">
            <w:pPr>
              <w:pStyle w:val="14"/>
              <w:snapToGrid w:val="0"/>
              <w:jc w:val="left"/>
            </w:pPr>
            <w:r>
              <w:t>专业诊断复核反馈先按对应场景补证重诊，形成可沉淀案例或通用问题后再分流。按执行状态归类知识缺口、确认案例、别名建议、问题工单和数据接入需求，保留原话、来源及提出人；负反馈送问题处理，确认案例及有实际原因的纠正线索送知识审核，未补原因问题送运营核实。权限拒绝计入审计，普通评价与结论确认、数据效果分开记录。</w:t>
            </w:r>
          </w:p>
        </w:tc>
        <w:tc>
          <w:tcPr>
            <w:tcW w:w="1614" w:type="dxa"/>
            <w:vAlign w:val="center"/>
          </w:tcPr>
          <w:p w14:paraId="15AA5732">
            <w:pPr>
              <w:pStyle w:val="14"/>
              <w:snapToGrid w:val="0"/>
              <w:jc w:val="left"/>
            </w:pPr>
            <w:r>
              <w:t>分类线索、草稿、工单及需求记录</w:t>
            </w:r>
          </w:p>
        </w:tc>
      </w:tr>
    </w:tbl>
    <w:p w14:paraId="26F28DEE">
      <w:pPr>
        <w:pStyle w:val="12"/>
        <w:snapToGrid w:val="0"/>
        <w:spacing w:after="25"/>
      </w:pPr>
    </w:p>
    <w:p w14:paraId="52BA8708">
      <w:pPr>
        <w:pStyle w:val="3"/>
        <w:snapToGrid w:val="0"/>
      </w:pPr>
      <w:bookmarkStart w:id="116" w:name="s6_8"/>
      <w:r>
        <w:rPr>
          <w:rFonts w:ascii="黑体" w:hAnsi="黑体" w:eastAsia="黑体" w:cs="黑体"/>
          <w:b/>
          <w:color w:val="000000"/>
        </w:rPr>
        <w:t>6.8　专业诊断规则</w:t>
      </w:r>
      <w:bookmarkEnd w:id="116"/>
    </w:p>
    <w:p w14:paraId="16BF91F0">
      <w:pPr>
        <w:pStyle w:val="4"/>
        <w:snapToGrid w:val="0"/>
      </w:pPr>
      <w:bookmarkStart w:id="117" w:name="s6_8_1"/>
      <w:r>
        <w:rPr>
          <w:rFonts w:ascii="黑体" w:hAnsi="黑体" w:eastAsia="黑体" w:cs="黑体"/>
          <w:b/>
          <w:color w:val="000000"/>
        </w:rPr>
        <w:t>6.8.1　质量根因分析规则</w:t>
      </w:r>
      <w:bookmarkEnd w:id="117"/>
    </w:p>
    <w:p w14:paraId="10F65977">
      <w:pPr>
        <w:pStyle w:val="15"/>
        <w:keepNext/>
        <w:snapToGrid w:val="0"/>
        <w:jc w:val="center"/>
      </w:pPr>
      <w:r>
        <w:t>表6-8　质量根因分析规则</w:t>
      </w:r>
    </w:p>
    <w:tbl>
      <w:tblPr>
        <w:tblStyle w:val="9"/>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830"/>
        <w:gridCol w:w="980"/>
        <w:gridCol w:w="700"/>
        <w:gridCol w:w="900"/>
        <w:gridCol w:w="1200"/>
        <w:gridCol w:w="1790"/>
        <w:gridCol w:w="1350"/>
        <w:gridCol w:w="1320"/>
      </w:tblGrid>
      <w:tr w14:paraId="75B0E866">
        <w:trPr>
          <w:cantSplit/>
          <w:tblHeader/>
          <w:jc w:val="center"/>
        </w:trPr>
        <w:tc>
          <w:tcPr>
            <w:tcW w:w="830" w:type="dxa"/>
            <w:shd w:val="clear" w:color="auto" w:fill="FFFFFF"/>
            <w:vAlign w:val="center"/>
          </w:tcPr>
          <w:p w14:paraId="5D599D0F">
            <w:pPr>
              <w:keepNext w:val="0"/>
              <w:keepLines/>
              <w:spacing w:before="0" w:after="0" w:line="240" w:lineRule="auto"/>
              <w:ind w:left="0" w:right="0" w:firstLine="0" w:firstLineChars="0"/>
              <w:jc w:val="center"/>
            </w:pPr>
            <w:r>
              <w:rPr>
                <w:rFonts w:ascii="宋体" w:hAnsi="宋体" w:eastAsia="宋体" w:cs="宋体"/>
                <w:b/>
                <w:bCs/>
                <w:color w:val="000000"/>
                <w:sz w:val="16"/>
                <w:szCs w:val="16"/>
              </w:rPr>
              <w:t>规则编号</w:t>
            </w:r>
          </w:p>
        </w:tc>
        <w:tc>
          <w:tcPr>
            <w:tcW w:w="980" w:type="dxa"/>
            <w:shd w:val="clear" w:color="auto" w:fill="FFFFFF"/>
            <w:vAlign w:val="center"/>
          </w:tcPr>
          <w:p w14:paraId="25120348">
            <w:pPr>
              <w:keepNext w:val="0"/>
              <w:keepLines/>
              <w:spacing w:before="0" w:after="0" w:line="240" w:lineRule="auto"/>
              <w:ind w:left="0" w:right="0" w:firstLine="0" w:firstLineChars="0"/>
              <w:jc w:val="center"/>
            </w:pPr>
            <w:r>
              <w:rPr>
                <w:rFonts w:ascii="宋体" w:hAnsi="宋体" w:eastAsia="宋体" w:cs="宋体"/>
                <w:b/>
                <w:bCs/>
                <w:color w:val="000000"/>
                <w:sz w:val="16"/>
                <w:szCs w:val="16"/>
              </w:rPr>
              <w:t>规则名称</w:t>
            </w:r>
          </w:p>
        </w:tc>
        <w:tc>
          <w:tcPr>
            <w:tcW w:w="700" w:type="dxa"/>
            <w:shd w:val="clear" w:color="auto" w:fill="FFFFFF"/>
            <w:vAlign w:val="center"/>
          </w:tcPr>
          <w:p w14:paraId="38D51A1E">
            <w:pPr>
              <w:keepNext w:val="0"/>
              <w:keepLines/>
              <w:spacing w:before="0" w:after="0" w:line="240" w:lineRule="auto"/>
              <w:ind w:left="0" w:right="0" w:firstLine="0" w:firstLineChars="0"/>
              <w:jc w:val="center"/>
            </w:pPr>
            <w:r>
              <w:rPr>
                <w:rFonts w:ascii="宋体" w:hAnsi="宋体" w:eastAsia="宋体" w:cs="宋体"/>
                <w:b/>
                <w:bCs/>
                <w:color w:val="000000"/>
                <w:sz w:val="16"/>
                <w:szCs w:val="16"/>
              </w:rPr>
              <w:t>所属模块</w:t>
            </w:r>
          </w:p>
        </w:tc>
        <w:tc>
          <w:tcPr>
            <w:tcW w:w="900" w:type="dxa"/>
            <w:shd w:val="clear" w:color="auto" w:fill="FFFFFF"/>
            <w:vAlign w:val="center"/>
          </w:tcPr>
          <w:p w14:paraId="6C865D1D">
            <w:pPr>
              <w:keepNext w:val="0"/>
              <w:keepLines/>
              <w:spacing w:before="0" w:after="0" w:line="240" w:lineRule="auto"/>
              <w:ind w:left="0" w:right="0" w:firstLine="0" w:firstLineChars="0"/>
              <w:jc w:val="center"/>
            </w:pPr>
            <w:r>
              <w:rPr>
                <w:rFonts w:ascii="宋体" w:hAnsi="宋体" w:eastAsia="宋体" w:cs="宋体"/>
                <w:b/>
                <w:bCs/>
                <w:color w:val="000000"/>
                <w:sz w:val="16"/>
                <w:szCs w:val="16"/>
              </w:rPr>
              <w:t>适用场景</w:t>
            </w:r>
          </w:p>
        </w:tc>
        <w:tc>
          <w:tcPr>
            <w:tcW w:w="1200" w:type="dxa"/>
            <w:shd w:val="clear" w:color="auto" w:fill="FFFFFF"/>
            <w:vAlign w:val="center"/>
          </w:tcPr>
          <w:p w14:paraId="77693BEB">
            <w:pPr>
              <w:keepNext w:val="0"/>
              <w:keepLines/>
              <w:spacing w:before="0" w:after="0" w:line="240" w:lineRule="auto"/>
              <w:ind w:left="0" w:right="0" w:firstLine="0" w:firstLineChars="0"/>
              <w:jc w:val="center"/>
            </w:pPr>
            <w:r>
              <w:rPr>
                <w:rFonts w:ascii="宋体" w:hAnsi="宋体" w:eastAsia="宋体" w:cs="宋体"/>
                <w:b/>
                <w:bCs/>
                <w:color w:val="000000"/>
                <w:sz w:val="16"/>
                <w:szCs w:val="16"/>
              </w:rPr>
              <w:t>触发条件</w:t>
            </w:r>
          </w:p>
        </w:tc>
        <w:tc>
          <w:tcPr>
            <w:tcW w:w="1790" w:type="dxa"/>
            <w:shd w:val="clear" w:color="auto" w:fill="FFFFFF"/>
            <w:vAlign w:val="center"/>
          </w:tcPr>
          <w:p w14:paraId="2A77E495">
            <w:pPr>
              <w:keepNext w:val="0"/>
              <w:keepLines/>
              <w:spacing w:before="0" w:after="0" w:line="240" w:lineRule="auto"/>
              <w:ind w:left="0" w:right="0" w:firstLine="0" w:firstLineChars="0"/>
              <w:jc w:val="center"/>
            </w:pPr>
            <w:r>
              <w:rPr>
                <w:rFonts w:ascii="宋体" w:hAnsi="宋体" w:eastAsia="宋体" w:cs="宋体"/>
                <w:b/>
                <w:bCs/>
                <w:color w:val="000000"/>
                <w:sz w:val="16"/>
                <w:szCs w:val="16"/>
              </w:rPr>
              <w:t>执行逻辑</w:t>
            </w:r>
          </w:p>
        </w:tc>
        <w:tc>
          <w:tcPr>
            <w:tcW w:w="1350" w:type="dxa"/>
            <w:shd w:val="clear" w:color="auto" w:fill="FFFFFF"/>
            <w:vAlign w:val="center"/>
          </w:tcPr>
          <w:p w14:paraId="43A444C4">
            <w:pPr>
              <w:keepNext w:val="0"/>
              <w:keepLines/>
              <w:spacing w:before="0" w:after="0" w:line="240" w:lineRule="auto"/>
              <w:ind w:left="0" w:right="0" w:firstLine="0" w:firstLineChars="0"/>
              <w:jc w:val="center"/>
            </w:pPr>
            <w:r>
              <w:rPr>
                <w:rFonts w:ascii="宋体" w:hAnsi="宋体" w:eastAsia="宋体" w:cs="宋体"/>
                <w:b/>
                <w:bCs/>
                <w:color w:val="000000"/>
                <w:sz w:val="16"/>
                <w:szCs w:val="16"/>
              </w:rPr>
              <w:t>输出结果</w:t>
            </w:r>
          </w:p>
        </w:tc>
        <w:tc>
          <w:tcPr>
            <w:tcW w:w="1320" w:type="dxa"/>
            <w:shd w:val="clear" w:color="auto" w:fill="FFFFFF"/>
            <w:vAlign w:val="center"/>
          </w:tcPr>
          <w:p w14:paraId="21868300">
            <w:pPr>
              <w:keepNext w:val="0"/>
              <w:keepLines/>
              <w:spacing w:before="0" w:after="0" w:line="240" w:lineRule="auto"/>
              <w:ind w:left="0" w:right="0" w:firstLine="0" w:firstLineChars="0"/>
              <w:jc w:val="center"/>
            </w:pPr>
            <w:r>
              <w:rPr>
                <w:rFonts w:ascii="宋体" w:hAnsi="宋体" w:eastAsia="宋体" w:cs="宋体"/>
                <w:b/>
                <w:bCs/>
                <w:color w:val="000000"/>
                <w:sz w:val="16"/>
                <w:szCs w:val="16"/>
              </w:rPr>
              <w:t>关联外部系统</w:t>
            </w:r>
          </w:p>
        </w:tc>
      </w:tr>
      <w:tr w14:paraId="21B5713D">
        <w:trPr>
          <w:cantSplit/>
          <w:jc w:val="center"/>
        </w:trPr>
        <w:tc>
          <w:tcPr>
            <w:tcW w:w="830" w:type="dxa"/>
            <w:shd w:val="clear" w:color="auto" w:fill="FFFFFF"/>
            <w:vAlign w:val="center"/>
          </w:tcPr>
          <w:p w14:paraId="0128D256">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R-ZL-001</w:t>
            </w:r>
          </w:p>
        </w:tc>
        <w:tc>
          <w:tcPr>
            <w:tcW w:w="980" w:type="dxa"/>
            <w:shd w:val="clear" w:color="auto" w:fill="FFFFFF"/>
            <w:vAlign w:val="center"/>
          </w:tcPr>
          <w:p w14:paraId="6E997CC7">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质量异常监听规则</w:t>
            </w:r>
          </w:p>
        </w:tc>
        <w:tc>
          <w:tcPr>
            <w:tcW w:w="700" w:type="dxa"/>
            <w:shd w:val="clear" w:color="auto" w:fill="FFFFFF"/>
            <w:vAlign w:val="center"/>
          </w:tcPr>
          <w:p w14:paraId="0D5B9E0B">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质量根因分析</w:t>
            </w:r>
          </w:p>
        </w:tc>
        <w:tc>
          <w:tcPr>
            <w:tcW w:w="900" w:type="dxa"/>
            <w:shd w:val="clear" w:color="auto" w:fill="FFFFFF"/>
            <w:vAlign w:val="center"/>
          </w:tcPr>
          <w:p w14:paraId="25AD08B5">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全部在线质量监测点</w:t>
            </w:r>
          </w:p>
        </w:tc>
        <w:tc>
          <w:tcPr>
            <w:tcW w:w="1200" w:type="dxa"/>
            <w:shd w:val="clear" w:color="auto" w:fill="FFFFFF"/>
            <w:vAlign w:val="center"/>
          </w:tcPr>
          <w:p w14:paraId="6DBFBD97">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DCS / LIMS / QMS 经 supOS 数据中台推送质量偏离事件</w:t>
            </w:r>
          </w:p>
        </w:tc>
        <w:tc>
          <w:tcPr>
            <w:tcW w:w="1790" w:type="dxa"/>
            <w:shd w:val="clear" w:color="auto" w:fill="FFFFFF"/>
            <w:vAlign w:val="center"/>
          </w:tcPr>
          <w:p w14:paraId="01F8B58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实时监听质量异常事件并生成质量异常任务单</w:t>
            </w:r>
          </w:p>
        </w:tc>
        <w:tc>
          <w:tcPr>
            <w:tcW w:w="1350" w:type="dxa"/>
            <w:shd w:val="clear" w:color="auto" w:fill="FFFFFF"/>
            <w:vAlign w:val="center"/>
          </w:tcPr>
          <w:p w14:paraId="63E3AEC7">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质量异常事件</w:t>
            </w:r>
          </w:p>
        </w:tc>
        <w:tc>
          <w:tcPr>
            <w:tcW w:w="1320" w:type="dxa"/>
            <w:shd w:val="clear" w:color="auto" w:fill="FFFFFF"/>
            <w:vAlign w:val="center"/>
          </w:tcPr>
          <w:p w14:paraId="0FD61F1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DCS / LIMS / QMS</w:t>
            </w:r>
          </w:p>
        </w:tc>
      </w:tr>
      <w:tr w14:paraId="340E7CA3">
        <w:trPr>
          <w:cantSplit/>
          <w:jc w:val="center"/>
        </w:trPr>
        <w:tc>
          <w:tcPr>
            <w:tcW w:w="830" w:type="dxa"/>
            <w:shd w:val="clear" w:color="auto" w:fill="FFFFFF"/>
            <w:vAlign w:val="center"/>
          </w:tcPr>
          <w:p w14:paraId="5EED0198">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R-ZL-002</w:t>
            </w:r>
          </w:p>
        </w:tc>
        <w:tc>
          <w:tcPr>
            <w:tcW w:w="980" w:type="dxa"/>
            <w:shd w:val="clear" w:color="auto" w:fill="FFFFFF"/>
            <w:vAlign w:val="center"/>
          </w:tcPr>
          <w:p w14:paraId="733C3C24">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知识图谱加载、多源汇聚与复核规则</w:t>
            </w:r>
          </w:p>
        </w:tc>
        <w:tc>
          <w:tcPr>
            <w:tcW w:w="700" w:type="dxa"/>
            <w:shd w:val="clear" w:color="auto" w:fill="FFFFFF"/>
            <w:vAlign w:val="center"/>
          </w:tcPr>
          <w:p w14:paraId="0B9931D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质量根因分析</w:t>
            </w:r>
          </w:p>
        </w:tc>
        <w:tc>
          <w:tcPr>
            <w:tcW w:w="900" w:type="dxa"/>
            <w:shd w:val="clear" w:color="auto" w:fill="FFFFFF"/>
            <w:vAlign w:val="center"/>
          </w:tcPr>
          <w:p w14:paraId="05BD6967">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任务单生成、复核阶段</w:t>
            </w:r>
          </w:p>
        </w:tc>
        <w:tc>
          <w:tcPr>
            <w:tcW w:w="1200" w:type="dxa"/>
            <w:shd w:val="clear" w:color="auto" w:fill="FFFFFF"/>
            <w:vAlign w:val="center"/>
          </w:tcPr>
          <w:p w14:paraId="0D65F506">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任务单触发 / 报告推送至用户</w:t>
            </w:r>
          </w:p>
        </w:tc>
        <w:tc>
          <w:tcPr>
            <w:tcW w:w="1790" w:type="dxa"/>
            <w:shd w:val="clear" w:color="auto" w:fill="FFFFFF"/>
            <w:vAlign w:val="center"/>
          </w:tcPr>
          <w:p w14:paraId="352FBC64">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加载质量知识图谱因果链路视图；通过 supOS 汇聚 DCS、在线检测仪表等实时/历史数据形成标准化证据数据集；复核阶段由品控/工艺工程师评审报告内容</w:t>
            </w:r>
          </w:p>
        </w:tc>
        <w:tc>
          <w:tcPr>
            <w:tcW w:w="1350" w:type="dxa"/>
            <w:shd w:val="clear" w:color="auto" w:fill="FFFFFF"/>
            <w:vAlign w:val="center"/>
          </w:tcPr>
          <w:p w14:paraId="66BCBB9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因果链路视图 + 标准化证据数据集 + 复核结论</w:t>
            </w:r>
          </w:p>
        </w:tc>
        <w:tc>
          <w:tcPr>
            <w:tcW w:w="1320" w:type="dxa"/>
            <w:shd w:val="clear" w:color="auto" w:fill="FFFFFF"/>
            <w:vAlign w:val="center"/>
          </w:tcPr>
          <w:p w14:paraId="58743E7E">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质量知识图谱 / 在线检测仪表</w:t>
            </w:r>
          </w:p>
        </w:tc>
      </w:tr>
      <w:tr w14:paraId="242DA434">
        <w:trPr>
          <w:cantSplit/>
          <w:jc w:val="center"/>
        </w:trPr>
        <w:tc>
          <w:tcPr>
            <w:tcW w:w="830" w:type="dxa"/>
            <w:shd w:val="clear" w:color="auto" w:fill="FFFFFF"/>
            <w:vAlign w:val="center"/>
          </w:tcPr>
          <w:p w14:paraId="63D06DB6">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R-ZL-003</w:t>
            </w:r>
          </w:p>
        </w:tc>
        <w:tc>
          <w:tcPr>
            <w:tcW w:w="980" w:type="dxa"/>
            <w:shd w:val="clear" w:color="auto" w:fill="FFFFFF"/>
            <w:vAlign w:val="center"/>
          </w:tcPr>
          <w:p w14:paraId="3DF7EA53">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信号异常判别与人工复核规则</w:t>
            </w:r>
          </w:p>
        </w:tc>
        <w:tc>
          <w:tcPr>
            <w:tcW w:w="700" w:type="dxa"/>
            <w:shd w:val="clear" w:color="auto" w:fill="FFFFFF"/>
            <w:vAlign w:val="center"/>
          </w:tcPr>
          <w:p w14:paraId="31259472">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质量根因分析</w:t>
            </w:r>
          </w:p>
        </w:tc>
        <w:tc>
          <w:tcPr>
            <w:tcW w:w="900" w:type="dxa"/>
            <w:shd w:val="clear" w:color="auto" w:fill="FFFFFF"/>
            <w:vAlign w:val="center"/>
          </w:tcPr>
          <w:p w14:paraId="3C2B31B6">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多源数据汇聚完成</w:t>
            </w:r>
          </w:p>
        </w:tc>
        <w:tc>
          <w:tcPr>
            <w:tcW w:w="1200" w:type="dxa"/>
            <w:shd w:val="clear" w:color="auto" w:fill="FFFFFF"/>
            <w:vAlign w:val="center"/>
          </w:tcPr>
          <w:p w14:paraId="548284B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信号完整度评估内置阈值触发</w:t>
            </w:r>
          </w:p>
        </w:tc>
        <w:tc>
          <w:tcPr>
            <w:tcW w:w="1790" w:type="dxa"/>
            <w:shd w:val="clear" w:color="auto" w:fill="FFFFFF"/>
            <w:vAlign w:val="center"/>
          </w:tcPr>
          <w:p w14:paraId="6F785354">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判定是否信号异常（仪表/通讯故障）；是→标记仪表/通讯故障并推送人工复核；否→进入根因诊断</w:t>
            </w:r>
          </w:p>
        </w:tc>
        <w:tc>
          <w:tcPr>
            <w:tcW w:w="1350" w:type="dxa"/>
            <w:shd w:val="clear" w:color="auto" w:fill="FFFFFF"/>
            <w:vAlign w:val="center"/>
          </w:tcPr>
          <w:p w14:paraId="63173CC1">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人工复核信息推送 / 真实异常标记</w:t>
            </w:r>
          </w:p>
        </w:tc>
        <w:tc>
          <w:tcPr>
            <w:tcW w:w="1320" w:type="dxa"/>
            <w:shd w:val="clear" w:color="auto" w:fill="FFFFFF"/>
            <w:vAlign w:val="center"/>
          </w:tcPr>
          <w:p w14:paraId="1A3E70FF">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63BDC679">
        <w:trPr>
          <w:cantSplit/>
          <w:jc w:val="center"/>
        </w:trPr>
        <w:tc>
          <w:tcPr>
            <w:tcW w:w="830" w:type="dxa"/>
            <w:shd w:val="clear" w:color="auto" w:fill="FFFFFF"/>
            <w:vAlign w:val="center"/>
          </w:tcPr>
          <w:p w14:paraId="02AD8678">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R-ZL-004</w:t>
            </w:r>
          </w:p>
        </w:tc>
        <w:tc>
          <w:tcPr>
            <w:tcW w:w="980" w:type="dxa"/>
            <w:shd w:val="clear" w:color="auto" w:fill="FFFFFF"/>
            <w:vAlign w:val="center"/>
          </w:tcPr>
          <w:p w14:paraId="07B1BC77">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根因诊断与采纳决策规则</w:t>
            </w:r>
          </w:p>
        </w:tc>
        <w:tc>
          <w:tcPr>
            <w:tcW w:w="700" w:type="dxa"/>
            <w:shd w:val="clear" w:color="auto" w:fill="FFFFFF"/>
            <w:vAlign w:val="center"/>
          </w:tcPr>
          <w:p w14:paraId="0F9DA5CA">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质量根因分析</w:t>
            </w:r>
          </w:p>
        </w:tc>
        <w:tc>
          <w:tcPr>
            <w:tcW w:w="900" w:type="dxa"/>
            <w:shd w:val="clear" w:color="auto" w:fill="FFFFFF"/>
            <w:vAlign w:val="center"/>
          </w:tcPr>
          <w:p w14:paraId="1124FE66">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决策结果为"否"（非信号异常）</w:t>
            </w:r>
          </w:p>
        </w:tc>
        <w:tc>
          <w:tcPr>
            <w:tcW w:w="1200" w:type="dxa"/>
            <w:shd w:val="clear" w:color="auto" w:fill="FFFFFF"/>
            <w:vAlign w:val="center"/>
          </w:tcPr>
          <w:p w14:paraId="7BF6B39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真实异常进入诊断</w:t>
            </w:r>
          </w:p>
        </w:tc>
        <w:tc>
          <w:tcPr>
            <w:tcW w:w="1790" w:type="dxa"/>
            <w:shd w:val="clear" w:color="auto" w:fill="FFFFFF"/>
            <w:vAlign w:val="center"/>
          </w:tcPr>
          <w:p w14:paraId="4311CFA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执行根因诊断算法，输出根因、生成处置建议方案；复核完成后由品控/工艺工程师判定是否采纳；是→沉淀归档；否→触发算法重新诊断</w:t>
            </w:r>
          </w:p>
        </w:tc>
        <w:tc>
          <w:tcPr>
            <w:tcW w:w="1350" w:type="dxa"/>
            <w:shd w:val="clear" w:color="auto" w:fill="FFFFFF"/>
            <w:vAlign w:val="center"/>
          </w:tcPr>
          <w:p w14:paraId="7E9F758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诊断结论 + 采纳决策记录</w:t>
            </w:r>
          </w:p>
        </w:tc>
        <w:tc>
          <w:tcPr>
            <w:tcW w:w="1320" w:type="dxa"/>
            <w:shd w:val="clear" w:color="auto" w:fill="FFFFFF"/>
            <w:vAlign w:val="center"/>
          </w:tcPr>
          <w:p w14:paraId="68E8D008">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221A01AA">
        <w:trPr>
          <w:cantSplit/>
          <w:jc w:val="center"/>
        </w:trPr>
        <w:tc>
          <w:tcPr>
            <w:tcW w:w="830" w:type="dxa"/>
            <w:shd w:val="clear" w:color="auto" w:fill="FFFFFF"/>
            <w:vAlign w:val="center"/>
          </w:tcPr>
          <w:p w14:paraId="6ABF770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R-ZL-005</w:t>
            </w:r>
          </w:p>
        </w:tc>
        <w:tc>
          <w:tcPr>
            <w:tcW w:w="980" w:type="dxa"/>
            <w:shd w:val="clear" w:color="auto" w:fill="FFFFFF"/>
            <w:vAlign w:val="center"/>
          </w:tcPr>
          <w:p w14:paraId="1DA11A2C">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否认重诊规则</w:t>
            </w:r>
          </w:p>
        </w:tc>
        <w:tc>
          <w:tcPr>
            <w:tcW w:w="700" w:type="dxa"/>
            <w:shd w:val="clear" w:color="auto" w:fill="FFFFFF"/>
            <w:vAlign w:val="center"/>
          </w:tcPr>
          <w:p w14:paraId="4846FC48">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质量根因分析</w:t>
            </w:r>
          </w:p>
        </w:tc>
        <w:tc>
          <w:tcPr>
            <w:tcW w:w="900" w:type="dxa"/>
            <w:shd w:val="clear" w:color="auto" w:fill="FFFFFF"/>
            <w:vAlign w:val="center"/>
          </w:tcPr>
          <w:p w14:paraId="76BD6261">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决策结果为"否"</w:t>
            </w:r>
          </w:p>
        </w:tc>
        <w:tc>
          <w:tcPr>
            <w:tcW w:w="1200" w:type="dxa"/>
            <w:shd w:val="clear" w:color="auto" w:fill="FFFFFF"/>
            <w:vAlign w:val="center"/>
          </w:tcPr>
          <w:p w14:paraId="5AB78314">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用户否认诊断结论</w:t>
            </w:r>
          </w:p>
        </w:tc>
        <w:tc>
          <w:tcPr>
            <w:tcW w:w="1790" w:type="dxa"/>
            <w:shd w:val="clear" w:color="auto" w:fill="FFFFFF"/>
            <w:vAlign w:val="center"/>
          </w:tcPr>
          <w:p w14:paraId="2110A46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否认结论触发更新操作，重新触发根因诊断算法</w:t>
            </w:r>
          </w:p>
        </w:tc>
        <w:tc>
          <w:tcPr>
            <w:tcW w:w="1350" w:type="dxa"/>
            <w:shd w:val="clear" w:color="auto" w:fill="FFFFFF"/>
            <w:vAlign w:val="center"/>
          </w:tcPr>
          <w:p w14:paraId="168E18B1">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重新诊断请求</w:t>
            </w:r>
          </w:p>
        </w:tc>
        <w:tc>
          <w:tcPr>
            <w:tcW w:w="1320" w:type="dxa"/>
            <w:shd w:val="clear" w:color="auto" w:fill="FFFFFF"/>
            <w:vAlign w:val="center"/>
          </w:tcPr>
          <w:p w14:paraId="7FC3EE90">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16D95927">
        <w:trPr>
          <w:cantSplit/>
          <w:jc w:val="center"/>
        </w:trPr>
        <w:tc>
          <w:tcPr>
            <w:tcW w:w="830" w:type="dxa"/>
            <w:shd w:val="clear" w:color="auto" w:fill="FFFFFF"/>
            <w:vAlign w:val="center"/>
          </w:tcPr>
          <w:p w14:paraId="109D25EA">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R-ZL-006</w:t>
            </w:r>
          </w:p>
        </w:tc>
        <w:tc>
          <w:tcPr>
            <w:tcW w:w="980" w:type="dxa"/>
            <w:shd w:val="clear" w:color="auto" w:fill="FFFFFF"/>
            <w:vAlign w:val="center"/>
          </w:tcPr>
          <w:p w14:paraId="3E5AC601">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处置执行、案例沉淀与交接班规则</w:t>
            </w:r>
          </w:p>
        </w:tc>
        <w:tc>
          <w:tcPr>
            <w:tcW w:w="700" w:type="dxa"/>
            <w:shd w:val="clear" w:color="auto" w:fill="FFFFFF"/>
            <w:vAlign w:val="center"/>
          </w:tcPr>
          <w:p w14:paraId="7B54DA17">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质量根因分析</w:t>
            </w:r>
          </w:p>
        </w:tc>
        <w:tc>
          <w:tcPr>
            <w:tcW w:w="900" w:type="dxa"/>
            <w:shd w:val="clear" w:color="auto" w:fill="FFFFFF"/>
            <w:vAlign w:val="center"/>
          </w:tcPr>
          <w:p w14:paraId="16FD6AE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决策结果为"是"（采纳）</w:t>
            </w:r>
          </w:p>
        </w:tc>
        <w:tc>
          <w:tcPr>
            <w:tcW w:w="1200" w:type="dxa"/>
            <w:shd w:val="clear" w:color="auto" w:fill="FFFFFF"/>
            <w:vAlign w:val="center"/>
          </w:tcPr>
          <w:p w14:paraId="3B3C862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用户确认处置</w:t>
            </w:r>
          </w:p>
        </w:tc>
        <w:tc>
          <w:tcPr>
            <w:tcW w:w="1790" w:type="dxa"/>
            <w:shd w:val="clear" w:color="auto" w:fill="FFFFFF"/>
            <w:vAlign w:val="center"/>
          </w:tcPr>
          <w:p w14:paraId="0823B1E5">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确认（并执行）处置；沉淀为质量改进案例并更新图谱权重；归档完成同步更新交接班记录</w:t>
            </w:r>
          </w:p>
        </w:tc>
        <w:tc>
          <w:tcPr>
            <w:tcW w:w="1350" w:type="dxa"/>
            <w:shd w:val="clear" w:color="auto" w:fill="FFFFFF"/>
            <w:vAlign w:val="center"/>
          </w:tcPr>
          <w:p w14:paraId="3AF4090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案例入库 + 图谱权重更新 + 交接班记录</w:t>
            </w:r>
          </w:p>
        </w:tc>
        <w:tc>
          <w:tcPr>
            <w:tcW w:w="1320" w:type="dxa"/>
            <w:shd w:val="clear" w:color="auto" w:fill="FFFFFF"/>
            <w:vAlign w:val="center"/>
          </w:tcPr>
          <w:p w14:paraId="79E7D97F">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质量知识图谱</w:t>
            </w:r>
          </w:p>
        </w:tc>
      </w:tr>
    </w:tbl>
    <w:p w14:paraId="084092C3">
      <w:pPr>
        <w:pStyle w:val="4"/>
        <w:snapToGrid w:val="0"/>
      </w:pPr>
      <w:bookmarkStart w:id="118" w:name="s6_8_2"/>
      <w:r>
        <w:rPr>
          <w:rFonts w:ascii="黑体" w:hAnsi="黑体" w:eastAsia="黑体" w:cs="黑体"/>
          <w:b/>
          <w:color w:val="000000"/>
        </w:rPr>
        <w:t>6.8.2　异常工况识别规则</w:t>
      </w:r>
      <w:bookmarkEnd w:id="118"/>
    </w:p>
    <w:p w14:paraId="0F4D7472">
      <w:pPr>
        <w:pStyle w:val="15"/>
        <w:keepNext/>
        <w:snapToGrid w:val="0"/>
        <w:jc w:val="center"/>
      </w:pPr>
      <w:r>
        <w:t>表6-9　异常工况识别规则</w:t>
      </w:r>
    </w:p>
    <w:tbl>
      <w:tblPr>
        <w:tblStyle w:val="9"/>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830"/>
        <w:gridCol w:w="980"/>
        <w:gridCol w:w="700"/>
        <w:gridCol w:w="900"/>
        <w:gridCol w:w="1200"/>
        <w:gridCol w:w="1790"/>
        <w:gridCol w:w="1350"/>
        <w:gridCol w:w="1320"/>
      </w:tblGrid>
      <w:tr w14:paraId="19830572">
        <w:trPr>
          <w:cantSplit/>
          <w:tblHeader/>
          <w:jc w:val="center"/>
        </w:trPr>
        <w:tc>
          <w:tcPr>
            <w:tcW w:w="830" w:type="dxa"/>
            <w:shd w:val="clear" w:color="auto" w:fill="FFFFFF"/>
            <w:vAlign w:val="center"/>
          </w:tcPr>
          <w:p w14:paraId="496184D7">
            <w:pPr>
              <w:keepNext w:val="0"/>
              <w:keepLines/>
              <w:spacing w:before="0" w:after="0" w:line="240" w:lineRule="auto"/>
              <w:ind w:left="0" w:right="0" w:firstLine="0" w:firstLineChars="0"/>
              <w:jc w:val="center"/>
            </w:pPr>
            <w:r>
              <w:rPr>
                <w:rFonts w:ascii="宋体" w:hAnsi="宋体" w:eastAsia="宋体" w:cs="宋体"/>
                <w:b/>
                <w:bCs/>
                <w:color w:val="000000"/>
                <w:sz w:val="16"/>
                <w:szCs w:val="16"/>
              </w:rPr>
              <w:t>规则编号</w:t>
            </w:r>
          </w:p>
        </w:tc>
        <w:tc>
          <w:tcPr>
            <w:tcW w:w="980" w:type="dxa"/>
            <w:shd w:val="clear" w:color="auto" w:fill="FFFFFF"/>
            <w:vAlign w:val="center"/>
          </w:tcPr>
          <w:p w14:paraId="3CAD3AD3">
            <w:pPr>
              <w:keepNext w:val="0"/>
              <w:keepLines/>
              <w:spacing w:before="0" w:after="0" w:line="240" w:lineRule="auto"/>
              <w:ind w:left="0" w:right="0" w:firstLine="0" w:firstLineChars="0"/>
              <w:jc w:val="center"/>
            </w:pPr>
            <w:r>
              <w:rPr>
                <w:rFonts w:ascii="宋体" w:hAnsi="宋体" w:eastAsia="宋体" w:cs="宋体"/>
                <w:b/>
                <w:bCs/>
                <w:color w:val="000000"/>
                <w:sz w:val="16"/>
                <w:szCs w:val="16"/>
              </w:rPr>
              <w:t>规则名称</w:t>
            </w:r>
          </w:p>
        </w:tc>
        <w:tc>
          <w:tcPr>
            <w:tcW w:w="700" w:type="dxa"/>
            <w:shd w:val="clear" w:color="auto" w:fill="FFFFFF"/>
            <w:vAlign w:val="center"/>
          </w:tcPr>
          <w:p w14:paraId="2D1304ED">
            <w:pPr>
              <w:keepNext w:val="0"/>
              <w:keepLines/>
              <w:spacing w:before="0" w:after="0" w:line="240" w:lineRule="auto"/>
              <w:ind w:left="0" w:right="0" w:firstLine="0" w:firstLineChars="0"/>
              <w:jc w:val="center"/>
            </w:pPr>
            <w:r>
              <w:rPr>
                <w:rFonts w:ascii="宋体" w:hAnsi="宋体" w:eastAsia="宋体" w:cs="宋体"/>
                <w:b/>
                <w:bCs/>
                <w:color w:val="000000"/>
                <w:sz w:val="16"/>
                <w:szCs w:val="16"/>
              </w:rPr>
              <w:t>所属模块</w:t>
            </w:r>
          </w:p>
        </w:tc>
        <w:tc>
          <w:tcPr>
            <w:tcW w:w="900" w:type="dxa"/>
            <w:shd w:val="clear" w:color="auto" w:fill="FFFFFF"/>
            <w:vAlign w:val="center"/>
          </w:tcPr>
          <w:p w14:paraId="7F7429F7">
            <w:pPr>
              <w:keepNext w:val="0"/>
              <w:keepLines/>
              <w:spacing w:before="0" w:after="0" w:line="240" w:lineRule="auto"/>
              <w:ind w:left="0" w:right="0" w:firstLine="0" w:firstLineChars="0"/>
              <w:jc w:val="center"/>
            </w:pPr>
            <w:r>
              <w:rPr>
                <w:rFonts w:ascii="宋体" w:hAnsi="宋体" w:eastAsia="宋体" w:cs="宋体"/>
                <w:b/>
                <w:bCs/>
                <w:color w:val="000000"/>
                <w:sz w:val="16"/>
                <w:szCs w:val="16"/>
              </w:rPr>
              <w:t>适用场景</w:t>
            </w:r>
          </w:p>
        </w:tc>
        <w:tc>
          <w:tcPr>
            <w:tcW w:w="1200" w:type="dxa"/>
            <w:shd w:val="clear" w:color="auto" w:fill="FFFFFF"/>
            <w:vAlign w:val="center"/>
          </w:tcPr>
          <w:p w14:paraId="14082E61">
            <w:pPr>
              <w:keepNext w:val="0"/>
              <w:keepLines/>
              <w:spacing w:before="0" w:after="0" w:line="240" w:lineRule="auto"/>
              <w:ind w:left="0" w:right="0" w:firstLine="0" w:firstLineChars="0"/>
              <w:jc w:val="center"/>
            </w:pPr>
            <w:r>
              <w:rPr>
                <w:rFonts w:ascii="宋体" w:hAnsi="宋体" w:eastAsia="宋体" w:cs="宋体"/>
                <w:b/>
                <w:bCs/>
                <w:color w:val="000000"/>
                <w:sz w:val="16"/>
                <w:szCs w:val="16"/>
              </w:rPr>
              <w:t>触发条件</w:t>
            </w:r>
          </w:p>
        </w:tc>
        <w:tc>
          <w:tcPr>
            <w:tcW w:w="1790" w:type="dxa"/>
            <w:shd w:val="clear" w:color="auto" w:fill="FFFFFF"/>
            <w:vAlign w:val="center"/>
          </w:tcPr>
          <w:p w14:paraId="7AD387C1">
            <w:pPr>
              <w:keepNext w:val="0"/>
              <w:keepLines/>
              <w:spacing w:before="0" w:after="0" w:line="240" w:lineRule="auto"/>
              <w:ind w:left="0" w:right="0" w:firstLine="0" w:firstLineChars="0"/>
              <w:jc w:val="center"/>
            </w:pPr>
            <w:r>
              <w:rPr>
                <w:rFonts w:ascii="宋体" w:hAnsi="宋体" w:eastAsia="宋体" w:cs="宋体"/>
                <w:b/>
                <w:bCs/>
                <w:color w:val="000000"/>
                <w:sz w:val="16"/>
                <w:szCs w:val="16"/>
              </w:rPr>
              <w:t>执行逻辑</w:t>
            </w:r>
          </w:p>
        </w:tc>
        <w:tc>
          <w:tcPr>
            <w:tcW w:w="1350" w:type="dxa"/>
            <w:shd w:val="clear" w:color="auto" w:fill="FFFFFF"/>
            <w:vAlign w:val="center"/>
          </w:tcPr>
          <w:p w14:paraId="709C48D4">
            <w:pPr>
              <w:keepNext w:val="0"/>
              <w:keepLines/>
              <w:spacing w:before="0" w:after="0" w:line="240" w:lineRule="auto"/>
              <w:ind w:left="0" w:right="0" w:firstLine="0" w:firstLineChars="0"/>
              <w:jc w:val="center"/>
            </w:pPr>
            <w:r>
              <w:rPr>
                <w:rFonts w:ascii="宋体" w:hAnsi="宋体" w:eastAsia="宋体" w:cs="宋体"/>
                <w:b/>
                <w:bCs/>
                <w:color w:val="000000"/>
                <w:sz w:val="16"/>
                <w:szCs w:val="16"/>
              </w:rPr>
              <w:t>输出结果</w:t>
            </w:r>
          </w:p>
        </w:tc>
        <w:tc>
          <w:tcPr>
            <w:tcW w:w="1320" w:type="dxa"/>
            <w:shd w:val="clear" w:color="auto" w:fill="FFFFFF"/>
            <w:vAlign w:val="center"/>
          </w:tcPr>
          <w:p w14:paraId="1B631723">
            <w:pPr>
              <w:keepNext w:val="0"/>
              <w:keepLines/>
              <w:spacing w:before="0" w:after="0" w:line="240" w:lineRule="auto"/>
              <w:ind w:left="0" w:right="0" w:firstLine="0" w:firstLineChars="0"/>
              <w:jc w:val="center"/>
            </w:pPr>
            <w:r>
              <w:rPr>
                <w:rFonts w:ascii="宋体" w:hAnsi="宋体" w:eastAsia="宋体" w:cs="宋体"/>
                <w:b/>
                <w:bCs/>
                <w:color w:val="000000"/>
                <w:sz w:val="16"/>
                <w:szCs w:val="16"/>
              </w:rPr>
              <w:t>关联外部系统</w:t>
            </w:r>
          </w:p>
        </w:tc>
      </w:tr>
      <w:tr w14:paraId="72214D93">
        <w:trPr>
          <w:cantSplit/>
          <w:jc w:val="center"/>
        </w:trPr>
        <w:tc>
          <w:tcPr>
            <w:tcW w:w="830" w:type="dxa"/>
            <w:shd w:val="clear" w:color="auto" w:fill="FFFFFF"/>
            <w:vAlign w:val="center"/>
          </w:tcPr>
          <w:p w14:paraId="2B2F407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R-YC-001</w:t>
            </w:r>
          </w:p>
        </w:tc>
        <w:tc>
          <w:tcPr>
            <w:tcW w:w="980" w:type="dxa"/>
            <w:shd w:val="clear" w:color="auto" w:fill="FFFFFF"/>
            <w:vAlign w:val="center"/>
          </w:tcPr>
          <w:p w14:paraId="70D8F5C5">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有效报警接收与剪枝聚合规则</w:t>
            </w:r>
          </w:p>
        </w:tc>
        <w:tc>
          <w:tcPr>
            <w:tcW w:w="700" w:type="dxa"/>
            <w:shd w:val="clear" w:color="auto" w:fill="FFFFFF"/>
            <w:vAlign w:val="center"/>
          </w:tcPr>
          <w:p w14:paraId="524BE567">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w:t>
            </w:r>
          </w:p>
        </w:tc>
        <w:tc>
          <w:tcPr>
            <w:tcW w:w="900" w:type="dxa"/>
            <w:shd w:val="clear" w:color="auto" w:fill="FFFFFF"/>
            <w:vAlign w:val="center"/>
          </w:tcPr>
          <w:p w14:paraId="36BE3233">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接收 BJ-001 有效报警流</w:t>
            </w:r>
          </w:p>
        </w:tc>
        <w:tc>
          <w:tcPr>
            <w:tcW w:w="1200" w:type="dxa"/>
            <w:shd w:val="clear" w:color="auto" w:fill="FFFFFF"/>
            <w:vAlign w:val="center"/>
          </w:tcPr>
          <w:p w14:paraId="5E8153D7">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BJ-001 升级推送或并发报警 ≥N 条</w:t>
            </w:r>
          </w:p>
        </w:tc>
        <w:tc>
          <w:tcPr>
            <w:tcW w:w="1790" w:type="dxa"/>
            <w:shd w:val="clear" w:color="auto" w:fill="FFFFFF"/>
            <w:vAlign w:val="center"/>
          </w:tcPr>
          <w:p w14:paraId="336E5B43">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接收有效报警并按事故链聚类剪枝，过滤 ≥90% 次生报警</w:t>
            </w:r>
          </w:p>
        </w:tc>
        <w:tc>
          <w:tcPr>
            <w:tcW w:w="1350" w:type="dxa"/>
            <w:shd w:val="clear" w:color="auto" w:fill="FFFFFF"/>
            <w:vAlign w:val="center"/>
          </w:tcPr>
          <w:p w14:paraId="1E04C6A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质量异常事件 / 事故链候选集</w:t>
            </w:r>
          </w:p>
        </w:tc>
        <w:tc>
          <w:tcPr>
            <w:tcW w:w="1320" w:type="dxa"/>
            <w:shd w:val="clear" w:color="auto" w:fill="FFFFFF"/>
            <w:vAlign w:val="center"/>
          </w:tcPr>
          <w:p w14:paraId="2492F4E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报警管理端</w:t>
            </w:r>
          </w:p>
        </w:tc>
      </w:tr>
      <w:tr w14:paraId="0B731B18">
        <w:trPr>
          <w:cantSplit/>
          <w:jc w:val="center"/>
        </w:trPr>
        <w:tc>
          <w:tcPr>
            <w:tcW w:w="830" w:type="dxa"/>
            <w:shd w:val="clear" w:color="auto" w:fill="FFFFFF"/>
            <w:vAlign w:val="center"/>
          </w:tcPr>
          <w:p w14:paraId="2DD36608">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R-YC-002</w:t>
            </w:r>
          </w:p>
        </w:tc>
        <w:tc>
          <w:tcPr>
            <w:tcW w:w="980" w:type="dxa"/>
            <w:shd w:val="clear" w:color="auto" w:fill="FFFFFF"/>
            <w:vAlign w:val="center"/>
          </w:tcPr>
          <w:p w14:paraId="34BC5DEE">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HAZOP/FMEA 图谱匹配规则</w:t>
            </w:r>
          </w:p>
        </w:tc>
        <w:tc>
          <w:tcPr>
            <w:tcW w:w="700" w:type="dxa"/>
            <w:shd w:val="clear" w:color="auto" w:fill="FFFFFF"/>
            <w:vAlign w:val="center"/>
          </w:tcPr>
          <w:p w14:paraId="26C03FE9">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w:t>
            </w:r>
          </w:p>
        </w:tc>
        <w:tc>
          <w:tcPr>
            <w:tcW w:w="900" w:type="dxa"/>
            <w:shd w:val="clear" w:color="auto" w:fill="FFFFFF"/>
            <w:vAlign w:val="center"/>
          </w:tcPr>
          <w:p w14:paraId="16D58FE0">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任务单生成</w:t>
            </w:r>
          </w:p>
        </w:tc>
        <w:tc>
          <w:tcPr>
            <w:tcW w:w="1200" w:type="dxa"/>
            <w:shd w:val="clear" w:color="auto" w:fill="FFFFFF"/>
            <w:vAlign w:val="center"/>
          </w:tcPr>
          <w:p w14:paraId="4D0B66CF">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候选事故链进入诊断引擎</w:t>
            </w:r>
          </w:p>
        </w:tc>
        <w:tc>
          <w:tcPr>
            <w:tcW w:w="1790" w:type="dxa"/>
            <w:shd w:val="clear" w:color="auto" w:fill="FFFFFF"/>
            <w:vAlign w:val="center"/>
          </w:tcPr>
          <w:p w14:paraId="549777C4">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沿 HAZOP/FMEA 知识图谱匹配设备-故障-后果链路</w:t>
            </w:r>
          </w:p>
        </w:tc>
        <w:tc>
          <w:tcPr>
            <w:tcW w:w="1350" w:type="dxa"/>
            <w:shd w:val="clear" w:color="auto" w:fill="FFFFFF"/>
            <w:vAlign w:val="center"/>
          </w:tcPr>
          <w:p w14:paraId="1EA4E935">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因果链路视图</w:t>
            </w:r>
          </w:p>
        </w:tc>
        <w:tc>
          <w:tcPr>
            <w:tcW w:w="1320" w:type="dxa"/>
            <w:shd w:val="clear" w:color="auto" w:fill="FFFFFF"/>
            <w:vAlign w:val="center"/>
          </w:tcPr>
          <w:p w14:paraId="211E2B13">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HAZOP / FMEA 知识库</w:t>
            </w:r>
          </w:p>
        </w:tc>
      </w:tr>
      <w:tr w14:paraId="469BA47F">
        <w:trPr>
          <w:cantSplit/>
          <w:jc w:val="center"/>
        </w:trPr>
        <w:tc>
          <w:tcPr>
            <w:tcW w:w="830" w:type="dxa"/>
            <w:shd w:val="clear" w:color="auto" w:fill="FFFFFF"/>
            <w:vAlign w:val="center"/>
          </w:tcPr>
          <w:p w14:paraId="1043B41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R-YC-003</w:t>
            </w:r>
          </w:p>
        </w:tc>
        <w:tc>
          <w:tcPr>
            <w:tcW w:w="980" w:type="dxa"/>
            <w:shd w:val="clear" w:color="auto" w:fill="FFFFFF"/>
            <w:vAlign w:val="center"/>
          </w:tcPr>
          <w:p w14:paraId="1DC35DAE">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多源数据汇聚与信号异常判别规则</w:t>
            </w:r>
          </w:p>
        </w:tc>
        <w:tc>
          <w:tcPr>
            <w:tcW w:w="700" w:type="dxa"/>
            <w:shd w:val="clear" w:color="auto" w:fill="FFFFFF"/>
            <w:vAlign w:val="center"/>
          </w:tcPr>
          <w:p w14:paraId="107A1E6A">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w:t>
            </w:r>
          </w:p>
        </w:tc>
        <w:tc>
          <w:tcPr>
            <w:tcW w:w="900" w:type="dxa"/>
            <w:shd w:val="clear" w:color="auto" w:fill="FFFFFF"/>
            <w:vAlign w:val="center"/>
          </w:tcPr>
          <w:p w14:paraId="2041D8A4">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图谱加载完成、候选故障模式涉及仪表读数异常</w:t>
            </w:r>
          </w:p>
        </w:tc>
        <w:tc>
          <w:tcPr>
            <w:tcW w:w="1200" w:type="dxa"/>
            <w:shd w:val="clear" w:color="auto" w:fill="FFFFFF"/>
            <w:vAlign w:val="center"/>
          </w:tcPr>
          <w:p w14:paraId="0DE55A48">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实时值偏离历史基线</w:t>
            </w:r>
          </w:p>
        </w:tc>
        <w:tc>
          <w:tcPr>
            <w:tcW w:w="1790" w:type="dxa"/>
            <w:shd w:val="clear" w:color="auto" w:fill="FFFFFF"/>
            <w:vAlign w:val="center"/>
          </w:tcPr>
          <w:p w14:paraId="79BD81E7">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汇聚 DCS 实时工艺参数与仪表历史基线，对比冗余测点区分真实异常与仪表/通讯故障；≤10 秒完成判别</w:t>
            </w:r>
          </w:p>
        </w:tc>
        <w:tc>
          <w:tcPr>
            <w:tcW w:w="1350" w:type="dxa"/>
            <w:shd w:val="clear" w:color="auto" w:fill="FFFFFF"/>
            <w:vAlign w:val="center"/>
          </w:tcPr>
          <w:p w14:paraId="2D629A1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标准化证据数据集 + 信号异常标记</w:t>
            </w:r>
          </w:p>
        </w:tc>
        <w:tc>
          <w:tcPr>
            <w:tcW w:w="1320" w:type="dxa"/>
            <w:shd w:val="clear" w:color="auto" w:fill="FFFFFF"/>
            <w:vAlign w:val="center"/>
          </w:tcPr>
          <w:p w14:paraId="56F949F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DCS 仪表历史库</w:t>
            </w:r>
          </w:p>
        </w:tc>
      </w:tr>
      <w:tr w14:paraId="4C051FA7">
        <w:trPr>
          <w:cantSplit/>
          <w:jc w:val="center"/>
        </w:trPr>
        <w:tc>
          <w:tcPr>
            <w:tcW w:w="830" w:type="dxa"/>
            <w:shd w:val="clear" w:color="auto" w:fill="FFFFFF"/>
            <w:vAlign w:val="center"/>
          </w:tcPr>
          <w:p w14:paraId="24B930C8">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R-YC-004</w:t>
            </w:r>
          </w:p>
        </w:tc>
        <w:tc>
          <w:tcPr>
            <w:tcW w:w="980" w:type="dxa"/>
            <w:shd w:val="clear" w:color="auto" w:fill="FFFFFF"/>
            <w:vAlign w:val="center"/>
          </w:tcPr>
          <w:p w14:paraId="11D69CBA">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根因诊断算法规则</w:t>
            </w:r>
          </w:p>
        </w:tc>
        <w:tc>
          <w:tcPr>
            <w:tcW w:w="700" w:type="dxa"/>
            <w:shd w:val="clear" w:color="auto" w:fill="FFFFFF"/>
            <w:vAlign w:val="center"/>
          </w:tcPr>
          <w:p w14:paraId="129FA979">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w:t>
            </w:r>
          </w:p>
        </w:tc>
        <w:tc>
          <w:tcPr>
            <w:tcW w:w="900" w:type="dxa"/>
            <w:shd w:val="clear" w:color="auto" w:fill="FFFFFF"/>
            <w:vAlign w:val="center"/>
          </w:tcPr>
          <w:p w14:paraId="46EB86F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决策结果为"否"（非信号异常）</w:t>
            </w:r>
          </w:p>
        </w:tc>
        <w:tc>
          <w:tcPr>
            <w:tcW w:w="1200" w:type="dxa"/>
            <w:shd w:val="clear" w:color="auto" w:fill="FFFFFF"/>
            <w:vAlign w:val="center"/>
          </w:tcPr>
          <w:p w14:paraId="3A3693EB">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多维证据链就绪</w:t>
            </w:r>
          </w:p>
        </w:tc>
        <w:tc>
          <w:tcPr>
            <w:tcW w:w="1790" w:type="dxa"/>
            <w:shd w:val="clear" w:color="auto" w:fill="FFFFFF"/>
            <w:vAlign w:val="center"/>
          </w:tcPr>
          <w:p w14:paraId="690CC3C0">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综合贝叶斯根因推断、Bow-Tie 领结图生成、SOP 智能匹配，输出根因、置信度与处置建议方案；归档完成同步更新交接班记录</w:t>
            </w:r>
          </w:p>
        </w:tc>
        <w:tc>
          <w:tcPr>
            <w:tcW w:w="1350" w:type="dxa"/>
            <w:shd w:val="clear" w:color="auto" w:fill="FFFFFF"/>
            <w:vAlign w:val="center"/>
          </w:tcPr>
          <w:p w14:paraId="0AAD4083">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诊断结论（根因 + Bow-Tie + 处置建议）+ 交接班记录更新</w:t>
            </w:r>
          </w:p>
        </w:tc>
        <w:tc>
          <w:tcPr>
            <w:tcW w:w="1320" w:type="dxa"/>
            <w:shd w:val="clear" w:color="auto" w:fill="FFFFFF"/>
            <w:vAlign w:val="center"/>
          </w:tcPr>
          <w:p w14:paraId="7C9E8679">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IPL 防护屏障库 / SOP 库</w:t>
            </w:r>
          </w:p>
        </w:tc>
      </w:tr>
      <w:tr w14:paraId="127B91C4">
        <w:trPr>
          <w:cantSplit/>
          <w:jc w:val="center"/>
        </w:trPr>
        <w:tc>
          <w:tcPr>
            <w:tcW w:w="830" w:type="dxa"/>
            <w:shd w:val="clear" w:color="auto" w:fill="FFFFFF"/>
            <w:vAlign w:val="center"/>
          </w:tcPr>
          <w:p w14:paraId="25FF9B1C">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R-YC-005</w:t>
            </w:r>
          </w:p>
        </w:tc>
        <w:tc>
          <w:tcPr>
            <w:tcW w:w="980" w:type="dxa"/>
            <w:shd w:val="clear" w:color="auto" w:fill="FFFFFF"/>
            <w:vAlign w:val="center"/>
          </w:tcPr>
          <w:p w14:paraId="04D82336">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复核与改进确认规则</w:t>
            </w:r>
          </w:p>
        </w:tc>
        <w:tc>
          <w:tcPr>
            <w:tcW w:w="700" w:type="dxa"/>
            <w:shd w:val="clear" w:color="auto" w:fill="FFFFFF"/>
            <w:vAlign w:val="center"/>
          </w:tcPr>
          <w:p w14:paraId="0F3FC9ED">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w:t>
            </w:r>
          </w:p>
        </w:tc>
        <w:tc>
          <w:tcPr>
            <w:tcW w:w="900" w:type="dxa"/>
            <w:shd w:val="clear" w:color="auto" w:fill="FFFFFF"/>
            <w:vAlign w:val="center"/>
          </w:tcPr>
          <w:p w14:paraId="333D2D74">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接收归因报告</w:t>
            </w:r>
          </w:p>
        </w:tc>
        <w:tc>
          <w:tcPr>
            <w:tcW w:w="1200" w:type="dxa"/>
            <w:shd w:val="clear" w:color="auto" w:fill="FFFFFF"/>
            <w:vAlign w:val="center"/>
          </w:tcPr>
          <w:p w14:paraId="2EAA4A2F">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推送报告至中控室操作员</w:t>
            </w:r>
          </w:p>
        </w:tc>
        <w:tc>
          <w:tcPr>
            <w:tcW w:w="1790" w:type="dxa"/>
            <w:shd w:val="clear" w:color="auto" w:fill="FFFFFF"/>
            <w:vAlign w:val="center"/>
          </w:tcPr>
          <w:p w14:paraId="6744C95D">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由中控室操作员对诊断结论与改进措施进行复核，记录复核结论</w:t>
            </w:r>
          </w:p>
        </w:tc>
        <w:tc>
          <w:tcPr>
            <w:tcW w:w="1350" w:type="dxa"/>
            <w:shd w:val="clear" w:color="auto" w:fill="FFFFFF"/>
            <w:vAlign w:val="center"/>
          </w:tcPr>
          <w:p w14:paraId="047AE32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复核结论 + 改进措施</w:t>
            </w:r>
          </w:p>
        </w:tc>
        <w:tc>
          <w:tcPr>
            <w:tcW w:w="1320" w:type="dxa"/>
            <w:shd w:val="clear" w:color="auto" w:fill="FFFFFF"/>
            <w:vAlign w:val="center"/>
          </w:tcPr>
          <w:p w14:paraId="3D8CDD22">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346DA649">
        <w:trPr>
          <w:cantSplit/>
          <w:jc w:val="center"/>
        </w:trPr>
        <w:tc>
          <w:tcPr>
            <w:tcW w:w="830" w:type="dxa"/>
            <w:shd w:val="clear" w:color="auto" w:fill="FFFFFF"/>
            <w:vAlign w:val="center"/>
          </w:tcPr>
          <w:p w14:paraId="6F5EA56E">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R-YC-006</w:t>
            </w:r>
          </w:p>
        </w:tc>
        <w:tc>
          <w:tcPr>
            <w:tcW w:w="980" w:type="dxa"/>
            <w:shd w:val="clear" w:color="auto" w:fill="FFFFFF"/>
            <w:vAlign w:val="center"/>
          </w:tcPr>
          <w:p w14:paraId="02BE04C3">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采纳决策规则</w:t>
            </w:r>
          </w:p>
        </w:tc>
        <w:tc>
          <w:tcPr>
            <w:tcW w:w="700" w:type="dxa"/>
            <w:shd w:val="clear" w:color="auto" w:fill="FFFFFF"/>
            <w:vAlign w:val="center"/>
          </w:tcPr>
          <w:p w14:paraId="24F0631E">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w:t>
            </w:r>
          </w:p>
        </w:tc>
        <w:tc>
          <w:tcPr>
            <w:tcW w:w="900" w:type="dxa"/>
            <w:shd w:val="clear" w:color="auto" w:fill="FFFFFF"/>
            <w:vAlign w:val="center"/>
          </w:tcPr>
          <w:p w14:paraId="3716F22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复核完成</w:t>
            </w:r>
          </w:p>
        </w:tc>
        <w:tc>
          <w:tcPr>
            <w:tcW w:w="1200" w:type="dxa"/>
            <w:shd w:val="clear" w:color="auto" w:fill="FFFFFF"/>
            <w:vAlign w:val="center"/>
          </w:tcPr>
          <w:p w14:paraId="07DA9631">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操作员做出采纳/否认判断</w:t>
            </w:r>
          </w:p>
        </w:tc>
        <w:tc>
          <w:tcPr>
            <w:tcW w:w="1790" w:type="dxa"/>
            <w:shd w:val="clear" w:color="auto" w:fill="FFFFFF"/>
            <w:vAlign w:val="center"/>
          </w:tcPr>
          <w:p w14:paraId="5E2E54B4">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是→确认（并执行）处置；否→触发算法重新诊断</w:t>
            </w:r>
          </w:p>
        </w:tc>
        <w:tc>
          <w:tcPr>
            <w:tcW w:w="1350" w:type="dxa"/>
            <w:shd w:val="clear" w:color="auto" w:fill="FFFFFF"/>
            <w:vAlign w:val="center"/>
          </w:tcPr>
          <w:p w14:paraId="395677F7">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处置确认 / 重新诊断触发</w:t>
            </w:r>
          </w:p>
        </w:tc>
        <w:tc>
          <w:tcPr>
            <w:tcW w:w="1320" w:type="dxa"/>
            <w:shd w:val="clear" w:color="auto" w:fill="FFFFFF"/>
            <w:vAlign w:val="center"/>
          </w:tcPr>
          <w:p w14:paraId="4C83D253">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w:t>
            </w:r>
          </w:p>
        </w:tc>
      </w:tr>
      <w:tr w14:paraId="72DCA8AB">
        <w:trPr>
          <w:cantSplit/>
          <w:jc w:val="center"/>
        </w:trPr>
        <w:tc>
          <w:tcPr>
            <w:tcW w:w="830" w:type="dxa"/>
            <w:shd w:val="clear" w:color="auto" w:fill="FFFFFF"/>
            <w:vAlign w:val="center"/>
          </w:tcPr>
          <w:p w14:paraId="014742B4">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R-YC-007</w:t>
            </w:r>
          </w:p>
        </w:tc>
        <w:tc>
          <w:tcPr>
            <w:tcW w:w="980" w:type="dxa"/>
            <w:shd w:val="clear" w:color="auto" w:fill="FFFFFF"/>
            <w:vAlign w:val="center"/>
          </w:tcPr>
          <w:p w14:paraId="51A80246">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处置闭环、案例沉淀与交接班规则</w:t>
            </w:r>
          </w:p>
        </w:tc>
        <w:tc>
          <w:tcPr>
            <w:tcW w:w="700" w:type="dxa"/>
            <w:shd w:val="clear" w:color="auto" w:fill="FFFFFF"/>
            <w:vAlign w:val="center"/>
          </w:tcPr>
          <w:p w14:paraId="7ED1180A">
            <w:pPr>
              <w:keepNext w:val="0"/>
              <w:keepLines/>
              <w:spacing w:before="0" w:after="0" w:line="240" w:lineRule="auto"/>
              <w:ind w:left="0" w:right="0" w:firstLine="0" w:firstLineChars="0"/>
              <w:jc w:val="center"/>
            </w:pPr>
            <w:r>
              <w:rPr>
                <w:rFonts w:ascii="宋体" w:hAnsi="宋体" w:eastAsia="宋体" w:cs="宋体"/>
                <w:b w:val="0"/>
                <w:bCs w:val="0"/>
                <w:color w:val="000000"/>
                <w:sz w:val="16"/>
                <w:szCs w:val="16"/>
              </w:rPr>
              <w:t>异常工况智能诊断</w:t>
            </w:r>
          </w:p>
        </w:tc>
        <w:tc>
          <w:tcPr>
            <w:tcW w:w="900" w:type="dxa"/>
            <w:shd w:val="clear" w:color="auto" w:fill="FFFFFF"/>
            <w:vAlign w:val="center"/>
          </w:tcPr>
          <w:p w14:paraId="5513E2C8">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决策结果为"是/否"</w:t>
            </w:r>
          </w:p>
        </w:tc>
        <w:tc>
          <w:tcPr>
            <w:tcW w:w="1200" w:type="dxa"/>
            <w:shd w:val="clear" w:color="auto" w:fill="FFFFFF"/>
            <w:vAlign w:val="center"/>
          </w:tcPr>
          <w:p w14:paraId="703796C8">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处置执行完成或否认结论提交</w:t>
            </w:r>
          </w:p>
        </w:tc>
        <w:tc>
          <w:tcPr>
            <w:tcW w:w="1790" w:type="dxa"/>
            <w:shd w:val="clear" w:color="auto" w:fill="FFFFFF"/>
            <w:vAlign w:val="center"/>
          </w:tcPr>
          <w:p w14:paraId="1EAB26BC">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采纳→案例入库 + 图谱权重更新；否认→触发算法重新诊断；归档完成同步交接班记录</w:t>
            </w:r>
          </w:p>
        </w:tc>
        <w:tc>
          <w:tcPr>
            <w:tcW w:w="1350" w:type="dxa"/>
            <w:shd w:val="clear" w:color="auto" w:fill="FFFFFF"/>
            <w:vAlign w:val="center"/>
          </w:tcPr>
          <w:p w14:paraId="242795BE">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案例库 + 图谱权重更新 / 重新诊断 / 交接班记录</w:t>
            </w:r>
          </w:p>
        </w:tc>
        <w:tc>
          <w:tcPr>
            <w:tcW w:w="1320" w:type="dxa"/>
            <w:shd w:val="clear" w:color="auto" w:fill="FFFFFF"/>
            <w:vAlign w:val="center"/>
          </w:tcPr>
          <w:p w14:paraId="6F2D357A">
            <w:pPr>
              <w:keepNext w:val="0"/>
              <w:keepLines/>
              <w:spacing w:before="0" w:after="0" w:line="240" w:lineRule="auto"/>
              <w:ind w:left="0" w:right="0" w:firstLine="0" w:firstLineChars="0"/>
              <w:jc w:val="left"/>
            </w:pPr>
            <w:r>
              <w:rPr>
                <w:rFonts w:ascii="宋体" w:hAnsi="宋体" w:eastAsia="宋体" w:cs="宋体"/>
                <w:b w:val="0"/>
                <w:bCs w:val="0"/>
                <w:color w:val="000000"/>
                <w:sz w:val="16"/>
                <w:szCs w:val="16"/>
              </w:rPr>
              <w:t>质量知识图谱</w:t>
            </w:r>
          </w:p>
        </w:tc>
      </w:tr>
    </w:tbl>
    <w:p w14:paraId="39C6A069">
      <w:pPr>
        <w:pStyle w:val="2"/>
        <w:pageBreakBefore/>
        <w:snapToGrid w:val="0"/>
      </w:pPr>
      <w:bookmarkStart w:id="119" w:name="s7"/>
      <w:r>
        <w:rPr>
          <w:rFonts w:ascii="黑体" w:hAnsi="黑体" w:eastAsia="黑体" w:cs="黑体"/>
          <w:b/>
          <w:color w:val="000000"/>
        </w:rPr>
        <w:t>7　价值层：建设价值与度量</w:t>
      </w:r>
      <w:bookmarkEnd w:id="119"/>
    </w:p>
    <w:p w14:paraId="0B51802C">
      <w:pPr>
        <w:pStyle w:val="3"/>
        <w:snapToGrid w:val="0"/>
      </w:pPr>
      <w:bookmarkStart w:id="120" w:name="s7_1"/>
      <w:r>
        <w:rPr>
          <w:rFonts w:ascii="黑体" w:hAnsi="黑体" w:eastAsia="黑体" w:cs="黑体"/>
          <w:b/>
          <w:color w:val="000000"/>
        </w:rPr>
        <w:t>7.1　业务价值</w:t>
      </w:r>
      <w:bookmarkEnd w:id="120"/>
    </w:p>
    <w:p w14:paraId="42FA8BB8">
      <w:pPr>
        <w:pStyle w:val="15"/>
        <w:snapToGrid w:val="0"/>
        <w:jc w:val="center"/>
      </w:pPr>
      <w:r>
        <w:t>表7-1　建设价值与可观察结果</w:t>
      </w:r>
    </w:p>
    <w:tbl>
      <w:tblPr>
        <w:tblStyle w:val="9"/>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5" w:type="dxa"/>
          <w:left w:w="80" w:type="dxa"/>
          <w:bottom w:w="65" w:type="dxa"/>
          <w:right w:w="80" w:type="dxa"/>
        </w:tblCellMar>
      </w:tblPr>
      <w:tblGrid>
        <w:gridCol w:w="2016"/>
        <w:gridCol w:w="4132"/>
        <w:gridCol w:w="2924"/>
      </w:tblGrid>
      <w:tr w14:paraId="75577557">
        <w:trPr>
          <w:cantSplit/>
          <w:tblHeader/>
        </w:trPr>
        <w:tc>
          <w:tcPr>
            <w:tcW w:w="2016" w:type="dxa"/>
            <w:vAlign w:val="center"/>
          </w:tcPr>
          <w:p w14:paraId="4E66D008">
            <w:pPr>
              <w:pStyle w:val="14"/>
              <w:snapToGrid w:val="0"/>
              <w:jc w:val="center"/>
            </w:pPr>
            <w:r>
              <w:rPr>
                <w:b/>
              </w:rPr>
              <w:t>业务改进</w:t>
            </w:r>
          </w:p>
        </w:tc>
        <w:tc>
          <w:tcPr>
            <w:tcW w:w="4132" w:type="dxa"/>
            <w:vAlign w:val="center"/>
          </w:tcPr>
          <w:p w14:paraId="1325890A">
            <w:pPr>
              <w:pStyle w:val="14"/>
              <w:snapToGrid w:val="0"/>
              <w:jc w:val="center"/>
            </w:pPr>
            <w:r>
              <w:rPr>
                <w:b/>
              </w:rPr>
              <w:t>可观察结果</w:t>
            </w:r>
          </w:p>
        </w:tc>
        <w:tc>
          <w:tcPr>
            <w:tcW w:w="2924" w:type="dxa"/>
            <w:vAlign w:val="center"/>
          </w:tcPr>
          <w:p w14:paraId="24E4D17B">
            <w:pPr>
              <w:pStyle w:val="14"/>
              <w:snapToGrid w:val="0"/>
              <w:jc w:val="center"/>
            </w:pPr>
            <w:r>
              <w:rPr>
                <w:b/>
              </w:rPr>
              <w:t>核对方式</w:t>
            </w:r>
          </w:p>
        </w:tc>
      </w:tr>
      <w:tr w14:paraId="31E5A9A1">
        <w:trPr>
          <w:cantSplit/>
        </w:trPr>
        <w:tc>
          <w:tcPr>
            <w:tcW w:w="2016" w:type="dxa"/>
            <w:vAlign w:val="center"/>
          </w:tcPr>
          <w:p w14:paraId="0FB79F58">
            <w:pPr>
              <w:pStyle w:val="14"/>
              <w:snapToGrid w:val="0"/>
              <w:jc w:val="left"/>
            </w:pPr>
            <w:r>
              <w:t>统一查询与业务口径</w:t>
            </w:r>
          </w:p>
        </w:tc>
        <w:tc>
          <w:tcPr>
            <w:tcW w:w="4132" w:type="dxa"/>
            <w:vAlign w:val="center"/>
          </w:tcPr>
          <w:p w14:paraId="5930E4E0">
            <w:pPr>
              <w:pStyle w:val="14"/>
              <w:snapToGrid w:val="0"/>
              <w:jc w:val="left"/>
            </w:pPr>
            <w:r>
              <w:t>同一入口获取跨系统信息，回答附对象、口径和来源</w:t>
            </w:r>
          </w:p>
        </w:tc>
        <w:tc>
          <w:tcPr>
            <w:tcW w:w="2924" w:type="dxa"/>
            <w:vAlign w:val="center"/>
          </w:tcPr>
          <w:p w14:paraId="74EC7232">
            <w:pPr>
              <w:pStyle w:val="14"/>
              <w:snapToGrid w:val="0"/>
              <w:jc w:val="left"/>
            </w:pPr>
            <w:r>
              <w:t>选取岗位常用问题，比对回答与源数据</w:t>
            </w:r>
          </w:p>
        </w:tc>
      </w:tr>
      <w:tr w14:paraId="00A9D45F">
        <w:trPr>
          <w:cantSplit/>
        </w:trPr>
        <w:tc>
          <w:tcPr>
            <w:tcW w:w="2016" w:type="dxa"/>
            <w:vAlign w:val="center"/>
          </w:tcPr>
          <w:p w14:paraId="78966158">
            <w:pPr>
              <w:pStyle w:val="14"/>
              <w:snapToGrid w:val="0"/>
              <w:jc w:val="left"/>
            </w:pPr>
            <w:r>
              <w:t>异常分析与处置</w:t>
            </w:r>
          </w:p>
        </w:tc>
        <w:tc>
          <w:tcPr>
            <w:tcW w:w="4132" w:type="dxa"/>
            <w:vAlign w:val="center"/>
          </w:tcPr>
          <w:p w14:paraId="140184EC">
            <w:pPr>
              <w:pStyle w:val="14"/>
              <w:snapToGrid w:val="0"/>
              <w:jc w:val="left"/>
            </w:pPr>
            <w:r>
              <w:t>关联呈现DCS侧高级报警提供的信息，以及诊断依据、处置建议和确认记录</w:t>
            </w:r>
          </w:p>
        </w:tc>
        <w:tc>
          <w:tcPr>
            <w:tcW w:w="2924" w:type="dxa"/>
            <w:vAlign w:val="center"/>
          </w:tcPr>
          <w:p w14:paraId="5A9753BC">
            <w:pPr>
              <w:pStyle w:val="14"/>
              <w:snapToGrid w:val="0"/>
              <w:jc w:val="left"/>
            </w:pPr>
            <w:r>
              <w:t>回放典型事件，检查从触发到归档的过程记录</w:t>
            </w:r>
          </w:p>
        </w:tc>
      </w:tr>
      <w:tr w14:paraId="5FED11D4">
        <w:trPr>
          <w:cantSplit/>
        </w:trPr>
        <w:tc>
          <w:tcPr>
            <w:tcW w:w="2016" w:type="dxa"/>
            <w:vAlign w:val="center"/>
          </w:tcPr>
          <w:p w14:paraId="2460BE4E">
            <w:pPr>
              <w:pStyle w:val="14"/>
              <w:snapToGrid w:val="0"/>
              <w:jc w:val="left"/>
            </w:pPr>
            <w:r>
              <w:t>质量追溯与专业分析</w:t>
            </w:r>
          </w:p>
        </w:tc>
        <w:tc>
          <w:tcPr>
            <w:tcW w:w="4132" w:type="dxa"/>
            <w:vAlign w:val="center"/>
          </w:tcPr>
          <w:p w14:paraId="20575DFE">
            <w:pPr>
              <w:pStyle w:val="14"/>
              <w:snapToGrid w:val="0"/>
              <w:jc w:val="left"/>
            </w:pPr>
            <w:r>
              <w:t>批次链路及影响因素可展开，核算与分析结果可追溯</w:t>
            </w:r>
          </w:p>
        </w:tc>
        <w:tc>
          <w:tcPr>
            <w:tcW w:w="2924" w:type="dxa"/>
            <w:vAlign w:val="center"/>
          </w:tcPr>
          <w:p w14:paraId="2F80569F">
            <w:pPr>
              <w:pStyle w:val="14"/>
              <w:snapToGrid w:val="0"/>
              <w:jc w:val="left"/>
            </w:pPr>
            <w:r>
              <w:t>选取批次和分析报告，核对关联对象及证据</w:t>
            </w:r>
          </w:p>
        </w:tc>
      </w:tr>
      <w:tr w14:paraId="1B47909C">
        <w:trPr>
          <w:cantSplit/>
        </w:trPr>
        <w:tc>
          <w:tcPr>
            <w:tcW w:w="2016" w:type="dxa"/>
            <w:vAlign w:val="center"/>
          </w:tcPr>
          <w:p w14:paraId="3F7B877E">
            <w:pPr>
              <w:pStyle w:val="14"/>
              <w:snapToGrid w:val="0"/>
              <w:jc w:val="left"/>
            </w:pPr>
            <w:r>
              <w:t>经验沉淀与复用</w:t>
            </w:r>
          </w:p>
        </w:tc>
        <w:tc>
          <w:tcPr>
            <w:tcW w:w="4132" w:type="dxa"/>
            <w:vAlign w:val="center"/>
          </w:tcPr>
          <w:p w14:paraId="5DED4DDF">
            <w:pPr>
              <w:pStyle w:val="14"/>
              <w:snapToGrid w:val="0"/>
              <w:jc w:val="left"/>
            </w:pPr>
            <w:r>
              <w:t>确认案例形成可复用知识，关联诊断与处置依据</w:t>
            </w:r>
          </w:p>
        </w:tc>
        <w:tc>
          <w:tcPr>
            <w:tcW w:w="2924" w:type="dxa"/>
            <w:vAlign w:val="center"/>
          </w:tcPr>
          <w:p w14:paraId="31F9CBE4">
            <w:pPr>
              <w:pStyle w:val="14"/>
              <w:snapToGrid w:val="0"/>
              <w:jc w:val="left"/>
            </w:pPr>
            <w:r>
              <w:t>抽查知识版本、来源案例与应用引用记录</w:t>
            </w:r>
          </w:p>
        </w:tc>
      </w:tr>
    </w:tbl>
    <w:p w14:paraId="2D98F39A">
      <w:pPr>
        <w:pStyle w:val="12"/>
        <w:snapToGrid w:val="0"/>
        <w:spacing w:after="25"/>
      </w:pPr>
    </w:p>
    <w:p w14:paraId="4A021DB1">
      <w:pPr>
        <w:pStyle w:val="3"/>
        <w:snapToGrid w:val="0"/>
      </w:pPr>
      <w:bookmarkStart w:id="121" w:name="s7_2"/>
      <w:r>
        <w:rPr>
          <w:rFonts w:ascii="黑体" w:hAnsi="黑体" w:eastAsia="黑体" w:cs="黑体"/>
          <w:b/>
          <w:color w:val="000000"/>
        </w:rPr>
        <w:t>7.2　管理价值</w:t>
      </w:r>
      <w:bookmarkEnd w:id="121"/>
    </w:p>
    <w:p w14:paraId="7B4EBCB4">
      <w:pPr>
        <w:ind w:firstLineChars="200"/>
        <w:rPr>
          <w:rFonts w:ascii="宋体" w:hAnsi="宋体" w:eastAsia="宋体"/>
          <w:b w:val="0"/>
          <w:color w:val="auto"/>
        </w:rPr>
      </w:pPr>
      <w:r>
        <w:rPr>
          <w:rFonts w:ascii="宋体" w:hAnsi="宋体" w:eastAsia="宋体"/>
          <w:b w:val="0"/>
          <w:color w:val="auto"/>
        </w:rPr>
        <w:t>以场景需求组织数据资产、指标和知识建设，将业务授权落实到查询、报告查看和事件推送。知识修订和问题处理形成记录，便于业务复核与管理追踪。使用情况与反馈为后续知识补充、数据完善和场景改进提供依据。</w:t>
      </w:r>
    </w:p>
    <w:p w14:paraId="1EFC6A31">
      <w:pPr>
        <w:pStyle w:val="3"/>
        <w:snapToGrid w:val="0"/>
      </w:pPr>
      <w:bookmarkStart w:id="122" w:name="s7_3"/>
      <w:r>
        <w:rPr>
          <w:rFonts w:ascii="黑体" w:hAnsi="黑体" w:eastAsia="黑体" w:cs="黑体"/>
          <w:b/>
          <w:color w:val="000000"/>
        </w:rPr>
        <w:t>7.3　平台度量指标</w:t>
      </w:r>
      <w:bookmarkEnd w:id="122"/>
    </w:p>
    <w:p w14:paraId="71382538">
      <w:pPr>
        <w:ind w:firstLineChars="200"/>
        <w:rPr>
          <w:rFonts w:ascii="宋体" w:hAnsi="宋体" w:eastAsia="宋体"/>
          <w:b w:val="0"/>
          <w:color w:val="auto"/>
        </w:rPr>
      </w:pPr>
      <w:r>
        <w:rPr>
          <w:rFonts w:ascii="宋体" w:hAnsi="宋体" w:eastAsia="宋体"/>
          <w:b w:val="0"/>
          <w:color w:val="auto"/>
        </w:rPr>
        <w:t>能力验证采用典型问题、历史事件和业务样例，检查取数口径、引用证据、结论分级、权限执行及建议校验。运行统计记录问答与场景使用分布、报告送达与确认、知识线索处理、问题闭环及回归结果；统计项注明时间范围与计算口径，并可追溯到执行记录。</w:t>
      </w:r>
    </w:p>
    <w:sectPr>
      <w:headerReference r:id="rId6" w:type="first"/>
      <w:headerReference r:id="rId5" w:type="default"/>
      <w:footerReference r:id="rId7" w:type="default"/>
      <w:pgSz w:w="11906" w:h="16838"/>
      <w:pgMar w:top="1417" w:right="1247" w:bottom="1417" w:left="1587" w:header="0" w:footer="85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EA5A5">
    <w:pPr>
      <w:jc w:val="center"/>
    </w:pPr>
    <w:r>
      <w:rPr>
        <w:rFonts w:ascii="宋体" w:hAnsi="宋体" w:eastAsia="宋体"/>
        <w:sz w:val="21"/>
      </w:rPr>
      <w:t xml:space="preserve">第 </w:t>
    </w:r>
    <w:r>
      <w:fldChar w:fldCharType="begin"/>
    </w:r>
    <w:r>
      <w:instrText xml:space="preserve"> PAGE </w:instrText>
    </w:r>
    <w:r>
      <w:fldChar w:fldCharType="separate"/>
    </w:r>
    <w:r>
      <w:rPr>
        <w:rFonts w:ascii="宋体" w:hAnsi="宋体" w:eastAsia="宋体"/>
        <w:sz w:val="21"/>
      </w:rPr>
      <w:t>1</w:t>
    </w:r>
    <w:r>
      <w:rPr>
        <w:rFonts w:ascii="宋体" w:hAnsi="宋体" w:eastAsia="宋体"/>
        <w:sz w:val="21"/>
      </w:rPr>
      <w:fldChar w:fldCharType="end"/>
    </w:r>
    <w:r>
      <w:rPr>
        <w:rFonts w:ascii="宋体" w:hAnsi="宋体" w:eastAsia="宋体"/>
        <w:sz w:val="21"/>
      </w:rPr>
      <w:t xml:space="preserve"> 页 / 共 </w:t>
    </w:r>
    <w:r>
      <w:fldChar w:fldCharType="begin"/>
    </w:r>
    <w:r>
      <w:instrText xml:space="preserve"> NUMPAGES </w:instrText>
    </w:r>
    <w:r>
      <w:fldChar w:fldCharType="separate"/>
    </w:r>
    <w:r>
      <w:rPr>
        <w:rFonts w:ascii="宋体" w:hAnsi="宋体" w:eastAsia="宋体"/>
        <w:sz w:val="21"/>
      </w:rPr>
      <w:t>128</w:t>
    </w:r>
    <w:r>
      <w:rPr>
        <w:rFonts w:ascii="宋体" w:hAnsi="宋体" w:eastAsia="宋体"/>
        <w:sz w:val="21"/>
      </w:rPr>
      <w:fldChar w:fldCharType="end"/>
    </w:r>
    <w:r>
      <w:rPr>
        <w:rFonts w:ascii="宋体" w:hAnsi="宋体" w:eastAsia="宋体"/>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399F2">
    <w:pPr>
      <w:pBdr>
        <w:bottom w:val="none" w:color="auto" w:sz="0" w:space="0"/>
      </w:pBd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38" name="项目标识" descr="项目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项目标识" descr="项目标识"/>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4570730</wp:posOffset>
          </wp:positionH>
          <wp:positionV relativeFrom="paragraph">
            <wp:posOffset>291465</wp:posOffset>
          </wp:positionV>
          <wp:extent cx="1449070" cy="152400"/>
          <wp:effectExtent l="0" t="0" r="17780" b="0"/>
          <wp:wrapNone/>
          <wp:docPr id="39" name="项目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项目标识"/>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63BCEBD1">
    <w:pPr>
      <w:pBdr>
        <w:bottom w:val="none" w:color="auto" w:sz="0" w:space="0"/>
      </w:pBdr>
      <w:jc w:val="center"/>
      <w:rPr>
        <w:rFonts w:hint="eastAsia"/>
        <w:sz w:val="24"/>
        <w:szCs w:val="28"/>
        <w:lang w:val="en-US" w:eastAsia="zh-CN"/>
      </w:rPr>
    </w:pPr>
  </w:p>
  <w:p w14:paraId="06F14E93">
    <w:pPr>
      <w:pBdr>
        <w:bottom w:val="none" w:color="auto" w:sz="0" w:space="0"/>
      </w:pBdr>
      <w:spacing w:before="0" w:after="0" w:line="200" w:lineRule="auto"/>
      <w:jc w:val="center"/>
      <w:rPr>
        <w:rFonts w:hint="default" w:eastAsia="宋体"/>
        <w:sz w:val="24"/>
        <w:szCs w:val="28"/>
        <w:lang w:val="en-US" w:eastAsia="zh-CN"/>
      </w:rPr>
    </w:pPr>
    <w:r>
      <w:rPr>
        <w:rFonts w:ascii="宋体" w:hAnsi="宋体" w:eastAsia="宋体" w:cs="宋体"/>
        <w:color w:val="000000"/>
        <w:sz w:val="18"/>
        <w:szCs w:val="18"/>
      </w:rPr>
      <w:t>中粮太仓项目AI优化平台综合业务蓝图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5A66D">
    <w:pPr>
      <w:pBdr>
        <w:bottom w:val="none" w:color="auto" w:sz="0" w:space="0"/>
      </w:pBd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36" name="项目标识" descr="项目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项目标识" descr="项目标识"/>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4570730</wp:posOffset>
          </wp:positionH>
          <wp:positionV relativeFrom="paragraph">
            <wp:posOffset>291465</wp:posOffset>
          </wp:positionV>
          <wp:extent cx="1449070" cy="152400"/>
          <wp:effectExtent l="0" t="0" r="17780" b="0"/>
          <wp:wrapNone/>
          <wp:docPr id="37" name="项目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项目标识"/>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531C09A">
    <w:pPr>
      <w:pBdr>
        <w:bottom w:val="none" w:color="auto" w:sz="0" w:space="0"/>
      </w:pBdr>
      <w:jc w:val="center"/>
      <w:rPr>
        <w:rFonts w:hint="eastAsia"/>
        <w:sz w:val="24"/>
        <w:szCs w:val="28"/>
        <w:lang w:val="en-US" w:eastAsia="zh-CN"/>
      </w:rPr>
    </w:pPr>
  </w:p>
  <w:p w14:paraId="14380E26">
    <w:pPr>
      <w:pBdr>
        <w:bottom w:val="none" w:color="auto" w:sz="0" w:space="0"/>
      </w:pBdr>
      <w:spacing w:before="0" w:after="0" w:line="200" w:lineRule="auto"/>
      <w:jc w:val="center"/>
      <w:rPr>
        <w:rFonts w:hint="default" w:eastAsia="宋体"/>
        <w:sz w:val="24"/>
        <w:szCs w:val="28"/>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4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37FF0324"/>
    <w:rsid w:val="3FC62F15"/>
    <w:rsid w:val="3FFF379C"/>
    <w:rsid w:val="4393BF64"/>
    <w:rsid w:val="56D861B6"/>
    <w:rsid w:val="5AFF88AA"/>
    <w:rsid w:val="76DFD4CE"/>
    <w:rsid w:val="7B7FE877"/>
    <w:rsid w:val="7C7F3C37"/>
    <w:rsid w:val="7CB7FFBE"/>
    <w:rsid w:val="7DC5A248"/>
    <w:rsid w:val="7EF72D1B"/>
    <w:rsid w:val="7FDF20DB"/>
    <w:rsid w:val="7FF90FCD"/>
    <w:rsid w:val="7FFDF3E5"/>
    <w:rsid w:val="7FFF1E21"/>
    <w:rsid w:val="7FFFBD16"/>
    <w:rsid w:val="93E7C57D"/>
    <w:rsid w:val="9FDE1C0D"/>
    <w:rsid w:val="A17F7494"/>
    <w:rsid w:val="ABAC5780"/>
    <w:rsid w:val="BBFF403A"/>
    <w:rsid w:val="BCFF2175"/>
    <w:rsid w:val="BE973DFD"/>
    <w:rsid w:val="D4BF25A5"/>
    <w:rsid w:val="DAFBABCA"/>
    <w:rsid w:val="EDEBDAC1"/>
    <w:rsid w:val="FEAF8440"/>
    <w:rsid w:val="FFF577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60" w:lineRule="auto"/>
    </w:pPr>
    <w:rPr>
      <w:rFonts w:ascii="宋体" w:hAnsi="宋体" w:eastAsia="宋体" w:cstheme="minorBidi"/>
      <w:color w:val="000000"/>
      <w:sz w:val="24"/>
      <w:szCs w:val="22"/>
      <w:lang w:val="en-US" w:eastAsia="en-US" w:bidi="ar-SA"/>
    </w:rPr>
  </w:style>
  <w:style w:type="paragraph" w:styleId="2">
    <w:name w:val="heading 1"/>
    <w:basedOn w:val="1"/>
    <w:next w:val="1"/>
    <w:qFormat/>
    <w:uiPriority w:val="9"/>
    <w:pPr>
      <w:keepNext/>
      <w:keepLines/>
      <w:spacing w:before="0" w:beforeLines="100" w:after="0" w:afterLines="100" w:line="336" w:lineRule="auto"/>
      <w:jc w:val="center"/>
      <w:outlineLvl w:val="0"/>
    </w:pPr>
    <w:rPr>
      <w:rFonts w:asciiTheme="majorHAnsi" w:hAnsiTheme="majorHAnsi" w:eastAsiaTheme="majorEastAsia" w:cstheme="majorBidi"/>
      <w:b/>
      <w:bCs/>
      <w:color w:val="000000"/>
      <w:sz w:val="44"/>
      <w:szCs w:val="28"/>
    </w:rPr>
  </w:style>
  <w:style w:type="paragraph" w:styleId="3">
    <w:name w:val="heading 2"/>
    <w:basedOn w:val="1"/>
    <w:next w:val="1"/>
    <w:unhideWhenUsed/>
    <w:qFormat/>
    <w:uiPriority w:val="9"/>
    <w:pPr>
      <w:keepNext/>
      <w:keepLines/>
      <w:spacing w:before="240" w:after="120" w:line="336" w:lineRule="auto"/>
      <w:jc w:val="left"/>
      <w:outlineLvl w:val="1"/>
    </w:pPr>
    <w:rPr>
      <w:rFonts w:asciiTheme="majorHAnsi" w:hAnsiTheme="majorHAnsi" w:eastAsiaTheme="majorEastAsia" w:cstheme="majorBidi"/>
      <w:b/>
      <w:bCs/>
      <w:color w:val="000000"/>
      <w:sz w:val="30"/>
      <w:szCs w:val="26"/>
    </w:rPr>
  </w:style>
  <w:style w:type="paragraph" w:styleId="4">
    <w:name w:val="heading 3"/>
    <w:basedOn w:val="1"/>
    <w:next w:val="1"/>
    <w:unhideWhenUsed/>
    <w:qFormat/>
    <w:uiPriority w:val="9"/>
    <w:pPr>
      <w:keepNext/>
      <w:keepLines/>
      <w:spacing w:before="240" w:after="120" w:line="336" w:lineRule="auto"/>
      <w:jc w:val="left"/>
      <w:outlineLvl w:val="2"/>
    </w:pPr>
    <w:rPr>
      <w:rFonts w:asciiTheme="majorHAnsi" w:hAnsiTheme="majorHAnsi" w:eastAsiaTheme="majorEastAsia" w:cstheme="majorBidi"/>
      <w:b/>
      <w:bCs/>
      <w:color w:val="000000"/>
      <w:sz w:val="28"/>
    </w:rPr>
  </w:style>
  <w:style w:type="paragraph" w:styleId="5">
    <w:name w:val="heading 4"/>
    <w:basedOn w:val="1"/>
    <w:next w:val="1"/>
    <w:semiHidden/>
    <w:unhideWhenUsed/>
    <w:qFormat/>
    <w:uiPriority w:val="9"/>
    <w:pPr>
      <w:keepNext/>
      <w:keepLines/>
      <w:spacing w:before="240" w:after="120" w:line="336" w:lineRule="auto"/>
      <w:jc w:val="left"/>
      <w:outlineLvl w:val="3"/>
    </w:pPr>
    <w:rPr>
      <w:rFonts w:asciiTheme="majorHAnsi" w:hAnsiTheme="majorHAnsi" w:eastAsiaTheme="majorEastAsia" w:cstheme="majorBidi"/>
      <w:b/>
      <w:bCs/>
      <w:iCs/>
      <w:color w:val="000000"/>
      <w:sz w:val="28"/>
    </w:rPr>
  </w:style>
  <w:style w:type="character" w:default="1" w:styleId="11">
    <w:name w:val="Default Paragraph Font"/>
    <w:semiHidden/>
    <w:uiPriority w:val="0"/>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annotation text"/>
    <w:basedOn w:val="1"/>
    <w:uiPriority w:val="0"/>
    <w:pPr>
      <w:jc w:val="left"/>
    </w:pPr>
  </w:style>
  <w:style w:type="paragraph" w:styleId="7">
    <w:name w:val="footer"/>
    <w:basedOn w:val="1"/>
    <w:uiPriority w:val="0"/>
    <w:pPr>
      <w:tabs>
        <w:tab w:val="center" w:pos="4153"/>
        <w:tab w:val="right" w:pos="8306"/>
      </w:tabs>
      <w:snapToGrid w:val="0"/>
      <w:jc w:val="left"/>
    </w:pPr>
    <w:rPr>
      <w:sz w:val="18"/>
    </w:rPr>
  </w:style>
  <w:style w:type="paragraph" w:styleId="8">
    <w:name w:val="Title"/>
    <w:basedOn w:val="1"/>
    <w:next w:val="1"/>
    <w:qFormat/>
    <w:uiPriority w:val="10"/>
    <w:pPr>
      <w:snapToGrid w:val="0"/>
      <w:spacing w:before="0" w:after="100" w:line="276" w:lineRule="auto"/>
      <w:contextualSpacing/>
      <w:jc w:val="center"/>
    </w:pPr>
    <w:rPr>
      <w:rFonts w:asciiTheme="majorHAnsi" w:hAnsiTheme="majorHAnsi" w:eastAsiaTheme="majorEastAsia" w:cstheme="majorBidi"/>
      <w:b/>
      <w:color w:val="000000"/>
      <w:spacing w:val="5"/>
      <w:kern w:val="28"/>
      <w:sz w:val="40"/>
      <w:szCs w:val="52"/>
    </w:rPr>
  </w:style>
  <w:style w:type="table" w:styleId="10">
    <w:name w:val="Table Grid"/>
    <w:basedOn w:val="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2">
    <w:name w:val="Template Guide"/>
    <w:basedOn w:val="1"/>
    <w:uiPriority w:val="0"/>
    <w:pPr>
      <w:snapToGrid w:val="0"/>
      <w:spacing w:before="0" w:after="100" w:line="300" w:lineRule="exact"/>
    </w:pPr>
    <w:rPr>
      <w:rFonts w:ascii="宋体" w:hAnsi="宋体" w:eastAsia="宋体"/>
      <w:color w:val="000000"/>
      <w:sz w:val="21"/>
    </w:rPr>
  </w:style>
  <w:style w:type="paragraph" w:customStyle="1" w:styleId="13">
    <w:name w:val="Template Label"/>
    <w:basedOn w:val="1"/>
    <w:uiPriority w:val="0"/>
    <w:pPr>
      <w:keepNext/>
      <w:snapToGrid w:val="0"/>
      <w:spacing w:before="0" w:after="100" w:line="300" w:lineRule="exact"/>
    </w:pPr>
    <w:rPr>
      <w:rFonts w:ascii="宋体" w:hAnsi="宋体" w:eastAsia="宋体"/>
      <w:b/>
      <w:color w:val="000000"/>
      <w:sz w:val="21"/>
    </w:rPr>
  </w:style>
  <w:style w:type="paragraph" w:customStyle="1" w:styleId="14">
    <w:name w:val="Template Cell"/>
    <w:basedOn w:val="1"/>
    <w:uiPriority w:val="0"/>
    <w:pPr>
      <w:snapToGrid w:val="0"/>
      <w:spacing w:before="0" w:after="0" w:line="280" w:lineRule="exact"/>
    </w:pPr>
    <w:rPr>
      <w:rFonts w:ascii="宋体" w:hAnsi="宋体" w:eastAsia="宋体"/>
      <w:color w:val="000000"/>
      <w:sz w:val="21"/>
    </w:rPr>
  </w:style>
  <w:style w:type="paragraph" w:customStyle="1" w:styleId="15">
    <w:name w:val="Template Caption"/>
    <w:basedOn w:val="1"/>
    <w:uiPriority w:val="0"/>
    <w:pPr>
      <w:keepNext/>
      <w:snapToGrid w:val="0"/>
      <w:spacing w:before="0" w:after="100" w:line="300" w:lineRule="exact"/>
    </w:pPr>
    <w:rPr>
      <w:rFonts w:ascii="宋体" w:hAnsi="宋体" w:eastAsia="宋体"/>
      <w:color w:val="000000"/>
      <w:sz w:val="21"/>
    </w:rPr>
  </w:style>
  <w:style w:type="paragraph" w:customStyle="1" w:styleId="16">
    <w:name w:val="Template TOC"/>
    <w:basedOn w:val="1"/>
    <w:uiPriority w:val="0"/>
    <w:pPr>
      <w:snapToGrid w:val="0"/>
      <w:spacing w:before="0" w:after="20" w:line="280" w:lineRule="exact"/>
    </w:pPr>
    <w:rPr>
      <w:rFonts w:ascii="宋体" w:hAnsi="宋体" w:eastAsia="宋体"/>
      <w:color w:val="000000"/>
      <w:sz w:val="21"/>
    </w:rPr>
  </w:style>
  <w:style w:type="paragraph" w:customStyle="1" w:styleId="17">
    <w:name w:val="Third Party Imported Body"/>
    <w:qFormat/>
    <w:uiPriority w:val="0"/>
    <w:pPr>
      <w:spacing w:before="0" w:after="120" w:line="360" w:lineRule="auto"/>
    </w:pPr>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104</Pages>
  <TotalTime>525</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2026-09-19T10:53:00Z</dcterms:created>
  <dc:creator>中控技术股份有限公司</dc:creator>
  <cp:lastModifiedBy>　　　　</cp:lastModifiedBy>
  <dcterms:modified xsi:type="dcterms:W3CDTF">2026-09-22T14:16:05Z</dcterms:modified>
  <dc:subject>AI优化平台综合建设内容与业主评审</dc:subject>
  <dc:title>中粮太仓项目AI模块综合业务蓝图</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D14A1BA49B3236AA8CB7A86AFC0A87C2_42</vt:lpwstr>
  </property>
</Properties>
</file>