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第三章  SCOS智能化应用场景蓝图 Draft</w:t>
      </w:r>
    </w:p>
    <w:p>
      <w:pPr>
        <w:pStyle w:val="Subtitle"/>
        <w:jc w:val="center"/>
      </w:pPr>
      <w:r>
        <w:t>场景素材包、验收口径与待补资料清单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文档定位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正式蓝图编写前的结构化素材与资料缺口稿</w:t>
            </w:r>
          </w:p>
        </w:tc>
      </w:tr>
      <w:tr>
        <w:tc>
          <w:tcPr>
            <w:tcW w:type="dxa" w:w="4896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编制依据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业务蓝图案例、SCOS技术要求、现有SCOS调研与模块方案</w:t>
            </w:r>
          </w:p>
        </w:tc>
      </w:tr>
      <w:tr>
        <w:tc>
          <w:tcPr>
            <w:tcW w:type="dxa" w:w="4896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版本/日期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Draft v0.1  /  2026-08-23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1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F4D78"/>
              </w:rPr>
              <w:t>使用说明：</w:t>
            </w:r>
            <w:r>
              <w:t>本稿不直接作为最终交付章节；“已确认”表示有现有文档支撑，“待确认”表示需业务/技术评审，“待补充”表示当前资料不足。后续正式编写应将缺口关闭后再固化为蓝图承诺。</w:t>
            </w:r>
          </w:p>
        </w:tc>
      </w:tr>
    </w:tbl>
    <w:p>
      <w:pPr>
        <w:pStyle w:val="Heading1"/>
      </w:pPr>
      <w:r>
        <w:t>3.1 本章编制目标与案例结构对齐</w:t>
      </w:r>
    </w:p>
    <w:p>
      <w:r>
        <w:t>参考研发模块案例的“AI功能应用场景说明书”写法，SCOS第三章建议以“场景清单+单场景说明书+验收指标+资料缺口”组织。不建议直接照搬案例中的PLM场景，而应将标书的供应链优化能力转化为可触发、可输入、可解释、可人工确认和可验收的场景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944"/>
            <w:shd w:fill="2E74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单场景正式稿字段</w:t>
            </w:r>
          </w:p>
        </w:tc>
        <w:tc>
          <w:tcPr>
            <w:tcW w:type="dxa" w:w="4320"/>
            <w:shd w:fill="2E74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应表达的内容</w:t>
            </w:r>
          </w:p>
        </w:tc>
        <w:tc>
          <w:tcPr>
            <w:tcW w:type="dxa" w:w="3312"/>
            <w:shd w:fill="2E74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当前资料来源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7"/>
              </w:rPr>
              <w:t>场景编号/名称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7"/>
              </w:rPr>
              <w:t>统一命名、所属模块、版本范围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7"/>
              </w:rPr>
              <w:t>标书+功能架构；编号待项目统一</w:t>
            </w:r>
          </w:p>
        </w:tc>
      </w:tr>
      <w:tr>
        <w:tc>
          <w:tcPr>
            <w:tcW w:type="dxa" w:w="1944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7"/>
              </w:rPr>
              <w:t>场景价值/业务问题</w:t>
            </w:r>
          </w:p>
        </w:tc>
        <w:tc>
          <w:tcPr>
            <w:tcW w:type="dxa" w:w="432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7"/>
              </w:rPr>
              <w:t>解决谁的什么决策问题</w:t>
            </w:r>
          </w:p>
        </w:tc>
        <w:tc>
          <w:tcPr>
            <w:tcW w:type="dxa" w:w="3312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7"/>
              </w:rPr>
              <w:t>三份模块方案的“模块目标/主要问题”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7"/>
              </w:rPr>
              <w:t>触发方式与使用角色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7"/>
              </w:rPr>
              <w:t>定时、事件或人工触发；发起、审批、查看角色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7"/>
              </w:rPr>
              <w:t>运行机制+待调研的岗位矩阵</w:t>
            </w:r>
          </w:p>
        </w:tc>
      </w:tr>
      <w:tr>
        <w:tc>
          <w:tcPr>
            <w:tcW w:type="dxa" w:w="1944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7"/>
              </w:rPr>
              <w:t>输入与数据源</w:t>
            </w:r>
          </w:p>
        </w:tc>
        <w:tc>
          <w:tcPr>
            <w:tcW w:type="dxa" w:w="432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7"/>
              </w:rPr>
              <w:t>字段、系统、频率、权威源、质量规则</w:t>
            </w:r>
          </w:p>
        </w:tc>
        <w:tc>
          <w:tcPr>
            <w:tcW w:type="dxa" w:w="3312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7"/>
              </w:rPr>
              <w:t>模块方案+交互数据初稿+数据样例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7"/>
              </w:rPr>
              <w:t>处理逻辑/模型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7"/>
              </w:rPr>
              <w:t>规则、约束、目标、人工干预点和可解释信息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7"/>
              </w:rPr>
              <w:t>采购/库存/驾驶舱方案；排程等待补</w:t>
            </w:r>
          </w:p>
        </w:tc>
      </w:tr>
      <w:tr>
        <w:tc>
          <w:tcPr>
            <w:tcW w:type="dxa" w:w="1944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7"/>
              </w:rPr>
              <w:t>输出、闭环与异常</w:t>
            </w:r>
          </w:p>
        </w:tc>
        <w:tc>
          <w:tcPr>
            <w:tcW w:type="dxa" w:w="432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7"/>
              </w:rPr>
              <w:t>建议、备选、预警、下发、回传和回退</w:t>
            </w:r>
          </w:p>
        </w:tc>
        <w:tc>
          <w:tcPr>
            <w:tcW w:type="dxa" w:w="3312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7"/>
              </w:rPr>
              <w:t>模块方案+标书场景化集成要求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7"/>
              </w:rPr>
              <w:t>验收指标</w:t>
            </w:r>
          </w:p>
        </w:tc>
        <w:tc>
          <w:tcPr>
            <w:tcW w:type="dxa" w:w="4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7"/>
              </w:rPr>
              <w:t>正确性、时效、性能、可用性和业务效果</w:t>
            </w:r>
          </w:p>
        </w:tc>
        <w:tc>
          <w:tcPr>
            <w:tcW w:type="dxa" w:w="33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7"/>
              </w:rPr>
              <w:t>标书硬指标+项目评审后的业务基线</w:t>
            </w:r>
          </w:p>
        </w:tc>
      </w:tr>
    </w:tbl>
    <w:p>
      <w:pPr>
        <w:pStyle w:val="Heading1"/>
      </w:pPr>
      <w:r>
        <w:t>3.2 智能化场景总清单（建议稿）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1440"/>
            <w:shd w:fill="2E74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4680"/>
            <w:shd w:fill="2E74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候选场景</w:t>
            </w:r>
          </w:p>
        </w:tc>
        <w:tc>
          <w:tcPr>
            <w:tcW w:type="dxa" w:w="1440"/>
            <w:shd w:fill="2E74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当前成熟度</w:t>
            </w:r>
          </w:p>
        </w:tc>
        <w:tc>
          <w:tcPr>
            <w:tcW w:type="dxa" w:w="2880"/>
            <w:shd w:fill="2E74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后续处理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驾驶舱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全局态势监测与健康度评估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高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补指标口径表、页面原型、角色视图</w:t>
            </w:r>
          </w:p>
        </w:tc>
      </w:tr>
      <w:tr>
        <w:tc>
          <w:tcPr>
            <w:tcW w:type="dxa" w:w="144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驾驶舱</w:t>
            </w:r>
          </w:p>
        </w:tc>
        <w:tc>
          <w:tcPr>
            <w:tcW w:type="dxa" w:w="468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分级预警、钻取溯源与处置闭环</w:t>
            </w:r>
          </w:p>
        </w:tc>
        <w:tc>
          <w:tcPr>
            <w:tcW w:type="dxa" w:w="144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中高</w:t>
            </w:r>
          </w:p>
        </w:tc>
        <w:tc>
          <w:tcPr>
            <w:tcW w:type="dxa" w:w="288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确认阈值主数据、工单承接系统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驾驶舱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需求波动/供应风险/成本变化沙盘推演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中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明确模型服务调用合同和采纳权限</w:t>
            </w:r>
          </w:p>
        </w:tc>
      </w:tr>
      <w:tr>
        <w:tc>
          <w:tcPr>
            <w:tcW w:type="dxa" w:w="144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采购优化</w:t>
            </w:r>
          </w:p>
        </w:tc>
        <w:tc>
          <w:tcPr>
            <w:tcW w:type="dxa" w:w="468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分期待采购需求净算</w:t>
            </w:r>
          </w:p>
        </w:tc>
        <w:tc>
          <w:tcPr>
            <w:tcW w:type="dxa" w:w="144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高</w:t>
            </w:r>
          </w:p>
        </w:tc>
        <w:tc>
          <w:tcPr>
            <w:tcW w:type="dxa" w:w="288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确认已生效采购承诺的状态口径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采购优化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多供应商成本优化与备选方案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高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补真实报价/运费/账期/供货上限样本</w:t>
            </w:r>
          </w:p>
        </w:tc>
      </w:tr>
      <w:tr>
        <w:tc>
          <w:tcPr>
            <w:tcW w:type="dxa" w:w="144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采购优化</w:t>
            </w:r>
          </w:p>
        </w:tc>
        <w:tc>
          <w:tcPr>
            <w:tcW w:type="dxa" w:w="468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合同锁价辅助与周度滚动调整</w:t>
            </w:r>
          </w:p>
        </w:tc>
        <w:tc>
          <w:tcPr>
            <w:tcW w:type="dxa" w:w="144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中</w:t>
            </w:r>
          </w:p>
        </w:tc>
        <w:tc>
          <w:tcPr>
            <w:tcW w:type="dxa" w:w="288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明确期货数据源、锁价规则和审批流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成品库存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动态安全库存、再订货点与目标库存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高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确认服务水平参数和需求/补充周期样本</w:t>
            </w:r>
          </w:p>
        </w:tc>
      </w:tr>
      <w:tr>
        <w:tc>
          <w:tcPr>
            <w:tcW w:type="dxa" w:w="144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成品库存</w:t>
            </w:r>
          </w:p>
        </w:tc>
        <w:tc>
          <w:tcPr>
            <w:tcW w:type="dxa" w:w="468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月-周-日补货协同与滚动7天风险预警</w:t>
            </w:r>
          </w:p>
        </w:tc>
        <w:tc>
          <w:tcPr>
            <w:tcW w:type="dxa" w:w="144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高</w:t>
            </w:r>
          </w:p>
        </w:tc>
        <w:tc>
          <w:tcPr>
            <w:tcW w:type="dxa" w:w="288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确认计划入库口径、储罐映射和排程反馈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精益排程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月度/日度生产排程与异常快速重排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中低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补产线、品种切换、清洗、产能、物料、检修约束</w:t>
            </w:r>
          </w:p>
        </w:tc>
      </w:tr>
      <w:tr>
        <w:tc>
          <w:tcPr>
            <w:tcW w:type="dxa" w:w="144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成本/追溯</w:t>
            </w:r>
          </w:p>
        </w:tc>
        <w:tc>
          <w:tcPr>
            <w:tcW w:type="dxa" w:w="468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客户盈利分析、批次正反向追溯与质量联动</w:t>
            </w:r>
          </w:p>
        </w:tc>
        <w:tc>
          <w:tcPr>
            <w:tcW w:type="dxa" w:w="144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低</w:t>
            </w:r>
          </w:p>
        </w:tc>
        <w:tc>
          <w:tcPr>
            <w:tcW w:type="dxa" w:w="288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标书有要求，现有draft缺专题方案和数据口径</w:t>
            </w:r>
          </w:p>
        </w:tc>
      </w:tr>
    </w:tbl>
    <w:p>
      <w:pPr>
        <w:pStyle w:val="Heading1"/>
      </w:pPr>
      <w:r>
        <w:t>3.3 高成熟度场景素材包</w:t>
      </w:r>
    </w:p>
    <w:p>
      <w:pPr>
        <w:pStyle w:val="Heading2"/>
      </w:pPr>
      <w:r>
        <w:t>3.3.1 全局态势监测与预警联动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800"/>
            <w:shd w:fill="2E74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要素</w:t>
            </w:r>
          </w:p>
        </w:tc>
        <w:tc>
          <w:tcPr>
            <w:tcW w:type="dxa" w:w="7920"/>
            <w:shd w:fill="2E74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已梳理素材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使用角色</w:t>
            </w:r>
          </w:p>
        </w:tc>
        <w:tc>
          <w:tcPr>
            <w:tcW w:type="dxa" w:w="79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管理层、供应链计划员、调度员</w:t>
            </w:r>
          </w:p>
        </w:tc>
      </w:tr>
      <w:tr>
        <w:tc>
          <w:tcPr>
            <w:tcW w:type="dxa" w:w="1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触发</w:t>
            </w:r>
          </w:p>
        </w:tc>
        <w:tc>
          <w:tcPr>
            <w:tcW w:type="dxa" w:w="792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自动刷新；指标越界或实时事件触发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输入</w:t>
            </w:r>
          </w:p>
        </w:tc>
        <w:tc>
          <w:tcPr>
            <w:tcW w:type="dxa" w:w="79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统一数据服务层主/交易数据，实时平台产量、库存、罐位、车辆和产线状态，SAP资金成本，各优化模块结果</w:t>
            </w:r>
          </w:p>
        </w:tc>
      </w:tr>
      <w:tr>
        <w:tc>
          <w:tcPr>
            <w:tcW w:type="dxa" w:w="1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核心处理</w:t>
            </w:r>
          </w:p>
        </w:tc>
        <w:tc>
          <w:tcPr>
            <w:tcW w:type="dxa" w:w="792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指标自动计算→阈值评估→红黄绿健康度→一/二级预警→KPI-专题-明细-源单据钻取→处置跟踪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输出/闭环</w:t>
            </w:r>
          </w:p>
        </w:tc>
        <w:tc>
          <w:tcPr>
            <w:tcW w:type="dxa" w:w="79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核心KPI、四专题视图、预警、根因链路和态势报告</w:t>
            </w:r>
          </w:p>
        </w:tc>
      </w:tr>
      <w:tr>
        <w:tc>
          <w:tcPr>
            <w:tcW w:type="dxa" w:w="1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验收与缺口</w:t>
            </w:r>
          </w:p>
        </w:tc>
        <w:tc>
          <w:tcPr>
            <w:tcW w:type="dxa" w:w="792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待确认：指标阈值、刷新频率、预警处置工单归属、移动端范围</w:t>
            </w:r>
          </w:p>
        </w:tc>
      </w:tr>
    </w:tbl>
    <w:p>
      <w:pPr>
        <w:pStyle w:val="Heading2"/>
      </w:pPr>
      <w:r>
        <w:t>3.3.2 多供应商采购方案优化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800"/>
            <w:shd w:fill="2E74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要素</w:t>
            </w:r>
          </w:p>
        </w:tc>
        <w:tc>
          <w:tcPr>
            <w:tcW w:type="dxa" w:w="7920"/>
            <w:shd w:fill="2E74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已梳理素材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使用角色</w:t>
            </w:r>
          </w:p>
        </w:tc>
        <w:tc>
          <w:tcPr>
            <w:tcW w:type="dxa" w:w="79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采购专员、采购负责人、财务、供应链计划员</w:t>
            </w:r>
          </w:p>
        </w:tc>
      </w:tr>
      <w:tr>
        <w:tc>
          <w:tcPr>
            <w:tcW w:type="dxa" w:w="1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触发</w:t>
            </w:r>
          </w:p>
        </w:tc>
        <w:tc>
          <w:tcPr>
            <w:tcW w:type="dxa" w:w="792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每月形成方案；每周检查；需求版本变更或人工触发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输入</w:t>
            </w:r>
          </w:p>
        </w:tc>
        <w:tc>
          <w:tcPr>
            <w:tcW w:type="dxa" w:w="79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已发布原料需求、未完成采购订单、供应商报价/供货上限/运费/账期/提前期、资金成本率、当前期货价格</w:t>
            </w:r>
          </w:p>
        </w:tc>
      </w:tr>
      <w:tr>
        <w:tc>
          <w:tcPr>
            <w:tcW w:type="dxa" w:w="1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核心处理</w:t>
            </w:r>
          </w:p>
        </w:tc>
        <w:tc>
          <w:tcPr>
            <w:tcW w:type="dxa" w:w="792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净算待采购需求→线性规划最小化报价+运费-账期节省→输出推荐/备选组合→人工调整和审批→E采/SAP执行→状态回传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输出/闭环</w:t>
            </w:r>
          </w:p>
        </w:tc>
        <w:tc>
          <w:tcPr>
            <w:tcW w:type="dxa" w:w="79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采购需求、推荐量及0-最大可供调整范围、备选方案、综合成本、建议下单/到货日、不可行原因</w:t>
            </w:r>
          </w:p>
        </w:tc>
      </w:tr>
      <w:tr>
        <w:tc>
          <w:tcPr>
            <w:tcW w:type="dxa" w:w="1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验收与缺口</w:t>
            </w:r>
          </w:p>
        </w:tc>
        <w:tc>
          <w:tcPr>
            <w:tcW w:type="dxa" w:w="792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已有指标：常规优化≤3秒。待决策：标书要求供应风险量化/质量多目标，现方案将评分仅作参考</w:t>
            </w:r>
          </w:p>
        </w:tc>
      </w:tr>
    </w:tbl>
    <w:p>
      <w:pPr>
        <w:pStyle w:val="Heading2"/>
      </w:pPr>
      <w:r>
        <w:t>3.3.3 成品库存策略与生产补货协同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800"/>
            <w:shd w:fill="2E74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要素</w:t>
            </w:r>
          </w:p>
        </w:tc>
        <w:tc>
          <w:tcPr>
            <w:tcW w:type="dxa" w:w="7920"/>
            <w:shd w:fill="2E74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已梳理素材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使用角色</w:t>
            </w:r>
          </w:p>
        </w:tc>
        <w:tc>
          <w:tcPr>
            <w:tcW w:type="dxa" w:w="79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供应链计划员、生产调度员、仓储管理员、销售运营</w:t>
            </w:r>
          </w:p>
        </w:tc>
      </w:tr>
      <w:tr>
        <w:tc>
          <w:tcPr>
            <w:tcW w:type="dxa" w:w="1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触发</w:t>
            </w:r>
          </w:p>
        </w:tc>
        <w:tc>
          <w:tcPr>
            <w:tcW w:type="dxa" w:w="792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每月25日发布策略；每周形成补货计划；每日滚动校验；重大异常人工确认后重算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输入</w:t>
            </w:r>
          </w:p>
        </w:tc>
        <w:tc>
          <w:tcPr>
            <w:tcW w:type="dxa" w:w="79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月度出货计划、销售订单、合格/已分配/冻结/待检/异常库存、计划生产入库、待发运量、历史出库波动、补充周期、储罐容量和可用状态</w:t>
            </w:r>
          </w:p>
        </w:tc>
      </w:tr>
      <w:tr>
        <w:tc>
          <w:tcPr>
            <w:tcW w:type="dxa" w:w="1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核心处理</w:t>
            </w:r>
          </w:p>
        </w:tc>
        <w:tc>
          <w:tcPr>
            <w:tcW w:type="dxa" w:w="792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按成品计算动态(R,s,S)→月度总量→周补货建议→日滚动7天库存轨迹→低水位/容量预警→输出数量和期望可用入库日给排程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输出/闭环</w:t>
            </w:r>
          </w:p>
        </w:tc>
        <w:tc>
          <w:tcPr>
            <w:tcW w:type="dxa" w:w="79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安全库存、再订货点、目标库存、补货量、风险日、建议提前/增补、库存健康指标</w:t>
            </w:r>
          </w:p>
        </w:tc>
      </w:tr>
      <w:tr>
        <w:tc>
          <w:tcPr>
            <w:tcW w:type="dxa" w:w="1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验收与缺口</w:t>
            </w:r>
          </w:p>
        </w:tc>
        <w:tc>
          <w:tcPr>
            <w:tcW w:type="dxa" w:w="792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范围待决策：标书要求原料/在制/成品/副产品，当前方案仅成品；需明确变更批准</w:t>
            </w:r>
          </w:p>
        </w:tc>
      </w:tr>
    </w:tbl>
    <w:p>
      <w:pPr>
        <w:pStyle w:val="Heading1"/>
      </w:pPr>
      <w:r>
        <w:t>3.4 待展开场景的编写占位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872"/>
            <w:shd w:fill="2E74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3600"/>
            <w:shd w:fill="2E74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标书已给定</w:t>
            </w:r>
          </w:p>
        </w:tc>
        <w:tc>
          <w:tcPr>
            <w:tcW w:type="dxa" w:w="4248"/>
            <w:shd w:fill="2E74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正式编写前必须取得</w:t>
            </w:r>
          </w:p>
        </w:tc>
      </w:tr>
      <w:tr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精益生产排程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支持72小时详细排程；计算≤5分钟；硬约束100%满足；异常快速重排</w:t>
            </w:r>
          </w:p>
        </w:tc>
        <w:tc>
          <w:tcPr>
            <w:tcW w:type="dxa" w:w="42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产线/设备日历、SKU工艺路线、产能、批量、换线清洗矩阵、物料可用性、检修/质量约束、现行排程样本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统计与成本核算</w:t>
            </w:r>
          </w:p>
        </w:tc>
        <w:tc>
          <w:tcPr>
            <w:tcW w:type="dxa" w:w="36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从生产/物流系统取数；客户盈利分析；财务数据权威源为SAP</w:t>
            </w:r>
          </w:p>
        </w:tc>
        <w:tc>
          <w:tcPr>
            <w:tcW w:type="dxa" w:w="4248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成本中心、物料价格、费用分摊、标准/实际成本口径、客户/订单收入与物流成本样本、SAP对账机制</w:t>
            </w:r>
          </w:p>
        </w:tc>
      </w:tr>
      <w:tr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全程追溯协同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与MES/WMS/LIMS/SAP等建立批次数据接口，支持正反向追溯和质量警报联动</w:t>
            </w:r>
          </w:p>
        </w:tc>
        <w:tc>
          <w:tcPr>
            <w:tcW w:type="dxa" w:w="42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批次编码规则、投料-生产-检验-入库-发运关联样本、召回/隔离流程、追溯时效指标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数字孪生三维态势</w:t>
            </w:r>
          </w:p>
        </w:tc>
        <w:tc>
          <w:tcPr>
            <w:tcW w:type="dxa" w:w="36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驾驶舱可消费空间元数据和业务态势流</w:t>
            </w:r>
          </w:p>
        </w:tc>
        <w:tc>
          <w:tcPr>
            <w:tcW w:type="dxa" w:w="4248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三维平台责任边界、场景范围、坐标/设备/储罐/车辆映射、渲染性能和交互原型</w:t>
            </w:r>
          </w:p>
        </w:tc>
      </w:tr>
    </w:tbl>
    <w:p>
      <w:pPr>
        <w:pStyle w:val="Heading1"/>
      </w:pPr>
      <w:r>
        <w:t>3.5 业务决策点与冲突项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1800"/>
            <w:shd w:fill="2E74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决策项</w:t>
            </w:r>
          </w:p>
        </w:tc>
        <w:tc>
          <w:tcPr>
            <w:tcW w:type="dxa" w:w="2880"/>
            <w:shd w:fill="2E74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标书口径</w:t>
            </w:r>
          </w:p>
        </w:tc>
        <w:tc>
          <w:tcPr>
            <w:tcW w:type="dxa" w:w="2880"/>
            <w:shd w:fill="2E74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当前梳理口径</w:t>
            </w:r>
          </w:p>
        </w:tc>
        <w:tc>
          <w:tcPr>
            <w:tcW w:type="dxa" w:w="2160"/>
            <w:shd w:fill="2E74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建议结论/需确认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库存优化范围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原料、在制品、成品、副产品等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仅成品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项目组决定分期还是补齐；正式蓝图明确本期/后续期</w:t>
            </w:r>
          </w:p>
        </w:tc>
      </w:tr>
      <w:tr>
        <w:tc>
          <w:tcPr>
            <w:tcW w:type="dxa" w:w="1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采购多目标与风险</w:t>
            </w:r>
          </w:p>
        </w:tc>
        <w:tc>
          <w:tcPr>
            <w:tcW w:type="dxa" w:w="288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质量、成本多目标，量化供应风险</w:t>
            </w:r>
          </w:p>
        </w:tc>
        <w:tc>
          <w:tcPr>
            <w:tcW w:type="dxa" w:w="288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优化仅比较成本，评分仅参考</w:t>
            </w:r>
          </w:p>
        </w:tc>
        <w:tc>
          <w:tcPr>
            <w:tcW w:type="dxa" w:w="21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确认是否把质量门槛/风险上限作硬约束，或作二期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库存需求预测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自动识别需求模式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不新建需求预测，使用月度计划+订单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明确“历史波动参数”与“预测模型”的边界</w:t>
            </w:r>
          </w:p>
        </w:tc>
      </w:tr>
      <w:tr>
        <w:tc>
          <w:tcPr>
            <w:tcW w:type="dxa" w:w="1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驾驶舱数据接入</w:t>
            </w:r>
          </w:p>
        </w:tc>
        <w:tc>
          <w:tcPr>
            <w:tcW w:type="dxa" w:w="288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必须消费统一数据服务层/实时平台</w:t>
            </w:r>
          </w:p>
        </w:tc>
        <w:tc>
          <w:tcPr>
            <w:tcW w:type="dxa" w:w="288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已对齐，但表格中仍存在“从SAP获取”等表述</w:t>
            </w:r>
          </w:p>
        </w:tc>
        <w:tc>
          <w:tcPr>
            <w:tcW w:type="dxa" w:w="216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正式稿统一写成通过统一服务消费；直连例外单独论证</w:t>
            </w:r>
          </w:p>
        </w:tc>
      </w:tr>
    </w:tbl>
    <w:p>
      <w:pPr>
        <w:pStyle w:val="Heading1"/>
      </w:pPr>
      <w:r>
        <w:t>3.6 场景验收素材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728"/>
            <w:shd w:fill="2E74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验收维度</w:t>
            </w:r>
          </w:p>
        </w:tc>
        <w:tc>
          <w:tcPr>
            <w:tcW w:type="dxa" w:w="5040"/>
            <w:shd w:fill="2E74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可直接沉淀的指标/口径</w:t>
            </w:r>
          </w:p>
        </w:tc>
        <w:tc>
          <w:tcPr>
            <w:tcW w:type="dxa" w:w="2952"/>
            <w:shd w:fill="2E74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待补基线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算法性能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采购常规方案≤3秒；72小时详细排程≤5分钟</w:t>
            </w:r>
          </w:p>
        </w:tc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数据规模、硬件配置、并发条件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方案可行性</w:t>
            </w:r>
          </w:p>
        </w:tc>
        <w:tc>
          <w:tcPr>
            <w:tcW w:type="dxa" w:w="504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排程结果100%满足硬约束；采购/库存不可行时输出缺口原因</w:t>
            </w:r>
          </w:p>
        </w:tc>
        <w:tc>
          <w:tcPr>
            <w:tcW w:type="dxa" w:w="2952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业务约束全量清单与优先级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驾驶舱体验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主要视图首次加载≤3秒；钻取≤2秒；关键运营指标数据延迟≤5秒；成本资金≤1小时</w:t>
            </w:r>
          </w:p>
        </w:tc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测试环境、指标数量、历史数据量</w:t>
            </w:r>
          </w:p>
        </w:tc>
      </w:tr>
      <w:tr>
        <w:tc>
          <w:tcPr>
            <w:tcW w:type="dxa" w:w="1728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业务效果</w:t>
            </w:r>
          </w:p>
        </w:tc>
        <w:tc>
          <w:tcPr>
            <w:tcW w:type="dxa" w:w="504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订单满足率、缺货、周转、成本、准时交付、预警闭环时长</w:t>
            </w:r>
          </w:p>
        </w:tc>
        <w:tc>
          <w:tcPr>
            <w:tcW w:type="dxa" w:w="2952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上线前基线、目标值、统计周期与责任人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可解释与审计</w:t>
            </w:r>
          </w:p>
        </w:tc>
        <w:tc>
          <w:tcPr>
            <w:tcW w:type="dxa" w:w="5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每次计算保存输入版本、参数、结果、人工调整和发布记录</w:t>
            </w:r>
          </w:p>
        </w:tc>
        <w:tc>
          <w:tcPr>
            <w:tcW w:type="dxa" w:w="29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日志保留期、审批流、调整原因码</w:t>
            </w:r>
          </w:p>
        </w:tc>
      </w:tr>
    </w:tbl>
    <w:p>
      <w:pPr>
        <w:pStyle w:val="Heading1"/>
      </w:pPr>
      <w:r>
        <w:t>3.7 正式编写前资料请求清单</w:t>
      </w:r>
    </w:p>
    <w:p>
      <w:pPr>
        <w:pStyle w:val="ListBullet"/>
      </w:pPr>
      <w:r>
        <w:t>P0：确认本期范围和上述四项冲突；确认场景统一编号与模块命名。</w:t>
      </w:r>
    </w:p>
    <w:p>
      <w:pPr>
        <w:pStyle w:val="ListBullet"/>
      </w:pPr>
      <w:r>
        <w:t>P0：提供排程约束清单、当前排产表及一个异常重排案例。</w:t>
      </w:r>
    </w:p>
    <w:p>
      <w:pPr>
        <w:pStyle w:val="ListBullet"/>
      </w:pPr>
      <w:r>
        <w:t>P0：提供采购、库存、生产、成本、追溯关键表样例和字段口径。</w:t>
      </w:r>
    </w:p>
    <w:p>
      <w:pPr>
        <w:pStyle w:val="ListBullet"/>
      </w:pPr>
      <w:r>
        <w:t>P1：确认角色-场景-操作权限矩阵，包括计算、调整、审批、发布、回退。</w:t>
      </w:r>
    </w:p>
    <w:p>
      <w:pPr>
        <w:pStyle w:val="ListBullet"/>
      </w:pPr>
      <w:r>
        <w:t>P1：确认指标字典、阈值、预警分级、工单闭环与移动端推送。</w:t>
      </w:r>
    </w:p>
    <w:p>
      <w:pPr>
        <w:pStyle w:val="ListBullet"/>
      </w:pPr>
      <w:r>
        <w:t>P1：为每个场景选取一组可复现的验收数据集，记录当前人工结果和期望结果。</w:t>
      </w:r>
    </w:p>
    <w:p>
      <w:pPr>
        <w:pStyle w:val="ListBullet"/>
      </w:pPr>
      <w:r>
        <w:t>P2：补页面原型、报表样式、沙盘对比图、预警钻取链路和导出模板。</w:t>
      </w:r>
    </w:p>
    <w:p>
      <w:pPr>
        <w:pStyle w:val="Heading1"/>
      </w:pPr>
      <w:r>
        <w:t>素材来源登记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40"/>
            <w:shd w:fill="2E74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来源</w:t>
            </w:r>
          </w:p>
        </w:tc>
        <w:tc>
          <w:tcPr>
            <w:tcW w:type="dxa" w:w="3744"/>
            <w:shd w:fill="2E74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本章用途</w:t>
            </w:r>
          </w:p>
        </w:tc>
        <w:tc>
          <w:tcPr>
            <w:tcW w:type="dxa" w:w="2592"/>
            <w:shd w:fill="2E74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使用边界</w:t>
            </w:r>
          </w:p>
        </w:tc>
      </w:tr>
      <w:tr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业务蓝图-案例/中粮太仓项目研发模块蓝图方案v2.0</w:t>
            </w:r>
          </w:p>
        </w:tc>
        <w:tc>
          <w:tcPr>
            <w:tcW w:type="dxa" w:w="37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章节组织、场景说明书和技术蓝图表达粒度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只借鉴结构，不沿用PLM业务事实</w:t>
            </w:r>
          </w:p>
        </w:tc>
      </w:tr>
      <w:tr>
        <w:tc>
          <w:tcPr>
            <w:tcW w:type="dxa" w:w="324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业务蓝图-案例/中粮太仓项目车辆物流管理模块蓝图方案v1.0</w:t>
            </w:r>
          </w:p>
        </w:tc>
        <w:tc>
          <w:tcPr>
            <w:tcW w:type="dxa" w:w="3744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业务流程、边界、接口和缺口标识方式</w:t>
            </w:r>
          </w:p>
        </w:tc>
        <w:tc>
          <w:tcPr>
            <w:tcW w:type="dxa" w:w="2592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只借鉴TMS蓝图组织方式</w:t>
            </w:r>
          </w:p>
        </w:tc>
      </w:tr>
      <w:tr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SCOS全局供应链优化与协同系统技术要求</w:t>
            </w:r>
          </w:p>
        </w:tc>
        <w:tc>
          <w:tcPr>
            <w:tcW w:type="dxa" w:w="37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范围、功能、集成、性能、验收约束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作为必须对齐的基线，冲突项需专项确认</w:t>
            </w:r>
          </w:p>
        </w:tc>
      </w:tr>
      <w:tr>
        <w:tc>
          <w:tcPr>
            <w:tcW w:type="dxa" w:w="324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2-业务蓝图-draft/采购优化、库存优化、驾驶舱模块技术方案</w:t>
            </w:r>
          </w:p>
        </w:tc>
        <w:tc>
          <w:tcPr>
            <w:tcW w:type="dxa" w:w="3744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现阶段已梳理的业务口径、模型、输入输出和接口</w:t>
            </w:r>
          </w:p>
        </w:tc>
        <w:tc>
          <w:tcPr>
            <w:tcW w:type="dxa" w:w="2592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部分内容与标书全范围存在收窄，已列为待决策项</w:t>
            </w:r>
          </w:p>
        </w:tc>
      </w:tr>
      <w:tr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0-raw与1-wiki资料</w:t>
            </w:r>
          </w:p>
        </w:tc>
        <w:tc>
          <w:tcPr>
            <w:tcW w:type="dxa" w:w="37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调研纪要、数据样例、架构/逻辑/交互线索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未经评审的口径不直接写成最终承诺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646E"/>
        <w:sz w:val="16"/>
      </w:rPr>
      <w:t xml:space="preserve">中粮生物科技（太仓）有限公司  | 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A646E"/>
        <w:sz w:val="17"/>
      </w:rPr>
      <w:t>SCOS蓝图设计·编制资料稿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Arial Unicode MS" w:hAnsi="Arial Unicode MS" w:eastAsia="Arial Unicode MS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