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第四章  SCOS技术蓝图 Draft</w:t>
      </w:r>
    </w:p>
    <w:p>
      <w:pPr>
        <w:pStyle w:val="Subtitle"/>
        <w:jc w:val="center"/>
      </w:pPr>
      <w:r>
        <w:t>架构、数据、模型、接口与非功能资料底稿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文档定位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正式蓝图编写前的结构化素材与资料缺口稿</w:t>
            </w:r>
          </w:p>
        </w:tc>
      </w:tr>
      <w:tr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编制依据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业务蓝图案例、SCOS技术要求、现有SCOS调研与模块方案</w:t>
            </w:r>
          </w:p>
        </w:tc>
      </w:tr>
      <w:tr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版本/日期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Draft v0.1  /  2026-08-23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1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4D78"/>
              </w:rPr>
              <w:t>使用说明：</w:t>
            </w:r>
            <w:r>
              <w:t>本稿不直接作为最终交付章节；“已确认”表示有现有文档支撑，“待确认”表示需业务/技术评审，“待补充”表示当前资料不足。后续正式编写应将缺口关闭后再固化为蓝图承诺。</w:t>
            </w:r>
          </w:p>
        </w:tc>
      </w:tr>
    </w:tbl>
    <w:p>
      <w:pPr>
        <w:pStyle w:val="Heading1"/>
      </w:pPr>
      <w:r>
        <w:t>4.1 本章建议结构</w:t>
      </w:r>
    </w:p>
    <w:p>
      <w:r>
        <w:t>参考案例“技术蓝图交付物”中的数据流架构图、数据实体与字段映射、数据结构及发布规范等写法，SCOS第四章建议扩展为：技术原则、总体架构、数据流、核心数据实体、模型服务、集成接口、部署与安全、非功能、运维与审计、资料缺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376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正式章节</w:t>
            </w:r>
          </w:p>
        </w:tc>
        <w:tc>
          <w:tcPr>
            <w:tcW w:type="dxa" w:w="468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核心交付物</w:t>
            </w:r>
          </w:p>
        </w:tc>
        <w:tc>
          <w:tcPr>
            <w:tcW w:type="dxa" w:w="266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4.1 技术架构原则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架构约束、责任边界和合规声明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标书素材充足</w:t>
            </w:r>
          </w:p>
        </w:tc>
      </w:tr>
      <w:tr>
        <w:tc>
          <w:tcPr>
            <w:tcW w:type="dxa" w:w="237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4.2 总体/数据流架构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系统上下文图、分层架构图、核心时序</w:t>
            </w:r>
          </w:p>
        </w:tc>
        <w:tc>
          <w:tcPr>
            <w:tcW w:type="dxa" w:w="266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有PDF/VSDX线索，需统一为正式图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4.3 数据实体与映射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实体清单、权威源、字段字典、主键和版本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有交互初稿/样例，缺全域字段级映射</w:t>
            </w:r>
          </w:p>
        </w:tc>
      </w:tr>
      <w:tr>
        <w:tc>
          <w:tcPr>
            <w:tcW w:type="dxa" w:w="237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4.4 模型与计算服务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模型目录、输入输出契约、版本、性能与回退</w:t>
            </w:r>
          </w:p>
        </w:tc>
        <w:tc>
          <w:tcPr>
            <w:tcW w:type="dxa" w:w="266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采购/成品库存/驾驶舱较完整，排程等待补</w:t>
            </w:r>
          </w:p>
        </w:tc>
      </w:tr>
      <w:tr>
        <w:tc>
          <w:tcPr>
            <w:tcW w:type="dxa" w:w="237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4.5 集成接口规范</w:t>
            </w:r>
          </w:p>
        </w:tc>
        <w:tc>
          <w:tcPr>
            <w:tcW w:type="dxa" w:w="46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接口清单、协议、事件、频率、安全、异常重试与对账</w:t>
            </w:r>
          </w:p>
        </w:tc>
        <w:tc>
          <w:tcPr>
            <w:tcW w:type="dxa" w:w="26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有原则和初稿，缺字段级API契约</w:t>
            </w:r>
          </w:p>
        </w:tc>
      </w:tr>
      <w:tr>
        <w:tc>
          <w:tcPr>
            <w:tcW w:type="dxa" w:w="237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4.6 部署、安全与非功能</w:t>
            </w:r>
          </w:p>
        </w:tc>
        <w:tc>
          <w:tcPr>
            <w:tcW w:type="dxa" w:w="46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部署拓扑、容量、高可用、备份容灾、权限、日志与性能表</w:t>
            </w:r>
          </w:p>
        </w:tc>
        <w:tc>
          <w:tcPr>
            <w:tcW w:type="dxa" w:w="266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标书有上限约束，具体方案待供应商/基础设施确认</w:t>
            </w:r>
          </w:p>
        </w:tc>
      </w:tr>
    </w:tbl>
    <w:p>
      <w:pPr>
        <w:pStyle w:val="Heading1"/>
      </w:pPr>
      <w:r>
        <w:t>4.2 必须固化的架构原则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原则</w:t>
            </w:r>
          </w:p>
        </w:tc>
        <w:tc>
          <w:tcPr>
            <w:tcW w:type="dxa" w:w="54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蓝图建议表述</w:t>
            </w:r>
          </w:p>
        </w:tc>
        <w:tc>
          <w:tcPr>
            <w:tcW w:type="dxa" w:w="244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设计影响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统一数据消费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业务与分析数据原则上通过统一数据服务层获取；实时数据通过实时数据平台订阅/查询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业务模块不重复建设采集、清洗和存储管道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直连例外治理</w:t>
            </w:r>
          </w:p>
        </w:tc>
        <w:tc>
          <w:tcPr>
            <w:tcW w:type="dxa" w:w="5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与SAP等深度双向集成需单独论证，按标准协议实现并在API治理中心注册</w:t>
            </w:r>
          </w:p>
        </w:tc>
        <w:tc>
          <w:tcPr>
            <w:tcW w:type="dxa" w:w="244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需接口责任人、安全认证、限流、审计和退役机制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高内聚/松耦合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采购、库存、排程、成本、追溯、驾驶舱可独立部署迭代，通过统一数据和API交互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每模块形成清晰数据契约、模型契约和事件契约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人在回路</w:t>
            </w:r>
          </w:p>
        </w:tc>
        <w:tc>
          <w:tcPr>
            <w:tcW w:type="dxa" w:w="5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优化结果为决策建议，经业务确认/审批后才下发执行</w:t>
            </w:r>
          </w:p>
        </w:tc>
        <w:tc>
          <w:tcPr>
            <w:tcW w:type="dxa" w:w="244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模型输出与正式单据分离，保留版本、调整原因和审批轨迹</w:t>
            </w:r>
          </w:p>
        </w:tc>
      </w:tr>
      <w:tr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权威数据源</w:t>
            </w:r>
          </w:p>
        </w:tc>
        <w:tc>
          <w:tcPr>
            <w:tcW w:type="dxa" w:w="5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财务价格、费用分摊等财务数据的权威源为中粮SAP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定义同步逻辑、频率、对账和差异处理</w:t>
            </w:r>
          </w:p>
        </w:tc>
      </w:tr>
      <w:tr>
        <w:tc>
          <w:tcPr>
            <w:tcW w:type="dxa" w:w="187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可解释/可回退</w:t>
            </w:r>
          </w:p>
        </w:tc>
        <w:tc>
          <w:tcPr>
            <w:tcW w:type="dxa" w:w="54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每次模型计算保存数据快照、参数、模型版本、结果与日志</w:t>
            </w:r>
          </w:p>
        </w:tc>
        <w:tc>
          <w:tcPr>
            <w:tcW w:type="dxa" w:w="244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支持复现、审计、方案对比和故障回退</w:t>
            </w:r>
          </w:p>
        </w:tc>
      </w:tr>
    </w:tbl>
    <w:p>
      <w:pPr>
        <w:pStyle w:val="Heading1"/>
      </w:pPr>
      <w:r>
        <w:t>4.3 总体技术架构素材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44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层级</w:t>
            </w:r>
          </w:p>
        </w:tc>
        <w:tc>
          <w:tcPr>
            <w:tcW w:type="dxa" w:w="352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建议组件</w:t>
            </w:r>
          </w:p>
        </w:tc>
        <w:tc>
          <w:tcPr>
            <w:tcW w:type="dxa" w:w="316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责任边界</w:t>
            </w:r>
          </w:p>
        </w:tc>
        <w:tc>
          <w:tcPr>
            <w:tcW w:type="dxa" w:w="1656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待确认资料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源系统/外部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SAP、MES、WMS、LIMS/QMS、E采、TMS、CRM、数字孪生、行情API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业务事实和主数据源；SCOS不替代源系统执行职责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系统清单、版本、厂商、网络区域、现有接口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集成/数据服务</w:t>
            </w:r>
          </w:p>
        </w:tc>
        <w:tc>
          <w:tcPr>
            <w:tcW w:type="dxa" w:w="35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API网关/治理中心、企业服务总线、统一数据服务层、实时数据平台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标准API、事件发布订阅、数据订阅、认证授权与流量治理</w:t>
            </w:r>
          </w:p>
        </w:tc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已有平台产品和标准、调用方向、SLA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SCOS业务服务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需求/计划协同、采购优化、成品库存、精益排程、成本、追溯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参数管理、方案管理、人工调整、审批发布、执行反馈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服务拆分、模块负责人、交易一致性边界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模型/计算服务</w:t>
            </w:r>
          </w:p>
        </w:tc>
        <w:tc>
          <w:tcPr>
            <w:tcW w:type="dxa" w:w="35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采购LP、库存(R,s,S)、排程求解、指标计算、情景模拟调用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标准输入输出、异步任务、超时、可行性检查、版本和回退</w:t>
            </w:r>
          </w:p>
        </w:tc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求解器选型、运算资源、授权、备用路径</w:t>
            </w:r>
          </w:p>
        </w:tc>
      </w:tr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应用/交互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业务工作台、优化方案对比、驾驶舱、预警中心、沙盘推演、移动端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分角色展示和操作；不直接采集源数据</w:t>
            </w:r>
          </w:p>
        </w:tc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页面清单、原型、终端、浏览器/分辨率</w:t>
            </w:r>
          </w:p>
        </w:tc>
      </w:tr>
      <w:tr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运维/治理</w:t>
            </w:r>
          </w:p>
        </w:tc>
        <w:tc>
          <w:tcPr>
            <w:tcW w:type="dxa" w:w="35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统一身份权限、配置中心、日志、链路追踪、指标监控、备份容灾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安全、稳定、审计和故障恢复</w:t>
            </w:r>
          </w:p>
        </w:tc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中粮基础设施标准、账号体系、日志保留期、RTO/RPO</w:t>
            </w:r>
          </w:p>
        </w:tc>
      </w:tr>
    </w:tbl>
    <w:p>
      <w:pPr>
        <w:pStyle w:val="Heading1"/>
      </w:pPr>
      <w:r>
        <w:t>4.4 核心数据域与实体映射底稿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15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数据域</w:t>
            </w:r>
          </w:p>
        </w:tc>
        <w:tc>
          <w:tcPr>
            <w:tcW w:type="dxa" w:w="252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核心实体</w:t>
            </w:r>
          </w:p>
        </w:tc>
        <w:tc>
          <w:tcPr>
            <w:tcW w:type="dxa" w:w="316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关键字段/版本</w:t>
            </w:r>
          </w:p>
        </w:tc>
        <w:tc>
          <w:tcPr>
            <w:tcW w:type="dxa" w:w="180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候选权威源</w:t>
            </w:r>
          </w:p>
        </w:tc>
        <w:tc>
          <w:tcPr>
            <w:tcW w:type="dxa" w:w="122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4"/>
              </w:rPr>
              <w:t>消费模块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主数据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物料、SKU、单位、客户、供应商、工厂/库位/储罐、产线设备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编码、名称、分类、状态、生效时间、组织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SAP/MES/WMS/主数据平台（待确认）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全部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需求/销售</w:t>
            </w:r>
          </w:p>
        </w:tc>
        <w:tc>
          <w:tcPr>
            <w:tcW w:type="dxa" w:w="2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年度计划、月度出货计划、销售订单、交付承诺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版本、发布状态、SKU、数量、需求/承诺日期、客户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SAP/CRM/需求计划服务</w:t>
            </w:r>
          </w:p>
        </w:tc>
        <w:tc>
          <w:tcPr>
            <w:tcW w:type="dxa" w:w="12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库存、排程、驾驶舱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生产计划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月排程、周计划、72小时详细计划、生产订单、报工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方案版本、产线、SKU、数量、开完工、状态、来源需求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SCOS排程/MES/SAP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库存、采购、成本、驾驶舱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库存/容量</w:t>
            </w:r>
          </w:p>
        </w:tc>
        <w:tc>
          <w:tcPr>
            <w:tcW w:type="dxa" w:w="2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库存快照、批次、库存分配、储罐状态、计划入出库、库存策略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质量状态、可用/冻结/已分配、数量、时点、有效容量、SS/s/S版本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WMS/MES/LIMS/实时平台/SCOS</w:t>
            </w:r>
          </w:p>
        </w:tc>
        <w:tc>
          <w:tcPr>
            <w:tcW w:type="dxa" w:w="12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库存、排程、追溯、驾驶舱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采购/供应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原料需求、采购订单、报价、供货能力、账期、发货/在途/到货、供应商绩效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物料、供应商、周期、未完成量、有效期、提前期、运费、风险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SAP/E采/TMS/LIMS/QMS/外部行情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采购、排程、成本、驾驶舱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财务/成本</w:t>
            </w:r>
          </w:p>
        </w:tc>
        <w:tc>
          <w:tcPr>
            <w:tcW w:type="dxa" w:w="2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物料价格、资金成本率、费用分摊、收入、应收/应付、成本结果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币种、期间、价格版本、成本中心、分摊规则、过账状态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SAP（权威源）</w:t>
            </w:r>
          </w:p>
        </w:tc>
        <w:tc>
          <w:tcPr>
            <w:tcW w:type="dxa" w:w="12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采购、成本、驾驶舱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质量/追溯</w:t>
            </w:r>
          </w:p>
        </w:tc>
        <w:tc>
          <w:tcPr>
            <w:tcW w:type="dxa" w:w="2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供应批、生产批、检验结果、投料、产出、入库、发运、质量事件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批次ID、上下游批次、检验状态、处置状态、时间、单据号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MES/WMS/LIMS/QMS/SAP/TMS</w:t>
            </w:r>
          </w:p>
        </w:tc>
        <w:tc>
          <w:tcPr>
            <w:tcW w:type="dxa" w:w="12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追溯、库存、成本、驾驶舱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模型治理</w:t>
            </w:r>
          </w:p>
        </w:tc>
        <w:tc>
          <w:tcPr>
            <w:tcW w:type="dxa" w:w="252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计算任务、输入快照、参数集、模型版本、结果方案、人工调整、发布记录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任务ID、触发人/时间、数据版本、模型版本、状态、可行性、耗时</w:t>
            </w:r>
          </w:p>
        </w:tc>
        <w:tc>
          <w:tcPr>
            <w:tcW w:type="dxa" w:w="180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SCOS</w:t>
            </w:r>
          </w:p>
        </w:tc>
        <w:tc>
          <w:tcPr>
            <w:tcW w:type="dxa" w:w="12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4"/>
              </w:rPr>
              <w:t>全部优化模块/审计</w:t>
            </w:r>
          </w:p>
        </w:tc>
      </w:tr>
    </w:tbl>
    <w:p>
      <w:pPr>
        <w:pStyle w:val="Heading1"/>
      </w:pPr>
      <w:r>
        <w:t>4.5 模型服务目录与技术契约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656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模型服务</w:t>
            </w:r>
          </w:p>
        </w:tc>
        <w:tc>
          <w:tcPr>
            <w:tcW w:type="dxa" w:w="3096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核心方法/目标</w:t>
            </w:r>
          </w:p>
        </w:tc>
        <w:tc>
          <w:tcPr>
            <w:tcW w:type="dxa" w:w="316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主要硬约束</w:t>
            </w:r>
          </w:p>
        </w:tc>
        <w:tc>
          <w:tcPr>
            <w:tcW w:type="dxa" w:w="172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技术指标</w:t>
            </w:r>
          </w:p>
        </w:tc>
        <w:tc>
          <w:tcPr>
            <w:tcW w:type="dxa" w:w="151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缺口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采购优化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线性规划；最小化报价+运费-账期节省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待采购需求、供应商可供上限、非负量；到货时间当前作前端建议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常规方案≤3秒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是否纳入质量/风险约束；真实数据规模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成品库存优化</w:t>
            </w:r>
          </w:p>
        </w:tc>
        <w:tc>
          <w:tcPr>
            <w:tcW w:type="dxa" w:w="309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动态(R,s,S)；月-周-日协同；滚动7天库存轨迹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可用库存口径、计划入库防重、有效储罐容量</w:t>
            </w:r>
          </w:p>
        </w:tc>
        <w:tc>
          <w:tcPr>
            <w:tcW w:type="dxa" w:w="17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每日计算；参数原则上按月发布</w:t>
            </w:r>
          </w:p>
        </w:tc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服务水平目标、分布适用性验证、扩展品类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精益生产排程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整数/约束优化候选；时间、成本、切换、交付多目标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设备可用、产能、物料、清洗/换线、质量、订单交付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未来72小时≤5分钟；硬约束100%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完整模型、求解器选型、业务权重和备用求解路径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驾驶舱指标计算</w:t>
            </w:r>
          </w:p>
        </w:tc>
        <w:tc>
          <w:tcPr>
            <w:tcW w:type="dxa" w:w="309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口径公式、阈值映射、预警分级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财务指标源为SAP；指标不手工录入</w:t>
            </w:r>
          </w:p>
        </w:tc>
        <w:tc>
          <w:tcPr>
            <w:tcW w:type="dxa" w:w="172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运营数据延迟≤5秒；分析数据≤1小时</w:t>
            </w:r>
          </w:p>
        </w:tc>
        <w:tc>
          <w:tcPr>
            <w:tcW w:type="dxa" w:w="151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指标字典、阈值和历史回算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沙盘编排服务</w:t>
            </w:r>
          </w:p>
        </w:tc>
        <w:tc>
          <w:tcPr>
            <w:tcW w:type="dxa" w:w="30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取基线快照，调用采购/库存/排程/成本模型，对比影响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沙盘与正式数据隔离；只有采纳后才进入发布流程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与被调模型指标一致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参数范围、超时/并发、多模型编排和补偿机制</w:t>
            </w:r>
          </w:p>
        </w:tc>
      </w:tr>
    </w:tbl>
    <w:p>
      <w:pPr>
        <w:pStyle w:val="Heading1"/>
      </w:pPr>
      <w:r>
        <w:t>4.6 集成接口清单（待细化）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15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对接方</w:t>
            </w:r>
          </w:p>
        </w:tc>
        <w:tc>
          <w:tcPr>
            <w:tcW w:type="dxa" w:w="302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主要输入</w:t>
            </w:r>
          </w:p>
        </w:tc>
        <w:tc>
          <w:tcPr>
            <w:tcW w:type="dxa" w:w="316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主要输出/闭环</w:t>
            </w:r>
          </w:p>
        </w:tc>
        <w:tc>
          <w:tcPr>
            <w:tcW w:type="dxa" w:w="158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建议模式</w:t>
            </w:r>
          </w:p>
        </w:tc>
        <w:tc>
          <w:tcPr>
            <w:tcW w:type="dxa" w:w="158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5"/>
              </w:rPr>
              <w:t>需确认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SAP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物料/供应商/客户主数据、订单、价格、财务成本、应收应付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已确认的采购/生产建议或参考数据；执行状态回传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统一服务优先；双向例外API注册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接口主数据及单据清单、对账频率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MES</w:t>
            </w:r>
          </w:p>
        </w:tc>
        <w:tc>
          <w:tcPr>
            <w:tcW w:type="dxa" w:w="30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产线/设备状态、生产订单、报工、投产批次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发布排程/调整建议；实际进度回传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事件+查询API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状态机、报工频率、计划下发粒度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WMS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库存、库位/储罐、冻结/分配/批次、出入库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库存风险、生产补货参考；实际入出库回传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实时订阅+查询API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可用库存口径、快照与流水对账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LIMS/QMS</w:t>
            </w:r>
          </w:p>
        </w:tc>
        <w:tc>
          <w:tcPr>
            <w:tcW w:type="dxa" w:w="30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检验结果、质量状态、供应商合格率、质量事件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隔离/追溯联动、供应商评价参考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事件+查询API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批次关联、结果更正、放行时点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E采/TMS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采购订单、发货/在途/到货、运费、预计到货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审批后采购建议、建议下单/到货日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事件+命令API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订单状态映射、幂等、失败补偿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CRM</w:t>
            </w:r>
          </w:p>
        </w:tc>
        <w:tc>
          <w:tcPr>
            <w:tcW w:type="dxa" w:w="30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客户需求变更、商机/需求事件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交付可行性或影响结果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企业服务总线事件为主+GET/POST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事件schema、反馈边界</w:t>
            </w:r>
          </w:p>
        </w:tc>
      </w:tr>
      <w:tr>
        <w:tc>
          <w:tcPr>
            <w:tcW w:type="dxa" w:w="115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外部行情</w:t>
            </w:r>
          </w:p>
        </w:tc>
        <w:tc>
          <w:tcPr>
            <w:tcW w:type="dxa" w:w="30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大宗商品/期货当前价格</w:t>
            </w:r>
          </w:p>
        </w:tc>
        <w:tc>
          <w:tcPr>
            <w:tcW w:type="dxa" w:w="31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无正式业务单据；用于决策参考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安全API定时拉取</w:t>
            </w:r>
          </w:p>
        </w:tc>
        <w:tc>
          <w:tcPr>
            <w:tcW w:type="dxa" w:w="15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数据供应商、许可、频率、币种/单位、缺失降级</w:t>
            </w:r>
          </w:p>
        </w:tc>
      </w:tr>
      <w:tr>
        <w:tc>
          <w:tcPr>
            <w:tcW w:type="dxa" w:w="115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数字孪生</w:t>
            </w:r>
          </w:p>
        </w:tc>
        <w:tc>
          <w:tcPr>
            <w:tcW w:type="dxa" w:w="302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空间元数据、设备/储罐/车辆映射</w:t>
            </w:r>
          </w:p>
        </w:tc>
        <w:tc>
          <w:tcPr>
            <w:tcW w:type="dxa" w:w="316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业务态势、预警状态和钻取链接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配置+实时消息</w:t>
            </w:r>
          </w:p>
        </w:tc>
        <w:tc>
          <w:tcPr>
            <w:tcW w:type="dxa" w:w="158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5"/>
              </w:rPr>
              <w:t>双方渲染/数据责任边界</w:t>
            </w:r>
          </w:p>
        </w:tc>
      </w:tr>
    </w:tbl>
    <w:p>
      <w:pPr>
        <w:pStyle w:val="Heading1"/>
      </w:pPr>
      <w:r>
        <w:t>4.7 非功能与运维指标底稿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5256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已知指标/要求</w:t>
            </w:r>
          </w:p>
        </w:tc>
        <w:tc>
          <w:tcPr>
            <w:tcW w:type="dxa" w:w="288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正式稿待补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模型性能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采购常规方案≤3秒；72小时详细排程≤5分钟；排程硬约束100%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基准数据规模、并发、超时、降级标准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前端性能</w:t>
            </w:r>
          </w:p>
        </w:tc>
        <w:tc>
          <w:tcPr>
            <w:tcW w:type="dxa" w:w="52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驾驶舱主视图首次加载≤3秒；钻取≤2秒；支持至少50并发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页面、网络、终端、数据量和缓存条件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数据时效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运营关键指标延迟≤5秒；成本/资金类更新≤1小时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按接口/事件列明精确SLA和超时处置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可配置性</w:t>
            </w:r>
          </w:p>
        </w:tc>
        <w:tc>
          <w:tcPr>
            <w:tcW w:type="dxa" w:w="52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指标、阈值、预警规则和看板尽量无代码配置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配置权限、生效时间、版本、发布和回退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安全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统一身份、最小权限、接口认证、传输保护、审计可追溯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等保/企业安全基线、权限模型、数据分级分类、密钥管理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可用性/容灾</w:t>
            </w:r>
          </w:p>
        </w:tc>
        <w:tc>
          <w:tcPr>
            <w:tcW w:type="dxa" w:w="5256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模块独立部署与回退；求解器故障有应急/替代路径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拓扑、节点、故障转移、RTO/RPO、备份恢复演练</w:t>
            </w:r>
          </w:p>
        </w:tc>
      </w:tr>
      <w:tr>
        <w:tc>
          <w:tcPr>
            <w:tcW w:type="dxa" w:w="16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运维服务</w:t>
            </w:r>
          </w:p>
        </w:tc>
        <w:tc>
          <w:tcPr>
            <w:tcW w:type="dxa" w:w="52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上线验收后至少12个月免费质保；P1系统瘫痪2小时响应，P2核心故障4小时响应（标书示例口径）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完整SLA、恢复时间、升级机制、运维联系矩阵</w:t>
            </w:r>
          </w:p>
        </w:tc>
      </w:tr>
    </w:tbl>
    <w:p>
      <w:pPr>
        <w:pStyle w:val="Heading1"/>
      </w:pPr>
      <w:r>
        <w:t>4.8 技术决策与高风险缺口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86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4608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待决策/资料</w:t>
            </w:r>
          </w:p>
        </w:tc>
        <w:tc>
          <w:tcPr>
            <w:tcW w:type="dxa" w:w="288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不关闭的影响</w:t>
            </w:r>
          </w:p>
        </w:tc>
        <w:tc>
          <w:tcPr>
            <w:tcW w:type="dxa" w:w="144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建议责任方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P0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统一数据服务层、实时平台、ESB、API网关的实际产品与能力边界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总体架构图、接口责任和工期无法固化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业主IT+集成厂商+SCOS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P0</w:t>
            </w:r>
          </w:p>
        </w:tc>
        <w:tc>
          <w:tcPr>
            <w:tcW w:type="dxa" w:w="460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系统清单、字段级接口清单、权威数据源和双向写入范围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数据实体映射和闭环无法设计/验收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各系统Owner+业务Owner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P0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生产排程完整约束、求解器选型、授权和备用求解方案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无法证明5分钟/100%可行性指标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算法组+生产工艺+基础设施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P0</w:t>
            </w:r>
          </w:p>
        </w:tc>
        <w:tc>
          <w:tcPr>
            <w:tcW w:type="dxa" w:w="460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库存品类范围和采购风险/多目标两项与标书偏差的处理决议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章节内容与验收范围可能冲突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项目组/业主</w:t>
            </w:r>
          </w:p>
        </w:tc>
      </w:tr>
      <w:tr>
        <w:tc>
          <w:tcPr>
            <w:tcW w:type="dxa" w:w="8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P1</w:t>
            </w:r>
          </w:p>
        </w:tc>
        <w:tc>
          <w:tcPr>
            <w:tcW w:type="dxa" w:w="46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部署资源、网络区域、操作系统/中间件/数据库约束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无法完成部署图、容量规划和安全设计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业主IT+供应商</w:t>
            </w:r>
          </w:p>
        </w:tc>
      </w:tr>
      <w:tr>
        <w:tc>
          <w:tcPr>
            <w:tcW w:type="dxa" w:w="86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P1</w:t>
            </w:r>
          </w:p>
        </w:tc>
        <w:tc>
          <w:tcPr>
            <w:tcW w:type="dxa" w:w="4608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统一账号、角色权限、日志、监控、备份容灾标准</w:t>
            </w:r>
          </w:p>
        </w:tc>
        <w:tc>
          <w:tcPr>
            <w:tcW w:type="dxa" w:w="288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非功能响应只能停留在原则层</w:t>
            </w:r>
          </w:p>
        </w:tc>
        <w:tc>
          <w:tcPr>
            <w:tcW w:type="dxa" w:w="14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信息安全+运维+供应商</w:t>
            </w:r>
          </w:p>
        </w:tc>
      </w:tr>
    </w:tbl>
    <w:p>
      <w:pPr>
        <w:pStyle w:val="Heading1"/>
      </w:pPr>
      <w:r>
        <w:t>4.9 正式技术蓝图所需图表/附件</w:t>
      </w:r>
    </w:p>
    <w:p>
      <w:pPr>
        <w:pStyle w:val="ListBullet"/>
      </w:pPr>
      <w:r>
        <w:t>图：SCOS系统上下文图、分层逻辑架构图、主场景端到端数据流图、部署拓扑图、安全边界图。</w:t>
      </w:r>
    </w:p>
    <w:p>
      <w:pPr>
        <w:pStyle w:val="ListBullet"/>
      </w:pPr>
      <w:r>
        <w:t>表：系统清单、数据实体及字段字典、权威数据源矩阵、接口/API/事件清单、模型服务目录、错误码/重试表。</w:t>
      </w:r>
    </w:p>
    <w:p>
      <w:pPr>
        <w:pStyle w:val="ListBullet"/>
      </w:pPr>
      <w:r>
        <w:t>规范：API命名与版本、认证授权、幂等、超时、限流、日志、监控和退役规范。</w:t>
      </w:r>
    </w:p>
    <w:p>
      <w:pPr>
        <w:pStyle w:val="ListBullet"/>
      </w:pPr>
      <w:r>
        <w:t>模型附件：数学模型、约束优先级、输入输出JSON Schema、性能基准、模型版本与回退方案。</w:t>
      </w:r>
    </w:p>
    <w:p>
      <w:pPr>
        <w:pStyle w:val="ListBullet"/>
      </w:pPr>
      <w:r>
        <w:t>运维附件：容量规划、SLA、RTO/RPO、备份策略、监控指标、告警分级、故障应急和求解器替换路径。</w:t>
      </w:r>
    </w:p>
    <w:p>
      <w:pPr>
        <w:pStyle w:val="Heading1"/>
      </w:pPr>
      <w:r>
        <w:t>素材来源登记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40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744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本章用途</w:t>
            </w:r>
          </w:p>
        </w:tc>
        <w:tc>
          <w:tcPr>
            <w:tcW w:type="dxa" w:w="2592"/>
            <w:shd w:fill="2E74B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b/>
                <w:color w:val="FFFFFF"/>
                <w:sz w:val="16"/>
              </w:rPr>
              <w:t>使用边界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业务蓝图-案例/中粮太仓项目研发模块蓝图方案v2.0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章节组织、场景说明书和技术蓝图表达粒度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只借鉴结构，不沿用PLM业务事实</w:t>
            </w:r>
          </w:p>
        </w:tc>
      </w:tr>
      <w:tr>
        <w:tc>
          <w:tcPr>
            <w:tcW w:type="dxa" w:w="32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业务蓝图-案例/中粮太仓项目车辆物流管理模块蓝图方案v1.0</w:t>
            </w:r>
          </w:p>
        </w:tc>
        <w:tc>
          <w:tcPr>
            <w:tcW w:type="dxa" w:w="37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业务流程、边界、接口和缺口标识方式</w:t>
            </w:r>
          </w:p>
        </w:tc>
        <w:tc>
          <w:tcPr>
            <w:tcW w:type="dxa" w:w="25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只借鉴TMS蓝图组织方式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SCOS全局供应链优化与协同系统技术要求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范围、功能、集成、性能、验收约束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作为必须对齐的基线，冲突项需专项确认</w:t>
            </w:r>
          </w:p>
        </w:tc>
      </w:tr>
      <w:tr>
        <w:tc>
          <w:tcPr>
            <w:tcW w:type="dxa" w:w="3240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2-业务蓝图-draft/采购优化、库存优化、驾驶舱模块技术方案</w:t>
            </w:r>
          </w:p>
        </w:tc>
        <w:tc>
          <w:tcPr>
            <w:tcW w:type="dxa" w:w="3744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现阶段已梳理的业务口径、模型、输入输出和接口</w:t>
            </w:r>
          </w:p>
        </w:tc>
        <w:tc>
          <w:tcPr>
            <w:tcW w:type="dxa" w:w="2592"/>
            <w:shd w:fill="F8FA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部分内容与标书全范围存在收窄，已列为待决策项</w:t>
            </w:r>
          </w:p>
        </w:tc>
      </w:tr>
      <w:tr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0-raw与1-wiki资料</w:t>
            </w:r>
          </w:p>
        </w:tc>
        <w:tc>
          <w:tcPr>
            <w:tcW w:type="dxa" w:w="37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调研纪要、数据样例、架构/逻辑/交互线索</w:t>
            </w:r>
          </w:p>
        </w:tc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30" w:line="252" w:lineRule="auto"/>
            </w:pPr>
            <w:r>
              <w:rPr>
                <w:rFonts w:ascii="Arial Unicode MS" w:hAnsi="Arial Unicode MS" w:eastAsia="Arial Unicode MS"/>
                <w:sz w:val="16"/>
              </w:rPr>
              <w:t>未经评审的口径不直接写成最终承诺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46E"/>
        <w:sz w:val="16"/>
      </w:rPr>
      <w:t xml:space="preserve">中粮生物科技（太仓）有限公司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646E"/>
        <w:sz w:val="17"/>
      </w:rPr>
      <w:t>SCOS蓝图设计·编制资料稿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