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0BB7EAC7">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_Toc1864019130 </w:instrText>
      </w:r>
      <w:r>
        <w:rPr>
          <w:rFonts w:hint="eastAsia" w:ascii="宋体" w:hAnsi="宋体"/>
        </w:rPr>
        <w:fldChar w:fldCharType="separate"/>
      </w:r>
      <w:r>
        <w:rPr>
          <w:rFonts w:hint="eastAsia" w:ascii="黑体" w:hAnsi="黑体" w:eastAsia="黑体" w:cs="黑体"/>
          <w:bCs w:val="0"/>
          <w:lang w:val="en-US" w:eastAsia="zh-CN"/>
        </w:rPr>
        <w:t xml:space="preserve">一、 </w:t>
      </w:r>
      <w:r>
        <w:rPr>
          <w:rFonts w:hint="eastAsia" w:ascii="黑体" w:hAnsi="黑体" w:eastAsia="黑体" w:cs="黑体"/>
          <w:bCs w:val="0"/>
          <w:kern w:val="2"/>
          <w:lang w:val="en-US" w:eastAsia="zh-CN" w:bidi="ar-SA"/>
        </w:rPr>
        <w:t>前言</w:t>
      </w:r>
      <w:r>
        <w:tab/>
      </w:r>
      <w:r>
        <w:fldChar w:fldCharType="begin"/>
      </w:r>
      <w:r>
        <w:instrText xml:space="preserve"> PAGEREF _Toc1864019130 \h </w:instrText>
      </w:r>
      <w:r>
        <w:fldChar w:fldCharType="separate"/>
      </w:r>
      <w:r>
        <w:t>5</w:t>
      </w:r>
      <w:r>
        <w:fldChar w:fldCharType="end"/>
      </w:r>
      <w:r>
        <w:rPr>
          <w:rFonts w:hint="eastAsia" w:ascii="宋体" w:hAnsi="宋体"/>
        </w:rPr>
        <w:fldChar w:fldCharType="end"/>
      </w:r>
    </w:p>
    <w:p w14:paraId="50DA1F1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_Toc1078075474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二、 SCOS全局供应链优化和协同系统总体概要</w:t>
      </w:r>
      <w:r>
        <w:tab/>
      </w:r>
      <w:r>
        <w:fldChar w:fldCharType="begin"/>
      </w:r>
      <w:r>
        <w:instrText xml:space="preserve"> PAGEREF _Toc1078075474 \h </w:instrText>
      </w:r>
      <w:r>
        <w:fldChar w:fldCharType="separate"/>
      </w:r>
      <w:r>
        <w:t>5</w:t>
      </w:r>
      <w:r>
        <w:fldChar w:fldCharType="end"/>
      </w:r>
      <w:r>
        <w:rPr>
          <w:rFonts w:hint="eastAsia" w:ascii="宋体" w:hAnsi="宋体" w:eastAsia="宋体"/>
          <w:kern w:val="2"/>
          <w:lang w:val="en-US" w:eastAsia="zh-CN" w:bidi="ar-SA"/>
        </w:rPr>
        <w:fldChar w:fldCharType="end"/>
      </w:r>
    </w:p>
    <w:p w14:paraId="5783816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_Toc894961779 </w:instrText>
      </w:r>
      <w:r>
        <w:rPr>
          <w:rFonts w:hint="eastAsia" w:ascii="宋体" w:hAnsi="宋体" w:eastAsia="宋体"/>
          <w:kern w:val="2"/>
          <w:lang w:val="en-US" w:eastAsia="zh-CN" w:bidi="ar-SA"/>
        </w:rPr>
        <w:fldChar w:fldCharType="separate"/>
      </w:r>
      <w:r>
        <w:rPr>
          <w:rFonts w:hint="eastAsia" w:ascii="黑体" w:hAnsi="黑体" w:eastAsia="黑体" w:cs="黑体"/>
        </w:rPr>
        <w:t>2.1 六大功能模块</w:t>
      </w:r>
      <w:r>
        <w:tab/>
      </w:r>
      <w:r>
        <w:fldChar w:fldCharType="begin"/>
      </w:r>
      <w:r>
        <w:instrText xml:space="preserve"> PAGEREF _Toc894961779 \h </w:instrText>
      </w:r>
      <w:r>
        <w:fldChar w:fldCharType="separate"/>
      </w:r>
      <w:r>
        <w:t>5</w:t>
      </w:r>
      <w:r>
        <w:fldChar w:fldCharType="end"/>
      </w:r>
      <w:r>
        <w:rPr>
          <w:rFonts w:hint="eastAsia" w:ascii="宋体" w:hAnsi="宋体" w:eastAsia="宋体"/>
          <w:kern w:val="2"/>
          <w:lang w:val="en-US" w:eastAsia="zh-CN" w:bidi="ar-SA"/>
        </w:rPr>
        <w:fldChar w:fldCharType="end"/>
      </w:r>
    </w:p>
    <w:p w14:paraId="0D9F5FD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_Toc647156065 </w:instrText>
      </w:r>
      <w:r>
        <w:rPr>
          <w:rFonts w:hint="eastAsia" w:ascii="宋体" w:hAnsi="宋体" w:eastAsia="宋体"/>
          <w:kern w:val="2"/>
          <w:lang w:val="en-US" w:eastAsia="zh-CN" w:bidi="ar-SA"/>
        </w:rPr>
        <w:fldChar w:fldCharType="separate"/>
      </w:r>
      <w:r>
        <w:rPr>
          <w:rFonts w:hint="eastAsia" w:ascii="黑体" w:hAnsi="黑体" w:eastAsia="黑体" w:cs="黑体"/>
        </w:rPr>
        <w:t>2.2 功能模块交互流转</w:t>
      </w:r>
      <w:r>
        <w:tab/>
      </w:r>
      <w:r>
        <w:fldChar w:fldCharType="begin"/>
      </w:r>
      <w:r>
        <w:instrText xml:space="preserve"> PAGEREF _Toc647156065 \h </w:instrText>
      </w:r>
      <w:r>
        <w:fldChar w:fldCharType="separate"/>
      </w:r>
      <w:r>
        <w:t>7</w:t>
      </w:r>
      <w:r>
        <w:fldChar w:fldCharType="end"/>
      </w:r>
      <w:r>
        <w:rPr>
          <w:rFonts w:hint="eastAsia" w:ascii="宋体" w:hAnsi="宋体" w:eastAsia="宋体"/>
          <w:kern w:val="2"/>
          <w:lang w:val="en-US" w:eastAsia="zh-CN" w:bidi="ar-SA"/>
        </w:rPr>
        <w:fldChar w:fldCharType="end"/>
      </w:r>
    </w:p>
    <w:p w14:paraId="7CF6FC3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_Toc1894796047 </w:instrText>
      </w:r>
      <w:r>
        <w:rPr>
          <w:rFonts w:hint="eastAsia" w:ascii="宋体" w:hAnsi="宋体" w:eastAsia="宋体"/>
          <w:kern w:val="2"/>
          <w:lang w:val="en-US" w:eastAsia="zh-CN" w:bidi="ar-SA"/>
        </w:rPr>
        <w:fldChar w:fldCharType="separate"/>
      </w:r>
      <w:r>
        <w:rPr>
          <w:rFonts w:hint="eastAsia" w:ascii="黑体" w:hAnsi="黑体" w:eastAsia="黑体" w:cs="黑体"/>
        </w:rPr>
        <w:t>2.3 关键协同控制</w:t>
      </w:r>
      <w:r>
        <w:tab/>
      </w:r>
      <w:r>
        <w:fldChar w:fldCharType="begin"/>
      </w:r>
      <w:r>
        <w:instrText xml:space="preserve"> PAGEREF _Toc1894796047 \h </w:instrText>
      </w:r>
      <w:r>
        <w:fldChar w:fldCharType="separate"/>
      </w:r>
      <w:r>
        <w:t>7</w:t>
      </w:r>
      <w:r>
        <w:fldChar w:fldCharType="end"/>
      </w:r>
      <w:r>
        <w:rPr>
          <w:rFonts w:hint="eastAsia" w:ascii="宋体" w:hAnsi="宋体" w:eastAsia="宋体"/>
          <w:kern w:val="2"/>
          <w:lang w:val="en-US" w:eastAsia="zh-CN" w:bidi="ar-SA"/>
        </w:rPr>
        <w:fldChar w:fldCharType="end"/>
      </w:r>
    </w:p>
    <w:p w14:paraId="026A51A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_Toc802160566 </w:instrText>
      </w:r>
      <w:r>
        <w:rPr>
          <w:rFonts w:hint="eastAsia" w:ascii="宋体" w:hAnsi="宋体" w:eastAsia="宋体"/>
          <w:kern w:val="2"/>
          <w:lang w:val="en-US" w:eastAsia="zh-CN" w:bidi="ar-SA"/>
        </w:rPr>
        <w:fldChar w:fldCharType="separate"/>
      </w:r>
      <w:r>
        <w:rPr>
          <w:rFonts w:hint="eastAsia" w:ascii="黑体" w:hAnsi="黑体" w:eastAsia="黑体" w:cs="黑体"/>
        </w:rPr>
        <w:t>2.4 各模块考虑因素和产出</w:t>
      </w:r>
      <w:r>
        <w:tab/>
      </w:r>
      <w:r>
        <w:fldChar w:fldCharType="begin"/>
      </w:r>
      <w:r>
        <w:instrText xml:space="preserve"> PAGEREF _Toc802160566 \h </w:instrText>
      </w:r>
      <w:r>
        <w:fldChar w:fldCharType="separate"/>
      </w:r>
      <w:r>
        <w:t>8</w:t>
      </w:r>
      <w:r>
        <w:fldChar w:fldCharType="end"/>
      </w:r>
      <w:r>
        <w:rPr>
          <w:rFonts w:hint="eastAsia" w:ascii="宋体" w:hAnsi="宋体" w:eastAsia="宋体"/>
          <w:kern w:val="2"/>
          <w:lang w:val="en-US" w:eastAsia="zh-CN" w:bidi="ar-SA"/>
        </w:rPr>
        <w:fldChar w:fldCharType="end"/>
      </w:r>
    </w:p>
    <w:p w14:paraId="29781AE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_Toc10296896 </w:instrText>
      </w:r>
      <w:r>
        <w:rPr>
          <w:rFonts w:hint="eastAsia" w:ascii="宋体" w:hAnsi="宋体" w:eastAsia="宋体"/>
          <w:kern w:val="2"/>
          <w:lang w:val="en-US" w:eastAsia="zh-CN" w:bidi="ar-SA"/>
        </w:rPr>
        <w:fldChar w:fldCharType="separate"/>
      </w:r>
      <w:r>
        <w:rPr>
          <w:rFonts w:hint="eastAsia" w:ascii="黑体" w:hAnsi="黑体" w:eastAsia="黑体" w:cs="黑体"/>
        </w:rPr>
        <w:t>2.5 主要反馈关系</w:t>
      </w:r>
      <w:r>
        <w:tab/>
      </w:r>
      <w:r>
        <w:fldChar w:fldCharType="begin"/>
      </w:r>
      <w:r>
        <w:instrText xml:space="preserve"> PAGEREF _Toc10296896 \h </w:instrText>
      </w:r>
      <w:r>
        <w:fldChar w:fldCharType="separate"/>
      </w:r>
      <w:r>
        <w:t>8</w:t>
      </w:r>
      <w:r>
        <w:fldChar w:fldCharType="end"/>
      </w:r>
      <w:r>
        <w:rPr>
          <w:rFonts w:hint="eastAsia" w:ascii="宋体" w:hAnsi="宋体" w:eastAsia="宋体"/>
          <w:kern w:val="2"/>
          <w:lang w:val="en-US" w:eastAsia="zh-CN" w:bidi="ar-SA"/>
        </w:rPr>
        <w:fldChar w:fldCharType="end"/>
      </w:r>
    </w:p>
    <w:p w14:paraId="6A92A71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_Toc1261239312 </w:instrText>
      </w:r>
      <w:r>
        <w:rPr>
          <w:rFonts w:hint="eastAsia" w:ascii="宋体" w:hAnsi="宋体" w:eastAsia="宋体"/>
          <w:kern w:val="2"/>
          <w:lang w:val="en-US" w:eastAsia="zh-CN" w:bidi="ar-SA"/>
        </w:rPr>
        <w:fldChar w:fldCharType="separate"/>
      </w:r>
      <w:r>
        <w:rPr>
          <w:rFonts w:hint="eastAsia" w:ascii="黑体" w:hAnsi="黑体" w:eastAsia="黑体" w:cs="黑体"/>
        </w:rPr>
        <w:t>2.6 模块价值和系统整体价值</w:t>
      </w:r>
      <w:r>
        <w:tab/>
      </w:r>
      <w:r>
        <w:fldChar w:fldCharType="begin"/>
      </w:r>
      <w:r>
        <w:instrText xml:space="preserve"> PAGEREF _Toc1261239312 \h </w:instrText>
      </w:r>
      <w:r>
        <w:fldChar w:fldCharType="separate"/>
      </w:r>
      <w:r>
        <w:t>9</w:t>
      </w:r>
      <w:r>
        <w:fldChar w:fldCharType="end"/>
      </w:r>
      <w:r>
        <w:rPr>
          <w:rFonts w:hint="eastAsia" w:ascii="宋体" w:hAnsi="宋体" w:eastAsia="宋体"/>
          <w:kern w:val="2"/>
          <w:lang w:val="en-US" w:eastAsia="zh-CN" w:bidi="ar-SA"/>
        </w:rPr>
        <w:fldChar w:fldCharType="end"/>
      </w:r>
    </w:p>
    <w:p w14:paraId="03C77E0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_Toc1985520894 </w:instrText>
      </w:r>
      <w:r>
        <w:rPr>
          <w:rFonts w:hint="eastAsia" w:ascii="宋体" w:hAnsi="宋体" w:eastAsia="宋体"/>
          <w:kern w:val="2"/>
          <w:lang w:val="en-US" w:eastAsia="zh-CN" w:bidi="ar-SA"/>
        </w:rPr>
        <w:fldChar w:fldCharType="separate"/>
      </w:r>
      <w:r>
        <w:rPr>
          <w:rFonts w:hint="eastAsia" w:ascii="黑体" w:hAnsi="黑体" w:eastAsia="黑体" w:cs="黑体"/>
        </w:rPr>
        <w:t>2.7 SCOS系统整体价值</w:t>
      </w:r>
      <w:r>
        <w:tab/>
      </w:r>
      <w:r>
        <w:fldChar w:fldCharType="begin"/>
      </w:r>
      <w:r>
        <w:instrText xml:space="preserve"> PAGEREF _Toc1985520894 \h </w:instrText>
      </w:r>
      <w:r>
        <w:fldChar w:fldCharType="separate"/>
      </w:r>
      <w:r>
        <w:t>9</w:t>
      </w:r>
      <w:r>
        <w:fldChar w:fldCharType="end"/>
      </w:r>
      <w:r>
        <w:rPr>
          <w:rFonts w:hint="eastAsia" w:ascii="宋体" w:hAnsi="宋体" w:eastAsia="宋体"/>
          <w:kern w:val="2"/>
          <w:lang w:val="en-US" w:eastAsia="zh-CN" w:bidi="ar-SA"/>
        </w:rPr>
        <w:fldChar w:fldCharType="end"/>
      </w:r>
    </w:p>
    <w:p w14:paraId="151DDD3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_Toc901274725 </w:instrText>
      </w:r>
      <w:r>
        <w:rPr>
          <w:rFonts w:hint="eastAsia" w:ascii="宋体" w:hAnsi="宋体" w:eastAsia="宋体"/>
          <w:kern w:val="2"/>
          <w:lang w:val="en-US" w:eastAsia="zh-CN" w:bidi="ar-SA"/>
        </w:rPr>
        <w:fldChar w:fldCharType="separate"/>
      </w:r>
      <w:r>
        <w:rPr>
          <w:rFonts w:hint="eastAsia" w:ascii="黑体" w:hAnsi="黑体" w:eastAsia="黑体" w:cs="黑体"/>
        </w:rPr>
        <w:t>2.8 系统边界</w:t>
      </w:r>
      <w:r>
        <w:tab/>
      </w:r>
      <w:r>
        <w:fldChar w:fldCharType="begin"/>
      </w:r>
      <w:r>
        <w:instrText xml:space="preserve"> PAGEREF _Toc901274725 \h </w:instrText>
      </w:r>
      <w:r>
        <w:fldChar w:fldCharType="separate"/>
      </w:r>
      <w:r>
        <w:t>9</w:t>
      </w:r>
      <w:r>
        <w:fldChar w:fldCharType="end"/>
      </w:r>
      <w:r>
        <w:rPr>
          <w:rFonts w:hint="eastAsia" w:ascii="宋体" w:hAnsi="宋体" w:eastAsia="宋体"/>
          <w:kern w:val="2"/>
          <w:lang w:val="en-US" w:eastAsia="zh-CN" w:bidi="ar-SA"/>
        </w:rPr>
        <w:fldChar w:fldCharType="end"/>
      </w:r>
    </w:p>
    <w:p w14:paraId="632C107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_Toc1522140784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三、 SCOS业务蓝图交付物</w:t>
      </w:r>
      <w:r>
        <w:tab/>
      </w:r>
      <w:r>
        <w:fldChar w:fldCharType="begin"/>
      </w:r>
      <w:r>
        <w:instrText xml:space="preserve"> PAGEREF _Toc1522140784 \h </w:instrText>
      </w:r>
      <w:r>
        <w:fldChar w:fldCharType="separate"/>
      </w:r>
      <w:r>
        <w:t>10</w:t>
      </w:r>
      <w:r>
        <w:fldChar w:fldCharType="end"/>
      </w:r>
      <w:r>
        <w:rPr>
          <w:rFonts w:hint="eastAsia" w:ascii="宋体" w:hAnsi="宋体" w:eastAsia="宋体"/>
          <w:kern w:val="2"/>
          <w:lang w:val="en-US" w:eastAsia="zh-CN" w:bidi="ar-SA"/>
        </w:rPr>
        <w:fldChar w:fldCharType="end"/>
      </w:r>
    </w:p>
    <w:p w14:paraId="753FA0C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_Toc1794953624 </w:instrText>
      </w:r>
      <w:r>
        <w:rPr>
          <w:rFonts w:hint="eastAsia" w:ascii="宋体" w:hAnsi="宋体" w:eastAsia="宋体"/>
          <w:kern w:val="2"/>
          <w:lang w:val="en-US" w:eastAsia="zh-CN" w:bidi="ar-SA"/>
        </w:rPr>
        <w:fldChar w:fldCharType="separate"/>
      </w:r>
      <w:r>
        <w:rPr>
          <w:rFonts w:hint="eastAsia" w:ascii="黑体" w:hAnsi="黑体" w:eastAsia="黑体" w:cs="黑体"/>
          <w:bCs w:val="0"/>
          <w:szCs w:val="30"/>
        </w:rPr>
        <w:t xml:space="preserve">3.1 </w:t>
      </w:r>
      <w:r>
        <w:rPr>
          <w:rFonts w:hint="eastAsia" w:ascii="黑体" w:hAnsi="黑体" w:eastAsia="黑体" w:cs="黑体"/>
          <w:bCs w:val="0"/>
          <w:szCs w:val="30"/>
          <w:lang w:val="en-US" w:eastAsia="zh-CN"/>
        </w:rPr>
        <w:t>SCOS业务流程总览</w:t>
      </w:r>
      <w:r>
        <w:tab/>
      </w:r>
      <w:r>
        <w:fldChar w:fldCharType="begin"/>
      </w:r>
      <w:r>
        <w:instrText xml:space="preserve"> PAGEREF _Toc1794953624 \h </w:instrText>
      </w:r>
      <w:r>
        <w:fldChar w:fldCharType="separate"/>
      </w:r>
      <w:r>
        <w:t>10</w:t>
      </w:r>
      <w:r>
        <w:fldChar w:fldCharType="end"/>
      </w:r>
      <w:r>
        <w:rPr>
          <w:rFonts w:hint="eastAsia" w:ascii="宋体" w:hAnsi="宋体" w:eastAsia="宋体"/>
          <w:kern w:val="2"/>
          <w:lang w:val="en-US" w:eastAsia="zh-CN" w:bidi="ar-SA"/>
        </w:rPr>
        <w:fldChar w:fldCharType="end"/>
      </w:r>
    </w:p>
    <w:p w14:paraId="5ADF79D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_Toc2082769159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3.2 </w:t>
      </w:r>
      <w:r>
        <w:rPr>
          <w:rFonts w:hint="eastAsia" w:ascii="黑体" w:hAnsi="黑体" w:eastAsia="黑体" w:cs="黑体"/>
          <w:bCs w:val="0"/>
          <w:lang w:val="en-US" w:eastAsia="zh-CN"/>
        </w:rPr>
        <w:t>关键业务流程说明</w:t>
      </w:r>
      <w:r>
        <w:tab/>
      </w:r>
      <w:r>
        <w:fldChar w:fldCharType="begin"/>
      </w:r>
      <w:r>
        <w:instrText xml:space="preserve"> PAGEREF _Toc2082769159 \h </w:instrText>
      </w:r>
      <w:r>
        <w:fldChar w:fldCharType="separate"/>
      </w:r>
      <w:r>
        <w:t>12</w:t>
      </w:r>
      <w:r>
        <w:fldChar w:fldCharType="end"/>
      </w:r>
      <w:r>
        <w:rPr>
          <w:rFonts w:hint="eastAsia" w:ascii="宋体" w:hAnsi="宋体" w:eastAsia="宋体"/>
          <w:kern w:val="2"/>
          <w:lang w:val="en-US" w:eastAsia="zh-CN" w:bidi="ar-SA"/>
        </w:rPr>
        <w:fldChar w:fldCharType="end"/>
      </w:r>
    </w:p>
    <w:p w14:paraId="20F2709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_Toc1117809213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rPr>
        <w:t xml:space="preserve">3.2.1 </w:t>
      </w:r>
      <w:r>
        <w:rPr>
          <w:rFonts w:hint="eastAsia" w:ascii="黑体" w:hAnsi="黑体" w:eastAsia="黑体" w:cs="黑体"/>
          <w:bCs w:val="0"/>
          <w:lang w:val="en-US" w:eastAsia="zh-CN"/>
        </w:rPr>
        <w:t>库存优化</w:t>
      </w:r>
      <w:r>
        <w:tab/>
      </w:r>
      <w:r>
        <w:fldChar w:fldCharType="begin"/>
      </w:r>
      <w:r>
        <w:instrText xml:space="preserve"> PAGEREF _Toc1117809213 \h </w:instrText>
      </w:r>
      <w:r>
        <w:fldChar w:fldCharType="separate"/>
      </w:r>
      <w:r>
        <w:t>12</w:t>
      </w:r>
      <w:r>
        <w:fldChar w:fldCharType="end"/>
      </w:r>
      <w:r>
        <w:rPr>
          <w:rFonts w:hint="eastAsia" w:ascii="宋体" w:hAnsi="宋体" w:eastAsia="宋体"/>
          <w:kern w:val="2"/>
          <w:lang w:val="en-US" w:eastAsia="zh-CN" w:bidi="ar-SA"/>
        </w:rPr>
        <w:fldChar w:fldCharType="end"/>
      </w:r>
    </w:p>
    <w:p w14:paraId="203E4FA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_Toc832498935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3.2.2 采购优化</w:t>
      </w:r>
      <w:r>
        <w:tab/>
      </w:r>
      <w:r>
        <w:fldChar w:fldCharType="begin"/>
      </w:r>
      <w:r>
        <w:instrText xml:space="preserve"> PAGEREF _Toc832498935 \h </w:instrText>
      </w:r>
      <w:r>
        <w:fldChar w:fldCharType="separate"/>
      </w:r>
      <w:r>
        <w:t>22</w:t>
      </w:r>
      <w:r>
        <w:fldChar w:fldCharType="end"/>
      </w:r>
      <w:r>
        <w:rPr>
          <w:rFonts w:hint="eastAsia" w:ascii="宋体" w:hAnsi="宋体" w:eastAsia="宋体"/>
          <w:kern w:val="2"/>
          <w:lang w:val="en-US" w:eastAsia="zh-CN" w:bidi="ar-SA"/>
        </w:rPr>
        <w:fldChar w:fldCharType="end"/>
      </w:r>
    </w:p>
    <w:p w14:paraId="0F68804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_Toc953640340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3.2.3 要货计划</w:t>
      </w:r>
      <w:r>
        <w:tab/>
      </w:r>
      <w:r>
        <w:fldChar w:fldCharType="begin"/>
      </w:r>
      <w:r>
        <w:instrText xml:space="preserve"> PAGEREF _Toc953640340 \h </w:instrText>
      </w:r>
      <w:r>
        <w:fldChar w:fldCharType="separate"/>
      </w:r>
      <w:r>
        <w:t>30</w:t>
      </w:r>
      <w:r>
        <w:fldChar w:fldCharType="end"/>
      </w:r>
      <w:r>
        <w:rPr>
          <w:rFonts w:hint="eastAsia" w:ascii="宋体" w:hAnsi="宋体" w:eastAsia="宋体"/>
          <w:kern w:val="2"/>
          <w:lang w:val="en-US" w:eastAsia="zh-CN" w:bidi="ar-SA"/>
        </w:rPr>
        <w:fldChar w:fldCharType="end"/>
      </w:r>
    </w:p>
    <w:p w14:paraId="309D880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_Toc1162736819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3.2.4 驾驶舱</w:t>
      </w:r>
      <w:r>
        <w:tab/>
      </w:r>
      <w:r>
        <w:fldChar w:fldCharType="begin"/>
      </w:r>
      <w:r>
        <w:instrText xml:space="preserve"> PAGEREF _Toc1162736819 \h </w:instrText>
      </w:r>
      <w:r>
        <w:fldChar w:fldCharType="separate"/>
      </w:r>
      <w:r>
        <w:t>40</w:t>
      </w:r>
      <w:r>
        <w:fldChar w:fldCharType="end"/>
      </w:r>
      <w:r>
        <w:rPr>
          <w:rFonts w:hint="eastAsia" w:ascii="宋体" w:hAnsi="宋体" w:eastAsia="宋体"/>
          <w:kern w:val="2"/>
          <w:lang w:val="en-US" w:eastAsia="zh-CN" w:bidi="ar-SA"/>
        </w:rPr>
        <w:fldChar w:fldCharType="end"/>
      </w:r>
    </w:p>
    <w:p w14:paraId="34C2F71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_Toc16529233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3.2.5 成本分摊</w:t>
      </w:r>
      <w:r>
        <w:tab/>
      </w:r>
      <w:r>
        <w:fldChar w:fldCharType="begin"/>
      </w:r>
      <w:r>
        <w:instrText xml:space="preserve"> PAGEREF _Toc16529233 \h </w:instrText>
      </w:r>
      <w:r>
        <w:fldChar w:fldCharType="separate"/>
      </w:r>
      <w:r>
        <w:t>54</w:t>
      </w:r>
      <w:r>
        <w:fldChar w:fldCharType="end"/>
      </w:r>
      <w:r>
        <w:rPr>
          <w:rFonts w:hint="eastAsia" w:ascii="宋体" w:hAnsi="宋体" w:eastAsia="宋体"/>
          <w:kern w:val="2"/>
          <w:lang w:val="en-US" w:eastAsia="zh-CN" w:bidi="ar-SA"/>
        </w:rPr>
        <w:fldChar w:fldCharType="end"/>
      </w:r>
    </w:p>
    <w:p w14:paraId="3069674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_Toc781428568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3.2.6 </w:t>
      </w:r>
      <w:r>
        <w:rPr>
          <w:rFonts w:hint="eastAsia" w:ascii="黑体" w:hAnsi="黑体" w:eastAsia="黑体" w:cs="黑体"/>
          <w:bCs w:val="0"/>
          <w:highlight w:val="none"/>
        </w:rPr>
        <w:t>系统边界与分工</w:t>
      </w:r>
      <w:r>
        <w:tab/>
      </w:r>
      <w:r>
        <w:fldChar w:fldCharType="begin"/>
      </w:r>
      <w:r>
        <w:instrText xml:space="preserve"> PAGEREF _Toc781428568 \h </w:instrText>
      </w:r>
      <w:r>
        <w:fldChar w:fldCharType="separate"/>
      </w:r>
      <w:r>
        <w:t>68</w:t>
      </w:r>
      <w:r>
        <w:fldChar w:fldCharType="end"/>
      </w:r>
      <w:r>
        <w:rPr>
          <w:rFonts w:hint="eastAsia" w:ascii="宋体" w:hAnsi="宋体" w:eastAsia="宋体"/>
          <w:kern w:val="2"/>
          <w:lang w:val="en-US" w:eastAsia="zh-CN" w:bidi="ar-SA"/>
        </w:rPr>
        <w:fldChar w:fldCharType="end"/>
      </w:r>
    </w:p>
    <w:p w14:paraId="3091A0F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_Toc1607440971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3.3 功能架构</w:t>
      </w:r>
      <w:r>
        <w:tab/>
      </w:r>
      <w:r>
        <w:fldChar w:fldCharType="begin"/>
      </w:r>
      <w:r>
        <w:instrText xml:space="preserve"> PAGEREF _Toc1607440971 \h </w:instrText>
      </w:r>
      <w:r>
        <w:fldChar w:fldCharType="separate"/>
      </w:r>
      <w:r>
        <w:t>70</w:t>
      </w:r>
      <w:r>
        <w:fldChar w:fldCharType="end"/>
      </w:r>
      <w:r>
        <w:rPr>
          <w:rFonts w:hint="eastAsia" w:ascii="宋体" w:hAnsi="宋体" w:eastAsia="宋体"/>
          <w:kern w:val="2"/>
          <w:lang w:val="en-US" w:eastAsia="zh-CN" w:bidi="ar-SA"/>
        </w:rPr>
        <w:fldChar w:fldCharType="end"/>
      </w:r>
    </w:p>
    <w:p w14:paraId="6F3E103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_Toc916120337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3.4 SCOS角色权限矩阵</w:t>
      </w:r>
      <w:r>
        <w:tab/>
      </w:r>
      <w:r>
        <w:fldChar w:fldCharType="begin"/>
      </w:r>
      <w:r>
        <w:instrText xml:space="preserve"> PAGEREF _Toc916120337 \h </w:instrText>
      </w:r>
      <w:r>
        <w:fldChar w:fldCharType="separate"/>
      </w:r>
      <w:r>
        <w:t>71</w:t>
      </w:r>
      <w:r>
        <w:fldChar w:fldCharType="end"/>
      </w:r>
      <w:r>
        <w:rPr>
          <w:rFonts w:hint="eastAsia" w:ascii="宋体" w:hAnsi="宋体" w:eastAsia="宋体"/>
          <w:kern w:val="2"/>
          <w:lang w:val="en-US" w:eastAsia="zh-CN" w:bidi="ar-SA"/>
        </w:rPr>
        <w:fldChar w:fldCharType="end"/>
      </w:r>
    </w:p>
    <w:p w14:paraId="42759C9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_Toc1924238616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3.4.1 角色定义</w:t>
      </w:r>
      <w:r>
        <w:tab/>
      </w:r>
      <w:r>
        <w:fldChar w:fldCharType="begin"/>
      </w:r>
      <w:r>
        <w:instrText xml:space="preserve"> PAGEREF _Toc1924238616 \h </w:instrText>
      </w:r>
      <w:r>
        <w:fldChar w:fldCharType="separate"/>
      </w:r>
      <w:r>
        <w:t>71</w:t>
      </w:r>
      <w:r>
        <w:fldChar w:fldCharType="end"/>
      </w:r>
      <w:r>
        <w:rPr>
          <w:rFonts w:hint="eastAsia" w:ascii="宋体" w:hAnsi="宋体" w:eastAsia="宋体"/>
          <w:kern w:val="2"/>
          <w:lang w:val="en-US" w:eastAsia="zh-CN" w:bidi="ar-SA"/>
        </w:rPr>
        <w:fldChar w:fldCharType="end"/>
      </w:r>
    </w:p>
    <w:p w14:paraId="2D1B6C7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_Toc1722178939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3.4.2 权限矩阵</w:t>
      </w:r>
      <w:r>
        <w:tab/>
      </w:r>
      <w:r>
        <w:fldChar w:fldCharType="begin"/>
      </w:r>
      <w:r>
        <w:instrText xml:space="preserve"> PAGEREF _Toc1722178939 \h </w:instrText>
      </w:r>
      <w:r>
        <w:fldChar w:fldCharType="separate"/>
      </w:r>
      <w:r>
        <w:t>72</w:t>
      </w:r>
      <w:r>
        <w:fldChar w:fldCharType="end"/>
      </w:r>
      <w:r>
        <w:rPr>
          <w:rFonts w:hint="eastAsia" w:ascii="宋体" w:hAnsi="宋体" w:eastAsia="宋体"/>
          <w:kern w:val="2"/>
          <w:lang w:val="en-US" w:eastAsia="zh-CN" w:bidi="ar-SA"/>
        </w:rPr>
        <w:fldChar w:fldCharType="end"/>
      </w:r>
    </w:p>
    <w:p w14:paraId="6A988CF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_Toc876833507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3.5 </w:t>
      </w:r>
      <w:r>
        <w:rPr>
          <w:rFonts w:hint="eastAsia" w:ascii="黑体" w:hAnsi="黑体" w:eastAsia="黑体" w:cs="黑体"/>
          <w:lang w:val="en-US" w:eastAsia="zh-CN"/>
        </w:rPr>
        <w:t>SCOS业务规则清单</w:t>
      </w:r>
      <w:r>
        <w:tab/>
      </w:r>
      <w:r>
        <w:fldChar w:fldCharType="begin"/>
      </w:r>
      <w:r>
        <w:instrText xml:space="preserve"> PAGEREF _Toc876833507 \h </w:instrText>
      </w:r>
      <w:r>
        <w:fldChar w:fldCharType="separate"/>
      </w:r>
      <w:r>
        <w:t>75</w:t>
      </w:r>
      <w:r>
        <w:fldChar w:fldCharType="end"/>
      </w:r>
      <w:r>
        <w:rPr>
          <w:rFonts w:hint="eastAsia" w:ascii="宋体" w:hAnsi="宋体" w:eastAsia="宋体"/>
          <w:kern w:val="2"/>
          <w:lang w:val="en-US" w:eastAsia="zh-CN" w:bidi="ar-SA"/>
        </w:rPr>
        <w:fldChar w:fldCharType="end"/>
      </w:r>
    </w:p>
    <w:p w14:paraId="2A8809D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_Toc907966435 </w:instrText>
      </w:r>
      <w:r>
        <w:rPr>
          <w:rFonts w:hint="eastAsia" w:ascii="宋体" w:hAnsi="宋体" w:eastAsia="宋体"/>
          <w:kern w:val="2"/>
          <w:lang w:val="en-US" w:eastAsia="zh-CN" w:bidi="ar-SA"/>
        </w:rPr>
        <w:fldChar w:fldCharType="separate"/>
      </w:r>
      <w:r>
        <w:rPr>
          <w:rFonts w:hint="eastAsia" w:ascii="黑体" w:hAnsi="黑体" w:eastAsia="黑体" w:cs="黑体"/>
        </w:rPr>
        <w:t>四、 SCOS智能化应用场景说明书</w:t>
      </w:r>
      <w:r>
        <w:tab/>
      </w:r>
      <w:r>
        <w:fldChar w:fldCharType="begin"/>
      </w:r>
      <w:r>
        <w:instrText xml:space="preserve"> PAGEREF _Toc907966435 \h </w:instrText>
      </w:r>
      <w:r>
        <w:fldChar w:fldCharType="separate"/>
      </w:r>
      <w:r>
        <w:t>119</w:t>
      </w:r>
      <w:r>
        <w:fldChar w:fldCharType="end"/>
      </w:r>
      <w:r>
        <w:rPr>
          <w:rFonts w:hint="eastAsia" w:ascii="宋体" w:hAnsi="宋体" w:eastAsia="宋体"/>
          <w:kern w:val="2"/>
          <w:lang w:val="en-US" w:eastAsia="zh-CN" w:bidi="ar-SA"/>
        </w:rPr>
        <w:fldChar w:fldCharType="end"/>
      </w:r>
    </w:p>
    <w:p w14:paraId="1FD3305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_Toc173077463 </w:instrText>
      </w:r>
      <w:r>
        <w:rPr>
          <w:rFonts w:hint="eastAsia" w:ascii="宋体" w:hAnsi="宋体" w:eastAsia="宋体"/>
          <w:kern w:val="2"/>
          <w:lang w:val="en-US" w:eastAsia="zh-CN" w:bidi="ar-SA"/>
        </w:rPr>
        <w:fldChar w:fldCharType="separate"/>
      </w:r>
      <w:r>
        <w:rPr>
          <w:rFonts w:hint="eastAsia" w:ascii="黑体" w:hAnsi="黑体" w:eastAsia="黑体" w:cs="黑体"/>
        </w:rPr>
        <w:t>4.1 智能化场景总体说明</w:t>
      </w:r>
      <w:r>
        <w:tab/>
      </w:r>
      <w:r>
        <w:fldChar w:fldCharType="begin"/>
      </w:r>
      <w:r>
        <w:instrText xml:space="preserve"> PAGEREF _Toc173077463 \h </w:instrText>
      </w:r>
      <w:r>
        <w:fldChar w:fldCharType="separate"/>
      </w:r>
      <w:r>
        <w:t>119</w:t>
      </w:r>
      <w:r>
        <w:fldChar w:fldCharType="end"/>
      </w:r>
      <w:r>
        <w:rPr>
          <w:rFonts w:hint="eastAsia" w:ascii="宋体" w:hAnsi="宋体" w:eastAsia="宋体"/>
          <w:kern w:val="2"/>
          <w:lang w:val="en-US" w:eastAsia="zh-CN" w:bidi="ar-SA"/>
        </w:rPr>
        <w:fldChar w:fldCharType="end"/>
      </w:r>
    </w:p>
    <w:p w14:paraId="6C9AEE8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_Toc1220062603 </w:instrText>
      </w:r>
      <w:r>
        <w:rPr>
          <w:rFonts w:hint="eastAsia" w:ascii="宋体" w:hAnsi="宋体" w:eastAsia="宋体"/>
          <w:kern w:val="2"/>
          <w:lang w:val="en-US" w:eastAsia="zh-CN" w:bidi="ar-SA"/>
        </w:rPr>
        <w:fldChar w:fldCharType="separate"/>
      </w:r>
      <w:r>
        <w:rPr>
          <w:rFonts w:hint="eastAsia" w:ascii="黑体" w:hAnsi="黑体" w:eastAsia="黑体" w:cs="黑体"/>
        </w:rPr>
        <w:t>4.2 供应链驾驶舱态势监测与预警联动</w:t>
      </w:r>
      <w:r>
        <w:rPr>
          <w:rFonts w:hint="eastAsia" w:ascii="黑体" w:hAnsi="黑体" w:eastAsia="黑体" w:cs="黑体"/>
          <w:lang w:val="en-US" w:eastAsia="zh-CN"/>
        </w:rPr>
        <w:t>（F-ZLTC-SCOS-AIZNT-001）</w:t>
      </w:r>
      <w:r>
        <w:tab/>
      </w:r>
      <w:r>
        <w:fldChar w:fldCharType="begin"/>
      </w:r>
      <w:r>
        <w:instrText xml:space="preserve"> PAGEREF _Toc1220062603 \h </w:instrText>
      </w:r>
      <w:r>
        <w:fldChar w:fldCharType="separate"/>
      </w:r>
      <w:r>
        <w:t>120</w:t>
      </w:r>
      <w:r>
        <w:fldChar w:fldCharType="end"/>
      </w:r>
      <w:r>
        <w:rPr>
          <w:rFonts w:hint="eastAsia" w:ascii="宋体" w:hAnsi="宋体" w:eastAsia="宋体"/>
          <w:kern w:val="2"/>
          <w:lang w:val="en-US" w:eastAsia="zh-CN" w:bidi="ar-SA"/>
        </w:rPr>
        <w:fldChar w:fldCharType="end"/>
      </w:r>
    </w:p>
    <w:p w14:paraId="62DE6DA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_Toc1418307065 </w:instrText>
      </w:r>
      <w:r>
        <w:rPr>
          <w:rFonts w:hint="eastAsia" w:ascii="宋体" w:hAnsi="宋体" w:eastAsia="宋体"/>
          <w:kern w:val="2"/>
          <w:lang w:val="en-US" w:eastAsia="zh-CN" w:bidi="ar-SA"/>
        </w:rPr>
        <w:fldChar w:fldCharType="separate"/>
      </w:r>
      <w:r>
        <w:rPr>
          <w:rFonts w:hint="eastAsia" w:ascii="黑体" w:hAnsi="黑体" w:eastAsia="黑体" w:cs="黑体"/>
        </w:rPr>
        <w:t>4.3 供应链沙盘推演</w:t>
      </w:r>
      <w:r>
        <w:rPr>
          <w:rFonts w:hint="eastAsia" w:ascii="黑体" w:hAnsi="黑体" w:eastAsia="黑体" w:cs="黑体"/>
          <w:lang w:val="en-US" w:eastAsia="zh-CN"/>
        </w:rPr>
        <w:t>（F-ZLTC-SCOS-AIZNT-002）</w:t>
      </w:r>
      <w:r>
        <w:tab/>
      </w:r>
      <w:r>
        <w:fldChar w:fldCharType="begin"/>
      </w:r>
      <w:r>
        <w:instrText xml:space="preserve"> PAGEREF _Toc1418307065 \h </w:instrText>
      </w:r>
      <w:r>
        <w:fldChar w:fldCharType="separate"/>
      </w:r>
      <w:r>
        <w:t>121</w:t>
      </w:r>
      <w:r>
        <w:fldChar w:fldCharType="end"/>
      </w:r>
      <w:r>
        <w:rPr>
          <w:rFonts w:hint="eastAsia" w:ascii="宋体" w:hAnsi="宋体" w:eastAsia="宋体"/>
          <w:kern w:val="2"/>
          <w:lang w:val="en-US" w:eastAsia="zh-CN" w:bidi="ar-SA"/>
        </w:rPr>
        <w:fldChar w:fldCharType="end"/>
      </w:r>
    </w:p>
    <w:p w14:paraId="6621944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_Toc418359755 </w:instrText>
      </w:r>
      <w:r>
        <w:rPr>
          <w:rFonts w:hint="eastAsia" w:ascii="宋体" w:hAnsi="宋体" w:eastAsia="宋体"/>
          <w:kern w:val="2"/>
          <w:lang w:val="en-US" w:eastAsia="zh-CN" w:bidi="ar-SA"/>
        </w:rPr>
        <w:fldChar w:fldCharType="separate"/>
      </w:r>
      <w:r>
        <w:rPr>
          <w:rFonts w:hint="eastAsia" w:ascii="黑体" w:hAnsi="黑体" w:eastAsia="黑体" w:cs="黑体"/>
        </w:rPr>
        <w:t>4.4 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r>
        <w:tab/>
      </w:r>
      <w:r>
        <w:fldChar w:fldCharType="begin"/>
      </w:r>
      <w:r>
        <w:instrText xml:space="preserve"> PAGEREF _Toc418359755 \h </w:instrText>
      </w:r>
      <w:r>
        <w:fldChar w:fldCharType="separate"/>
      </w:r>
      <w:r>
        <w:t>122</w:t>
      </w:r>
      <w:r>
        <w:fldChar w:fldCharType="end"/>
      </w:r>
      <w:r>
        <w:rPr>
          <w:rFonts w:hint="eastAsia" w:ascii="宋体" w:hAnsi="宋体" w:eastAsia="宋体"/>
          <w:kern w:val="2"/>
          <w:lang w:val="en-US" w:eastAsia="zh-CN" w:bidi="ar-SA"/>
        </w:rPr>
        <w:fldChar w:fldCharType="end"/>
      </w:r>
    </w:p>
    <w:p w14:paraId="0F8AF6C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_Toc510942007 </w:instrText>
      </w:r>
      <w:r>
        <w:rPr>
          <w:rFonts w:hint="eastAsia" w:ascii="宋体" w:hAnsi="宋体" w:eastAsia="宋体"/>
          <w:kern w:val="2"/>
          <w:lang w:val="en-US" w:eastAsia="zh-CN" w:bidi="ar-SA"/>
        </w:rPr>
        <w:fldChar w:fldCharType="separate"/>
      </w:r>
      <w:r>
        <w:rPr>
          <w:rFonts w:hint="eastAsia" w:ascii="黑体" w:hAnsi="黑体" w:eastAsia="黑体" w:cs="黑体"/>
        </w:rPr>
        <w:t>4.5 精益生产排程与异常重排</w:t>
      </w:r>
      <w:r>
        <w:rPr>
          <w:rFonts w:hint="eastAsia" w:ascii="黑体" w:hAnsi="黑体" w:eastAsia="黑体" w:cs="黑体"/>
          <w:lang w:eastAsia="zh-CN"/>
        </w:rPr>
        <w:t>（</w:t>
      </w:r>
      <w:r>
        <w:rPr>
          <w:rFonts w:hint="eastAsia" w:ascii="黑体" w:hAnsi="黑体" w:eastAsia="黑体" w:cs="黑体"/>
          <w:lang w:val="en-US" w:eastAsia="zh-CN"/>
        </w:rPr>
        <w:t>参考精益排程部分</w:t>
      </w:r>
      <w:r>
        <w:rPr>
          <w:rFonts w:hint="eastAsia" w:ascii="黑体" w:hAnsi="黑体" w:eastAsia="黑体" w:cs="黑体"/>
          <w:lang w:eastAsia="zh-CN"/>
        </w:rPr>
        <w:t>）</w:t>
      </w:r>
      <w:r>
        <w:tab/>
      </w:r>
      <w:r>
        <w:fldChar w:fldCharType="begin"/>
      </w:r>
      <w:r>
        <w:instrText xml:space="preserve"> PAGEREF _Toc510942007 \h </w:instrText>
      </w:r>
      <w:r>
        <w:fldChar w:fldCharType="separate"/>
      </w:r>
      <w:r>
        <w:t>123</w:t>
      </w:r>
      <w:r>
        <w:fldChar w:fldCharType="end"/>
      </w:r>
      <w:r>
        <w:rPr>
          <w:rFonts w:hint="eastAsia" w:ascii="宋体" w:hAnsi="宋体" w:eastAsia="宋体"/>
          <w:kern w:val="2"/>
          <w:lang w:val="en-US" w:eastAsia="zh-CN" w:bidi="ar-SA"/>
        </w:rPr>
        <w:fldChar w:fldCharType="end"/>
      </w:r>
    </w:p>
    <w:p w14:paraId="1A9591B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_Toc1762690943 </w:instrText>
      </w:r>
      <w:r>
        <w:rPr>
          <w:rFonts w:hint="eastAsia" w:ascii="宋体" w:hAnsi="宋体" w:eastAsia="宋体"/>
          <w:kern w:val="2"/>
          <w:lang w:val="en-US" w:eastAsia="zh-CN" w:bidi="ar-SA"/>
        </w:rPr>
        <w:fldChar w:fldCharType="separate"/>
      </w:r>
      <w:r>
        <w:rPr>
          <w:rFonts w:hint="eastAsia" w:ascii="黑体" w:hAnsi="黑体" w:eastAsia="黑体" w:cs="黑体"/>
        </w:rPr>
        <w:t>4.6 原料采购决策优化</w:t>
      </w:r>
      <w:r>
        <w:rPr>
          <w:rFonts w:hint="eastAsia" w:ascii="黑体" w:hAnsi="黑体" w:eastAsia="黑体" w:cs="黑体"/>
          <w:lang w:val="en-US" w:eastAsia="zh-CN"/>
        </w:rPr>
        <w:t>（F-ZLTC-SCOS-AIZNT-005）</w:t>
      </w:r>
      <w:r>
        <w:tab/>
      </w:r>
      <w:r>
        <w:fldChar w:fldCharType="begin"/>
      </w:r>
      <w:r>
        <w:instrText xml:space="preserve"> PAGEREF _Toc1762690943 \h </w:instrText>
      </w:r>
      <w:r>
        <w:fldChar w:fldCharType="separate"/>
      </w:r>
      <w:r>
        <w:t>123</w:t>
      </w:r>
      <w:r>
        <w:fldChar w:fldCharType="end"/>
      </w:r>
      <w:r>
        <w:rPr>
          <w:rFonts w:hint="eastAsia" w:ascii="宋体" w:hAnsi="宋体" w:eastAsia="宋体"/>
          <w:kern w:val="2"/>
          <w:lang w:val="en-US" w:eastAsia="zh-CN" w:bidi="ar-SA"/>
        </w:rPr>
        <w:fldChar w:fldCharType="end"/>
      </w:r>
    </w:p>
    <w:p w14:paraId="727F1F3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_Toc1009768636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 xml:space="preserve">4.7 </w:t>
      </w:r>
      <w:r>
        <w:rPr>
          <w:rFonts w:hint="eastAsia" w:ascii="黑体" w:hAnsi="黑体" w:eastAsia="黑体" w:cs="黑体"/>
        </w:rPr>
        <w:t>原辅包要货决策优化（F-ZLTC-SCOS-AIZNT-00</w:t>
      </w:r>
      <w:r>
        <w:rPr>
          <w:rFonts w:hint="eastAsia" w:ascii="黑体" w:hAnsi="黑体" w:eastAsia="黑体" w:cs="黑体"/>
          <w:lang w:val="en-US" w:eastAsia="zh-CN"/>
        </w:rPr>
        <w:t>6</w:t>
      </w:r>
      <w:r>
        <w:rPr>
          <w:rFonts w:hint="eastAsia" w:ascii="黑体" w:hAnsi="黑体" w:eastAsia="黑体" w:cs="黑体"/>
        </w:rPr>
        <w:t>）</w:t>
      </w:r>
      <w:r>
        <w:tab/>
      </w:r>
      <w:r>
        <w:fldChar w:fldCharType="begin"/>
      </w:r>
      <w:r>
        <w:instrText xml:space="preserve"> PAGEREF _Toc1009768636 \h </w:instrText>
      </w:r>
      <w:r>
        <w:fldChar w:fldCharType="separate"/>
      </w:r>
      <w:r>
        <w:t>124</w:t>
      </w:r>
      <w:r>
        <w:fldChar w:fldCharType="end"/>
      </w:r>
      <w:r>
        <w:rPr>
          <w:rFonts w:hint="eastAsia" w:ascii="宋体" w:hAnsi="宋体" w:eastAsia="宋体"/>
          <w:kern w:val="2"/>
          <w:lang w:val="en-US" w:eastAsia="zh-CN" w:bidi="ar-SA"/>
        </w:rPr>
        <w:fldChar w:fldCharType="end"/>
      </w:r>
    </w:p>
    <w:p w14:paraId="732213C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_Toc1765686658 </w:instrText>
      </w:r>
      <w:r>
        <w:rPr>
          <w:rFonts w:hint="eastAsia" w:ascii="宋体" w:hAnsi="宋体" w:eastAsia="宋体"/>
          <w:kern w:val="2"/>
          <w:lang w:val="en-US" w:eastAsia="zh-CN" w:bidi="ar-SA"/>
        </w:rPr>
        <w:fldChar w:fldCharType="separate"/>
      </w:r>
      <w:r>
        <w:rPr>
          <w:rFonts w:hint="eastAsia" w:ascii="黑体" w:hAnsi="黑体" w:eastAsia="黑体" w:cs="黑体"/>
        </w:rPr>
        <w:t>4.8 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r>
        <w:tab/>
      </w:r>
      <w:r>
        <w:fldChar w:fldCharType="begin"/>
      </w:r>
      <w:r>
        <w:instrText xml:space="preserve"> PAGEREF _Toc1765686658 \h </w:instrText>
      </w:r>
      <w:r>
        <w:fldChar w:fldCharType="separate"/>
      </w:r>
      <w:r>
        <w:t>125</w:t>
      </w:r>
      <w:r>
        <w:fldChar w:fldCharType="end"/>
      </w:r>
      <w:r>
        <w:rPr>
          <w:rFonts w:hint="eastAsia" w:ascii="宋体" w:hAnsi="宋体" w:eastAsia="宋体"/>
          <w:kern w:val="2"/>
          <w:lang w:val="en-US" w:eastAsia="zh-CN" w:bidi="ar-SA"/>
        </w:rPr>
        <w:fldChar w:fldCharType="end"/>
      </w:r>
    </w:p>
    <w:p w14:paraId="0092F71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_Toc1966626760 </w:instrText>
      </w:r>
      <w:r>
        <w:rPr>
          <w:rFonts w:hint="eastAsia" w:ascii="宋体" w:hAnsi="宋体" w:eastAsia="宋体"/>
          <w:kern w:val="2"/>
          <w:lang w:val="en-US" w:eastAsia="zh-CN" w:bidi="ar-SA"/>
        </w:rPr>
        <w:fldChar w:fldCharType="separate"/>
      </w:r>
      <w:r>
        <w:rPr>
          <w:rFonts w:hint="eastAsia" w:ascii="黑体" w:hAnsi="黑体" w:eastAsia="黑体" w:cs="黑体"/>
        </w:rPr>
        <w:t>4.9 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r>
        <w:tab/>
      </w:r>
      <w:r>
        <w:fldChar w:fldCharType="begin"/>
      </w:r>
      <w:r>
        <w:instrText xml:space="preserve"> PAGEREF _Toc1966626760 \h </w:instrText>
      </w:r>
      <w:r>
        <w:fldChar w:fldCharType="separate"/>
      </w:r>
      <w:r>
        <w:t>126</w:t>
      </w:r>
      <w:r>
        <w:fldChar w:fldCharType="end"/>
      </w:r>
      <w:r>
        <w:rPr>
          <w:rFonts w:hint="eastAsia" w:ascii="宋体" w:hAnsi="宋体" w:eastAsia="宋体"/>
          <w:kern w:val="2"/>
          <w:lang w:val="en-US" w:eastAsia="zh-CN" w:bidi="ar-SA"/>
        </w:rPr>
        <w:fldChar w:fldCharType="end"/>
      </w:r>
    </w:p>
    <w:p w14:paraId="4D88F923">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_Toc1175144343 </w:instrText>
      </w:r>
      <w:r>
        <w:rPr>
          <w:rFonts w:hint="eastAsia" w:ascii="宋体" w:hAnsi="宋体" w:eastAsia="宋体"/>
          <w:kern w:val="2"/>
          <w:lang w:val="en-US" w:eastAsia="zh-CN" w:bidi="ar-SA"/>
        </w:rPr>
        <w:fldChar w:fldCharType="separate"/>
      </w:r>
      <w:r>
        <w:rPr>
          <w:rFonts w:hint="eastAsia" w:ascii="黑体" w:hAnsi="黑体" w:eastAsia="黑体" w:cs="黑体"/>
        </w:rPr>
        <w:t>五、 SCOS技术蓝图交付物</w:t>
      </w:r>
      <w:r>
        <w:tab/>
      </w:r>
      <w:r>
        <w:fldChar w:fldCharType="begin"/>
      </w:r>
      <w:r>
        <w:instrText xml:space="preserve"> PAGEREF _Toc1175144343 \h </w:instrText>
      </w:r>
      <w:r>
        <w:fldChar w:fldCharType="separate"/>
      </w:r>
      <w:r>
        <w:t>126</w:t>
      </w:r>
      <w:r>
        <w:fldChar w:fldCharType="end"/>
      </w:r>
      <w:r>
        <w:rPr>
          <w:rFonts w:hint="eastAsia" w:ascii="宋体" w:hAnsi="宋体" w:eastAsia="宋体"/>
          <w:kern w:val="2"/>
          <w:lang w:val="en-US" w:eastAsia="zh-CN" w:bidi="ar-SA"/>
        </w:rPr>
        <w:fldChar w:fldCharType="end"/>
      </w:r>
    </w:p>
    <w:p w14:paraId="22942C0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_Toc243871342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5.1 </w:t>
      </w:r>
      <w:r>
        <w:rPr>
          <w:rFonts w:hint="eastAsia" w:ascii="黑体" w:hAnsi="黑体" w:eastAsia="黑体" w:cs="黑体"/>
          <w:bCs w:val="0"/>
          <w:lang w:val="en-US" w:eastAsia="zh-CN"/>
        </w:rPr>
        <w:t>SCOS</w:t>
      </w:r>
      <w:r>
        <w:rPr>
          <w:rFonts w:hint="eastAsia" w:ascii="黑体" w:hAnsi="黑体" w:eastAsia="黑体" w:cs="黑体"/>
          <w:bCs w:val="0"/>
        </w:rPr>
        <w:t>数据流架构图</w:t>
      </w:r>
      <w:r>
        <w:tab/>
      </w:r>
      <w:r>
        <w:fldChar w:fldCharType="begin"/>
      </w:r>
      <w:r>
        <w:instrText xml:space="preserve"> PAGEREF _Toc243871342 \h </w:instrText>
      </w:r>
      <w:r>
        <w:fldChar w:fldCharType="separate"/>
      </w:r>
      <w:r>
        <w:t>126</w:t>
      </w:r>
      <w:r>
        <w:fldChar w:fldCharType="end"/>
      </w:r>
      <w:r>
        <w:rPr>
          <w:rFonts w:hint="eastAsia" w:ascii="宋体" w:hAnsi="宋体" w:eastAsia="宋体"/>
          <w:kern w:val="2"/>
          <w:lang w:val="en-US" w:eastAsia="zh-CN" w:bidi="ar-SA"/>
        </w:rPr>
        <w:fldChar w:fldCharType="end"/>
      </w:r>
    </w:p>
    <w:p w14:paraId="2327381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_Toc1346846518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5.2 </w:t>
      </w:r>
      <w:r>
        <w:rPr>
          <w:rFonts w:hint="eastAsia" w:ascii="黑体" w:hAnsi="黑体" w:eastAsia="黑体" w:cs="黑体"/>
          <w:lang w:val="en-US" w:eastAsia="zh-CN"/>
        </w:rPr>
        <w:t>SCOS</w:t>
      </w:r>
      <w:r>
        <w:rPr>
          <w:rFonts w:hint="eastAsia" w:ascii="黑体" w:hAnsi="黑体" w:eastAsia="黑体" w:cs="黑体"/>
        </w:rPr>
        <w:t>数据实体与字段映射表</w:t>
      </w:r>
      <w:r>
        <w:tab/>
      </w:r>
      <w:r>
        <w:fldChar w:fldCharType="begin"/>
      </w:r>
      <w:r>
        <w:instrText xml:space="preserve"> PAGEREF _Toc1346846518 \h </w:instrText>
      </w:r>
      <w:r>
        <w:fldChar w:fldCharType="separate"/>
      </w:r>
      <w:r>
        <w:t>129</w:t>
      </w:r>
      <w:r>
        <w:fldChar w:fldCharType="end"/>
      </w:r>
      <w:r>
        <w:rPr>
          <w:rFonts w:hint="eastAsia" w:ascii="宋体" w:hAnsi="宋体" w:eastAsia="宋体"/>
          <w:kern w:val="2"/>
          <w:lang w:val="en-US" w:eastAsia="zh-CN" w:bidi="ar-SA"/>
        </w:rPr>
        <w:fldChar w:fldCharType="end"/>
      </w:r>
    </w:p>
    <w:p w14:paraId="0F35253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_Toc1971788646 </w:instrText>
      </w:r>
      <w:r>
        <w:rPr>
          <w:rFonts w:hint="eastAsia" w:ascii="宋体" w:hAnsi="宋体" w:eastAsia="宋体"/>
          <w:kern w:val="2"/>
          <w:lang w:val="en-US" w:eastAsia="zh-CN" w:bidi="ar-SA"/>
        </w:rPr>
        <w:fldChar w:fldCharType="separate"/>
      </w:r>
      <w:r>
        <w:rPr>
          <w:rFonts w:hint="eastAsia" w:ascii="黑体" w:hAnsi="黑体" w:eastAsia="黑体" w:cs="黑体"/>
        </w:rPr>
        <w:t>5.2.1 库存优化</w:t>
      </w:r>
      <w:r>
        <w:tab/>
      </w:r>
      <w:r>
        <w:fldChar w:fldCharType="begin"/>
      </w:r>
      <w:r>
        <w:instrText xml:space="preserve"> PAGEREF _Toc1971788646 \h </w:instrText>
      </w:r>
      <w:r>
        <w:fldChar w:fldCharType="separate"/>
      </w:r>
      <w:r>
        <w:t>129</w:t>
      </w:r>
      <w:r>
        <w:fldChar w:fldCharType="end"/>
      </w:r>
      <w:r>
        <w:rPr>
          <w:rFonts w:hint="eastAsia" w:ascii="宋体" w:hAnsi="宋体" w:eastAsia="宋体"/>
          <w:kern w:val="2"/>
          <w:lang w:val="en-US" w:eastAsia="zh-CN" w:bidi="ar-SA"/>
        </w:rPr>
        <w:fldChar w:fldCharType="end"/>
      </w:r>
    </w:p>
    <w:p w14:paraId="4DAE11A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_Toc2031616465 </w:instrText>
      </w:r>
      <w:r>
        <w:rPr>
          <w:rFonts w:hint="eastAsia" w:ascii="宋体" w:hAnsi="宋体" w:eastAsia="宋体"/>
          <w:kern w:val="2"/>
          <w:lang w:val="en-US" w:eastAsia="zh-CN" w:bidi="ar-SA"/>
        </w:rPr>
        <w:fldChar w:fldCharType="separate"/>
      </w:r>
      <w:r>
        <w:rPr>
          <w:rFonts w:hint="eastAsia" w:ascii="黑体" w:hAnsi="黑体" w:eastAsia="黑体" w:cs="黑体"/>
        </w:rPr>
        <w:t>5.2.2 采购优化</w:t>
      </w:r>
      <w:r>
        <w:tab/>
      </w:r>
      <w:r>
        <w:fldChar w:fldCharType="begin"/>
      </w:r>
      <w:r>
        <w:instrText xml:space="preserve"> PAGEREF _Toc2031616465 \h </w:instrText>
      </w:r>
      <w:r>
        <w:fldChar w:fldCharType="separate"/>
      </w:r>
      <w:r>
        <w:t>137</w:t>
      </w:r>
      <w:r>
        <w:fldChar w:fldCharType="end"/>
      </w:r>
      <w:r>
        <w:rPr>
          <w:rFonts w:hint="eastAsia" w:ascii="宋体" w:hAnsi="宋体" w:eastAsia="宋体"/>
          <w:kern w:val="2"/>
          <w:lang w:val="en-US" w:eastAsia="zh-CN" w:bidi="ar-SA"/>
        </w:rPr>
        <w:fldChar w:fldCharType="end"/>
      </w:r>
    </w:p>
    <w:p w14:paraId="52C99D7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_Toc387939955 </w:instrText>
      </w:r>
      <w:r>
        <w:rPr>
          <w:rFonts w:hint="eastAsia" w:ascii="宋体" w:hAnsi="宋体" w:eastAsia="宋体"/>
          <w:kern w:val="2"/>
          <w:lang w:val="en-US" w:eastAsia="zh-CN" w:bidi="ar-SA"/>
        </w:rPr>
        <w:fldChar w:fldCharType="separate"/>
      </w:r>
      <w:r>
        <w:rPr>
          <w:rFonts w:hint="eastAsia" w:ascii="黑体" w:hAnsi="黑体" w:eastAsia="黑体" w:cs="黑体"/>
        </w:rPr>
        <w:t>5.2.3 要货计划</w:t>
      </w:r>
      <w:r>
        <w:tab/>
      </w:r>
      <w:r>
        <w:fldChar w:fldCharType="begin"/>
      </w:r>
      <w:r>
        <w:instrText xml:space="preserve"> PAGEREF _Toc387939955 \h </w:instrText>
      </w:r>
      <w:r>
        <w:fldChar w:fldCharType="separate"/>
      </w:r>
      <w:r>
        <w:t>146</w:t>
      </w:r>
      <w:r>
        <w:fldChar w:fldCharType="end"/>
      </w:r>
      <w:r>
        <w:rPr>
          <w:rFonts w:hint="eastAsia" w:ascii="宋体" w:hAnsi="宋体" w:eastAsia="宋体"/>
          <w:kern w:val="2"/>
          <w:lang w:val="en-US" w:eastAsia="zh-CN" w:bidi="ar-SA"/>
        </w:rPr>
        <w:fldChar w:fldCharType="end"/>
      </w:r>
    </w:p>
    <w:p w14:paraId="4F5370C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_Toc346471393 </w:instrText>
      </w:r>
      <w:r>
        <w:rPr>
          <w:rFonts w:hint="eastAsia" w:ascii="宋体" w:hAnsi="宋体" w:eastAsia="宋体"/>
          <w:kern w:val="2"/>
          <w:lang w:val="en-US" w:eastAsia="zh-CN" w:bidi="ar-SA"/>
        </w:rPr>
        <w:fldChar w:fldCharType="separate"/>
      </w:r>
      <w:r>
        <w:rPr>
          <w:rFonts w:hint="eastAsia" w:ascii="黑体" w:hAnsi="黑体" w:eastAsia="黑体" w:cs="黑体"/>
        </w:rPr>
        <w:t>5.2.4 成本分摊</w:t>
      </w:r>
      <w:r>
        <w:tab/>
      </w:r>
      <w:r>
        <w:fldChar w:fldCharType="begin"/>
      </w:r>
      <w:r>
        <w:instrText xml:space="preserve"> PAGEREF _Toc346471393 \h </w:instrText>
      </w:r>
      <w:r>
        <w:fldChar w:fldCharType="separate"/>
      </w:r>
      <w:r>
        <w:t>156</w:t>
      </w:r>
      <w:r>
        <w:fldChar w:fldCharType="end"/>
      </w:r>
      <w:r>
        <w:rPr>
          <w:rFonts w:hint="eastAsia" w:ascii="宋体" w:hAnsi="宋体" w:eastAsia="宋体"/>
          <w:kern w:val="2"/>
          <w:lang w:val="en-US" w:eastAsia="zh-CN" w:bidi="ar-SA"/>
        </w:rPr>
        <w:fldChar w:fldCharType="end"/>
      </w:r>
    </w:p>
    <w:p w14:paraId="1A012EA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_Toc1316535134 </w:instrText>
      </w:r>
      <w:r>
        <w:rPr>
          <w:rFonts w:hint="eastAsia" w:ascii="宋体" w:hAnsi="宋体" w:eastAsia="宋体"/>
          <w:kern w:val="2"/>
          <w:lang w:val="en-US" w:eastAsia="zh-CN" w:bidi="ar-SA"/>
        </w:rPr>
        <w:fldChar w:fldCharType="separate"/>
      </w:r>
      <w:r>
        <w:rPr>
          <w:rFonts w:hint="eastAsia" w:ascii="黑体" w:hAnsi="黑体" w:eastAsia="黑体" w:cs="黑体"/>
        </w:rPr>
        <w:t>5.2.5 供应链驾驶舱</w:t>
      </w:r>
      <w:r>
        <w:tab/>
      </w:r>
      <w:r>
        <w:fldChar w:fldCharType="begin"/>
      </w:r>
      <w:r>
        <w:instrText xml:space="preserve"> PAGEREF _Toc1316535134 \h </w:instrText>
      </w:r>
      <w:r>
        <w:fldChar w:fldCharType="separate"/>
      </w:r>
      <w:r>
        <w:t>170</w:t>
      </w:r>
      <w:r>
        <w:fldChar w:fldCharType="end"/>
      </w:r>
      <w:r>
        <w:rPr>
          <w:rFonts w:hint="eastAsia" w:ascii="宋体" w:hAnsi="宋体" w:eastAsia="宋体"/>
          <w:kern w:val="2"/>
          <w:lang w:val="en-US" w:eastAsia="zh-CN" w:bidi="ar-SA"/>
        </w:rPr>
        <w:fldChar w:fldCharType="end"/>
      </w:r>
    </w:p>
    <w:p w14:paraId="6F86C624">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_Toc1481982097 </w:instrText>
      </w:r>
      <w:r>
        <w:rPr>
          <w:rFonts w:hint="eastAsia" w:ascii="宋体" w:hAnsi="宋体" w:eastAsia="宋体"/>
          <w:kern w:val="2"/>
          <w:lang w:val="en-US" w:eastAsia="zh-CN" w:bidi="ar-SA"/>
        </w:rPr>
        <w:fldChar w:fldCharType="separate"/>
      </w:r>
      <w:r>
        <w:rPr>
          <w:rFonts w:hint="eastAsia" w:ascii="黑体" w:hAnsi="黑体" w:eastAsia="黑体" w:cs="黑体"/>
        </w:rPr>
        <w:t>六、 SCOS集成接口规范</w:t>
      </w:r>
      <w:r>
        <w:tab/>
      </w:r>
      <w:r>
        <w:fldChar w:fldCharType="begin"/>
      </w:r>
      <w:r>
        <w:instrText xml:space="preserve"> PAGEREF _Toc1481982097 \h </w:instrText>
      </w:r>
      <w:r>
        <w:fldChar w:fldCharType="separate"/>
      </w:r>
      <w:r>
        <w:t>183</w:t>
      </w:r>
      <w:r>
        <w:fldChar w:fldCharType="end"/>
      </w:r>
      <w:r>
        <w:rPr>
          <w:rFonts w:hint="eastAsia" w:ascii="宋体" w:hAnsi="宋体" w:eastAsia="宋体"/>
          <w:kern w:val="2"/>
          <w:lang w:val="en-US" w:eastAsia="zh-CN" w:bidi="ar-SA"/>
        </w:rPr>
        <w:fldChar w:fldCharType="end"/>
      </w:r>
    </w:p>
    <w:p w14:paraId="2FE50E7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_Toc1157766373 </w:instrText>
      </w:r>
      <w:r>
        <w:rPr>
          <w:rFonts w:hint="eastAsia" w:ascii="宋体" w:hAnsi="宋体" w:eastAsia="宋体"/>
          <w:kern w:val="2"/>
          <w:lang w:val="en-US" w:eastAsia="zh-CN" w:bidi="ar-SA"/>
        </w:rPr>
        <w:fldChar w:fldCharType="separate"/>
      </w:r>
      <w:r>
        <w:rPr>
          <w:rFonts w:hint="eastAsia" w:ascii="黑体" w:hAnsi="黑体" w:eastAsia="黑体" w:cs="黑体"/>
        </w:rPr>
        <w:t>七、 SCOS业务场景-智能化覆盖率映射表</w:t>
      </w:r>
      <w:r>
        <w:tab/>
      </w:r>
      <w:r>
        <w:fldChar w:fldCharType="begin"/>
      </w:r>
      <w:r>
        <w:instrText xml:space="preserve"> PAGEREF _Toc1157766373 \h </w:instrText>
      </w:r>
      <w:r>
        <w:fldChar w:fldCharType="separate"/>
      </w:r>
      <w:r>
        <w:t>186</w:t>
      </w:r>
      <w:r>
        <w:fldChar w:fldCharType="end"/>
      </w:r>
      <w:r>
        <w:rPr>
          <w:rFonts w:hint="eastAsia" w:ascii="宋体" w:hAnsi="宋体" w:eastAsia="宋体"/>
          <w:kern w:val="2"/>
          <w:lang w:val="en-US" w:eastAsia="zh-CN" w:bidi="ar-SA"/>
        </w:rPr>
        <w:fldChar w:fldCharType="end"/>
      </w:r>
    </w:p>
    <w:p w14:paraId="48E7CCA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_Toc230105544 </w:instrText>
      </w:r>
      <w:r>
        <w:rPr>
          <w:rFonts w:hint="eastAsia" w:ascii="宋体" w:hAnsi="宋体" w:eastAsia="宋体"/>
          <w:kern w:val="2"/>
          <w:lang w:val="en-US" w:eastAsia="zh-CN" w:bidi="ar-SA"/>
        </w:rPr>
        <w:fldChar w:fldCharType="separate"/>
      </w:r>
      <w:r>
        <w:rPr>
          <w:rFonts w:hint="eastAsia" w:ascii="黑体" w:hAnsi="黑体" w:eastAsia="黑体" w:cs="黑体"/>
        </w:rPr>
        <w:t>7.1 智能化场景清单</w:t>
      </w:r>
      <w:r>
        <w:tab/>
      </w:r>
      <w:r>
        <w:fldChar w:fldCharType="begin"/>
      </w:r>
      <w:r>
        <w:instrText xml:space="preserve"> PAGEREF _Toc230105544 \h </w:instrText>
      </w:r>
      <w:r>
        <w:fldChar w:fldCharType="separate"/>
      </w:r>
      <w:r>
        <w:t>186</w:t>
      </w:r>
      <w:r>
        <w:fldChar w:fldCharType="end"/>
      </w:r>
      <w:r>
        <w:rPr>
          <w:rFonts w:hint="eastAsia" w:ascii="宋体" w:hAnsi="宋体" w:eastAsia="宋体"/>
          <w:kern w:val="2"/>
          <w:lang w:val="en-US" w:eastAsia="zh-CN" w:bidi="ar-SA"/>
        </w:rPr>
        <w:fldChar w:fldCharType="end"/>
      </w:r>
    </w:p>
    <w:p w14:paraId="1B27B54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_Toc1913313408 </w:instrText>
      </w:r>
      <w:r>
        <w:rPr>
          <w:rFonts w:hint="eastAsia" w:ascii="宋体" w:hAnsi="宋体" w:eastAsia="宋体"/>
          <w:kern w:val="2"/>
          <w:lang w:val="en-US" w:eastAsia="zh-CN" w:bidi="ar-SA"/>
        </w:rPr>
        <w:fldChar w:fldCharType="separate"/>
      </w:r>
      <w:r>
        <w:rPr>
          <w:rFonts w:hint="eastAsia" w:ascii="黑体" w:hAnsi="黑体" w:eastAsia="黑体" w:cs="黑体"/>
        </w:rPr>
        <w:t>7.2 场景验收指标</w:t>
      </w:r>
      <w:r>
        <w:tab/>
      </w:r>
      <w:r>
        <w:fldChar w:fldCharType="begin"/>
      </w:r>
      <w:r>
        <w:instrText xml:space="preserve"> PAGEREF _Toc1913313408 \h </w:instrText>
      </w:r>
      <w:r>
        <w:fldChar w:fldCharType="separate"/>
      </w:r>
      <w:r>
        <w:t>186</w:t>
      </w:r>
      <w:r>
        <w:fldChar w:fldCharType="end"/>
      </w:r>
      <w:r>
        <w:rPr>
          <w:rFonts w:hint="eastAsia" w:ascii="宋体" w:hAnsi="宋体" w:eastAsia="宋体"/>
          <w:kern w:val="2"/>
          <w:lang w:val="en-US" w:eastAsia="zh-CN" w:bidi="ar-SA"/>
        </w:rPr>
        <w:fldChar w:fldCharType="end"/>
      </w:r>
    </w:p>
    <w:p w14:paraId="09BB2FD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_Toc638318078 </w:instrText>
      </w:r>
      <w:r>
        <w:rPr>
          <w:rFonts w:hint="eastAsia" w:ascii="宋体" w:hAnsi="宋体" w:eastAsia="宋体"/>
          <w:kern w:val="2"/>
          <w:lang w:val="en-US" w:eastAsia="zh-CN" w:bidi="ar-SA"/>
        </w:rPr>
        <w:fldChar w:fldCharType="separate"/>
      </w:r>
      <w:r>
        <w:rPr>
          <w:rFonts w:hint="eastAsia" w:ascii="黑体" w:hAnsi="黑体" w:eastAsia="黑体" w:cs="黑体"/>
        </w:rPr>
        <w:t>7.3 智能化场景覆盖率</w:t>
      </w:r>
      <w:r>
        <w:tab/>
      </w:r>
      <w:r>
        <w:fldChar w:fldCharType="begin"/>
      </w:r>
      <w:r>
        <w:instrText xml:space="preserve"> PAGEREF _Toc638318078 \h </w:instrText>
      </w:r>
      <w:r>
        <w:fldChar w:fldCharType="separate"/>
      </w:r>
      <w:r>
        <w:t>188</w:t>
      </w:r>
      <w:r>
        <w:fldChar w:fldCharType="end"/>
      </w:r>
      <w:r>
        <w:rPr>
          <w:rFonts w:hint="eastAsia" w:ascii="宋体" w:hAnsi="宋体" w:eastAsia="宋体"/>
          <w:kern w:val="2"/>
          <w:lang w:val="en-US" w:eastAsia="zh-CN" w:bidi="ar-SA"/>
        </w:rPr>
        <w:fldChar w:fldCharType="end"/>
      </w:r>
    </w:p>
    <w:p w14:paraId="661BF99B">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_Toc1531120181 </w:instrText>
      </w:r>
      <w:r>
        <w:rPr>
          <w:rFonts w:hint="eastAsia" w:ascii="宋体" w:hAnsi="宋体" w:eastAsia="宋体"/>
          <w:kern w:val="2"/>
          <w:lang w:val="en-US" w:eastAsia="zh-CN" w:bidi="ar-SA"/>
        </w:rPr>
        <w:fldChar w:fldCharType="separate"/>
      </w:r>
      <w:r>
        <w:rPr>
          <w:rFonts w:hint="eastAsia" w:ascii="黑体" w:hAnsi="黑体" w:eastAsia="黑体" w:cs="黑体"/>
        </w:rPr>
        <w:t>八、 SCOS非功能性需求响应表</w:t>
      </w:r>
      <w:r>
        <w:tab/>
      </w:r>
      <w:r>
        <w:fldChar w:fldCharType="begin"/>
      </w:r>
      <w:r>
        <w:instrText xml:space="preserve"> PAGEREF _Toc1531120181 \h </w:instrText>
      </w:r>
      <w:r>
        <w:fldChar w:fldCharType="separate"/>
      </w:r>
      <w:r>
        <w:t>189</w:t>
      </w:r>
      <w:r>
        <w:fldChar w:fldCharType="end"/>
      </w:r>
      <w:r>
        <w:rPr>
          <w:rFonts w:hint="eastAsia" w:ascii="宋体" w:hAnsi="宋体" w:eastAsia="宋体"/>
          <w:kern w:val="2"/>
          <w:lang w:val="en-US" w:eastAsia="zh-CN" w:bidi="ar-SA"/>
        </w:rPr>
        <w:fldChar w:fldCharType="end"/>
      </w:r>
    </w:p>
    <w:p w14:paraId="47734EF4">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_Toc240340066 </w:instrText>
      </w:r>
      <w:r>
        <w:rPr>
          <w:rFonts w:hint="eastAsia" w:ascii="宋体" w:hAnsi="宋体" w:eastAsia="宋体"/>
          <w:kern w:val="2"/>
          <w:lang w:val="en-US" w:eastAsia="zh-CN" w:bidi="ar-SA"/>
        </w:rPr>
        <w:fldChar w:fldCharType="separate"/>
      </w:r>
      <w:r>
        <w:rPr>
          <w:rFonts w:hint="eastAsia" w:ascii="黑体" w:hAnsi="黑体" w:eastAsia="黑体" w:cs="黑体"/>
        </w:rPr>
        <w:t>九、 SCOS蓝图交付物清单</w:t>
      </w:r>
      <w:r>
        <w:tab/>
      </w:r>
      <w:r>
        <w:fldChar w:fldCharType="begin"/>
      </w:r>
      <w:r>
        <w:instrText xml:space="preserve"> PAGEREF _Toc240340066 \h </w:instrText>
      </w:r>
      <w:r>
        <w:fldChar w:fldCharType="separate"/>
      </w:r>
      <w:r>
        <w:t>190</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ascii="黑体" w:hAnsi="黑体" w:eastAsia="黑体" w:cs="黑体"/>
          <w:b/>
          <w:bCs w:val="0"/>
          <w:lang w:val="en-US" w:eastAsia="zh-CN"/>
        </w:rPr>
      </w:pPr>
      <w:r>
        <w:rPr>
          <w:rFonts w:hint="eastAsia" w:ascii="宋体" w:hAnsi="宋体" w:eastAsia="宋体"/>
          <w:kern w:val="2"/>
          <w:lang w:val="en-US" w:eastAsia="zh-CN" w:bidi="ar-SA"/>
        </w:rPr>
        <w:br w:type="page"/>
      </w:r>
      <w:bookmarkStart w:id="1" w:name="_Toc1864019130"/>
      <w:r>
        <w:rPr>
          <w:rFonts w:hint="eastAsia" w:ascii="黑体" w:hAnsi="黑体" w:eastAsia="黑体" w:cs="黑体"/>
          <w:b/>
          <w:bCs w:val="0"/>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hint="eastAsia" w:asciiTheme="minorEastAsia" w:hAnsiTheme="minorEastAsia" w:eastAsiaTheme="minorEastAsia" w:cstheme="minorEastAsia"/>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仓管员、物流调度员等5-6个核心岗位的日常运营操作，同步支撑销售、品控、仓储、质量、生产、财务、采购、管理层等跨部门协同角色的决策分析与数据查阅。</w:t>
      </w:r>
    </w:p>
    <w:p w14:paraId="1A70F8B6">
      <w:pPr>
        <w:pStyle w:val="2"/>
        <w:bidi w:val="0"/>
        <w:rPr>
          <w:rFonts w:hint="eastAsia" w:ascii="黑体" w:hAnsi="黑体" w:eastAsia="黑体" w:cs="黑体"/>
          <w:b/>
          <w:bCs w:val="0"/>
          <w:lang w:val="en-US" w:eastAsia="zh-CN"/>
        </w:rPr>
      </w:pPr>
      <w:bookmarkStart w:id="2" w:name="_Toc1078075474"/>
      <w:r>
        <w:rPr>
          <w:rFonts w:hint="eastAsia" w:ascii="黑体" w:hAnsi="黑体" w:eastAsia="黑体" w:cs="黑体"/>
          <w:b/>
          <w:bCs w:val="0"/>
          <w:lang w:val="en-US" w:eastAsia="zh-CN"/>
        </w:rPr>
        <w:t>SCOS全局供应链优化和协同系统总体概要</w:t>
      </w:r>
      <w:bookmarkEnd w:id="2"/>
    </w:p>
    <w:p w14:paraId="799F8872">
      <w:pPr>
        <w:rPr>
          <w:rFonts w:hint="eastAsia"/>
          <w:lang w:val="en-US" w:eastAsia="zh-CN"/>
        </w:rPr>
      </w:pPr>
      <w:r>
        <w:rPr>
          <w:rFonts w:hint="eastAsia"/>
          <w:lang w:val="en-US" w:eastAsia="zh-CN"/>
        </w:rPr>
        <w:drawing>
          <wp:inline distT="0" distB="0" distL="114300" distR="114300">
            <wp:extent cx="5226685" cy="3923665"/>
            <wp:effectExtent l="0" t="0" r="0" b="0"/>
            <wp:docPr id="29" name="图片 29" descr="SCOS逻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COS逻辑"/>
                    <pic:cNvPicPr>
                      <a:picLocks noChangeAspect="1"/>
                    </pic:cNvPicPr>
                  </pic:nvPicPr>
                  <pic:blipFill>
                    <a:blip r:embed="rId10"/>
                    <a:stretch>
                      <a:fillRect/>
                    </a:stretch>
                  </pic:blipFill>
                  <pic:spPr>
                    <a:xfrm>
                      <a:off x="0" y="0"/>
                      <a:ext cx="5226685" cy="3923665"/>
                    </a:xfrm>
                    <a:prstGeom prst="rect">
                      <a:avLst/>
                    </a:prstGeom>
                  </pic:spPr>
                </pic:pic>
              </a:graphicData>
            </a:graphic>
          </wp:inline>
        </w:drawing>
      </w:r>
    </w:p>
    <w:p w14:paraId="7A6A601F">
      <w:pPr>
        <w:rPr>
          <w:rFonts w:hint="eastAsia"/>
          <w:lang w:val="en-US" w:eastAsia="zh-CN"/>
        </w:rPr>
      </w:pPr>
    </w:p>
    <w:p w14:paraId="6A8501B7">
      <w:pPr>
        <w:pStyle w:val="5"/>
        <w:spacing w:after="100" w:line="276" w:lineRule="auto"/>
        <w:ind w:firstLine="420"/>
        <w:rPr>
          <w:rFonts w:hint="eastAsia" w:ascii="宋体" w:hAnsi="宋体" w:eastAsia="宋体" w:cs="宋体"/>
          <w:sz w:val="21"/>
          <w:szCs w:val="21"/>
        </w:rPr>
      </w:pPr>
      <w:r>
        <w:rPr>
          <w:rFonts w:hint="eastAsia" w:ascii="宋体" w:hAnsi="宋体" w:eastAsia="宋体" w:cs="宋体"/>
          <w:color w:val="000000"/>
          <w:sz w:val="21"/>
          <w:szCs w:val="21"/>
        </w:rPr>
        <w:t>SCOS通过统一数据与模型服务连接CRM、SAP、MES、WMS、TMS、QMS/LIMS及供应商平台，由库存优化、精益排程、采购优化、要货计划、成本分摊和供应链驾驶舱六大模块形成优化、执行反馈与协同处置闭环；驾驶舱同时承担全程追溯和协同分析。</w:t>
      </w:r>
    </w:p>
    <w:p w14:paraId="7D9741A0">
      <w:pPr>
        <w:pStyle w:val="3"/>
        <w:keepNext/>
        <w:rPr>
          <w:rFonts w:hint="eastAsia" w:ascii="黑体" w:hAnsi="黑体" w:eastAsia="黑体" w:cs="黑体"/>
        </w:rPr>
      </w:pPr>
      <w:bookmarkStart w:id="3" w:name="_Toc894961779"/>
      <w:r>
        <w:rPr>
          <w:rFonts w:hint="eastAsia" w:ascii="黑体" w:hAnsi="黑体" w:eastAsia="黑体" w:cs="黑体"/>
          <w:b/>
          <w:color w:val="000000"/>
          <w:sz w:val="30"/>
        </w:rPr>
        <w:t>六大功能模块</w:t>
      </w:r>
      <w:bookmarkEnd w:id="3"/>
    </w:p>
    <w:tbl>
      <w:tblPr>
        <w:tblStyle w:val="31"/>
        <w:tblW w:w="10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177C0AE1">
        <w:trPr>
          <w:cantSplit/>
          <w:tblHeader/>
          <w:jc w:val="center"/>
        </w:trPr>
        <w:tc>
          <w:tcPr>
            <w:tcW w:w="1400" w:type="dxa"/>
            <w:shd w:val="clear" w:color="auto" w:fill="FFFFFF"/>
            <w:tcMar>
              <w:top w:w="0" w:type="dxa"/>
              <w:left w:w="108" w:type="dxa"/>
              <w:bottom w:w="0" w:type="dxa"/>
              <w:right w:w="108" w:type="dxa"/>
            </w:tcMar>
            <w:vAlign w:val="center"/>
          </w:tcPr>
          <w:p w14:paraId="37CC289B">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模块</w:t>
            </w:r>
          </w:p>
        </w:tc>
        <w:tc>
          <w:tcPr>
            <w:tcW w:w="5700" w:type="dxa"/>
            <w:shd w:val="clear" w:color="auto" w:fill="FFFFFF"/>
            <w:tcMar>
              <w:top w:w="0" w:type="dxa"/>
              <w:left w:w="108" w:type="dxa"/>
              <w:bottom w:w="0" w:type="dxa"/>
              <w:right w:w="108" w:type="dxa"/>
            </w:tcMar>
            <w:vAlign w:val="center"/>
          </w:tcPr>
          <w:p w14:paraId="0839898D">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主要解决方案</w:t>
            </w:r>
          </w:p>
        </w:tc>
        <w:tc>
          <w:tcPr>
            <w:tcW w:w="3517" w:type="dxa"/>
            <w:shd w:val="clear" w:color="auto" w:fill="FFFFFF"/>
            <w:tcMar>
              <w:top w:w="0" w:type="dxa"/>
              <w:left w:w="108" w:type="dxa"/>
              <w:bottom w:w="0" w:type="dxa"/>
              <w:right w:w="108" w:type="dxa"/>
            </w:tcMar>
            <w:vAlign w:val="center"/>
          </w:tcPr>
          <w:p w14:paraId="216E8036">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核心产出</w:t>
            </w:r>
          </w:p>
        </w:tc>
      </w:tr>
      <w:tr w14:paraId="75DADBD4">
        <w:trPr>
          <w:cantSplit/>
          <w:jc w:val="center"/>
        </w:trPr>
        <w:tc>
          <w:tcPr>
            <w:tcW w:w="1400" w:type="dxa"/>
            <w:shd w:val="clear" w:color="auto" w:fill="FFFFFF"/>
            <w:tcMar>
              <w:top w:w="0" w:type="dxa"/>
              <w:left w:w="108" w:type="dxa"/>
              <w:bottom w:w="0" w:type="dxa"/>
              <w:right w:w="108" w:type="dxa"/>
            </w:tcMar>
            <w:vAlign w:val="center"/>
          </w:tcPr>
          <w:p w14:paraId="52C5FF9A">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库存优化</w:t>
            </w:r>
          </w:p>
        </w:tc>
        <w:tc>
          <w:tcPr>
            <w:tcW w:w="5700" w:type="dxa"/>
            <w:shd w:val="clear" w:color="auto" w:fill="FFFFFF"/>
            <w:tcMar>
              <w:top w:w="0" w:type="dxa"/>
              <w:left w:w="108" w:type="dxa"/>
              <w:bottom w:w="0" w:type="dxa"/>
              <w:right w:w="108" w:type="dxa"/>
            </w:tcMar>
            <w:vAlign w:val="center"/>
          </w:tcPr>
          <w:p w14:paraId="4B4E4CE5">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按动态（R,s,S）统筹需求、库存、入库、补充周期、服务水平和储罐容量。</w:t>
            </w:r>
          </w:p>
        </w:tc>
        <w:tc>
          <w:tcPr>
            <w:tcW w:w="3517" w:type="dxa"/>
            <w:shd w:val="clear" w:color="auto" w:fill="FFFFFF"/>
            <w:tcMar>
              <w:top w:w="0" w:type="dxa"/>
              <w:left w:w="108" w:type="dxa"/>
              <w:bottom w:w="0" w:type="dxa"/>
              <w:right w:w="108" w:type="dxa"/>
            </w:tcMar>
            <w:vAlign w:val="center"/>
          </w:tcPr>
          <w:p w14:paraId="22912BB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安全库存、再订货点、目标库存、补货量、风险日与期望入库日期。</w:t>
            </w:r>
          </w:p>
        </w:tc>
      </w:tr>
      <w:tr w14:paraId="68F2CBC9">
        <w:trPr>
          <w:cantSplit/>
          <w:jc w:val="center"/>
        </w:trPr>
        <w:tc>
          <w:tcPr>
            <w:tcW w:w="1400" w:type="dxa"/>
            <w:shd w:val="clear" w:color="auto" w:fill="FFFFFF"/>
            <w:tcMar>
              <w:top w:w="0" w:type="dxa"/>
              <w:left w:w="108" w:type="dxa"/>
              <w:bottom w:w="0" w:type="dxa"/>
              <w:right w:w="108" w:type="dxa"/>
            </w:tcMar>
            <w:vAlign w:val="center"/>
          </w:tcPr>
          <w:p w14:paraId="23955CEF">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精益排程</w:t>
            </w:r>
          </w:p>
        </w:tc>
        <w:tc>
          <w:tcPr>
            <w:tcW w:w="5700" w:type="dxa"/>
            <w:shd w:val="clear" w:color="auto" w:fill="FFFFFF"/>
            <w:tcMar>
              <w:top w:w="0" w:type="dxa"/>
              <w:left w:w="108" w:type="dxa"/>
              <w:bottom w:w="0" w:type="dxa"/>
              <w:right w:w="108" w:type="dxa"/>
            </w:tcMar>
            <w:vAlign w:val="center"/>
          </w:tcPr>
          <w:p w14:paraId="7E155D36">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基于有限产能、工艺、资源日历、清洗换产、物料和交期生成可执行排程并滚动重排。</w:t>
            </w:r>
          </w:p>
        </w:tc>
        <w:tc>
          <w:tcPr>
            <w:tcW w:w="3517" w:type="dxa"/>
            <w:shd w:val="clear" w:color="auto" w:fill="FFFFFF"/>
            <w:tcMar>
              <w:top w:w="0" w:type="dxa"/>
              <w:left w:w="108" w:type="dxa"/>
              <w:bottom w:w="0" w:type="dxa"/>
              <w:right w:w="108" w:type="dxa"/>
            </w:tcMar>
            <w:vAlign w:val="center"/>
          </w:tcPr>
          <w:p w14:paraId="20EE8EB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生产顺序和时间、工单、负荷与瓶颈、原辅包需求及重排方案。</w:t>
            </w:r>
          </w:p>
        </w:tc>
      </w:tr>
      <w:tr w14:paraId="31CE6B27">
        <w:trPr>
          <w:cantSplit/>
          <w:jc w:val="center"/>
        </w:trPr>
        <w:tc>
          <w:tcPr>
            <w:tcW w:w="1400" w:type="dxa"/>
            <w:shd w:val="clear" w:color="auto" w:fill="FFFFFF"/>
            <w:tcMar>
              <w:top w:w="0" w:type="dxa"/>
              <w:left w:w="108" w:type="dxa"/>
              <w:bottom w:w="0" w:type="dxa"/>
              <w:right w:w="108" w:type="dxa"/>
            </w:tcMar>
            <w:vAlign w:val="center"/>
          </w:tcPr>
          <w:p w14:paraId="4AC3B2B6">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采购优化</w:t>
            </w:r>
          </w:p>
        </w:tc>
        <w:tc>
          <w:tcPr>
            <w:tcW w:w="5700" w:type="dxa"/>
            <w:shd w:val="clear" w:color="auto" w:fill="FFFFFF"/>
            <w:tcMar>
              <w:top w:w="0" w:type="dxa"/>
              <w:left w:w="108" w:type="dxa"/>
              <w:bottom w:w="0" w:type="dxa"/>
              <w:right w:w="108" w:type="dxa"/>
            </w:tcMar>
            <w:vAlign w:val="center"/>
          </w:tcPr>
          <w:p w14:paraId="5CB80F2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综合排程需求、供应能力、价格、交期、质量、运费、账期和资金成本优化采购组合。</w:t>
            </w:r>
          </w:p>
        </w:tc>
        <w:tc>
          <w:tcPr>
            <w:tcW w:w="3517" w:type="dxa"/>
            <w:shd w:val="clear" w:color="auto" w:fill="FFFFFF"/>
            <w:tcMar>
              <w:top w:w="0" w:type="dxa"/>
              <w:left w:w="108" w:type="dxa"/>
              <w:bottom w:w="0" w:type="dxa"/>
              <w:right w:w="108" w:type="dxa"/>
            </w:tcMar>
            <w:vAlign w:val="center"/>
          </w:tcPr>
          <w:p w14:paraId="201BE043">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供应商分配、采购量、下单/到货建议、备选方案与成本风险。</w:t>
            </w:r>
          </w:p>
        </w:tc>
      </w:tr>
      <w:tr w14:paraId="28C0BF9B">
        <w:trPr>
          <w:cantSplit/>
          <w:jc w:val="center"/>
        </w:trPr>
        <w:tc>
          <w:tcPr>
            <w:tcW w:w="1400" w:type="dxa"/>
            <w:shd w:val="clear" w:color="auto" w:fill="FFFFFF"/>
            <w:tcMar>
              <w:top w:w="0" w:type="dxa"/>
              <w:left w:w="108" w:type="dxa"/>
              <w:bottom w:w="0" w:type="dxa"/>
              <w:right w:w="108" w:type="dxa"/>
            </w:tcMar>
            <w:vAlign w:val="center"/>
          </w:tcPr>
          <w:p w14:paraId="6BF952DE">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要货计划</w:t>
            </w:r>
          </w:p>
        </w:tc>
        <w:tc>
          <w:tcPr>
            <w:tcW w:w="5700" w:type="dxa"/>
            <w:shd w:val="clear" w:color="auto" w:fill="FFFFFF"/>
            <w:tcMar>
              <w:top w:w="0" w:type="dxa"/>
              <w:left w:w="108" w:type="dxa"/>
              <w:bottom w:w="0" w:type="dxa"/>
              <w:right w:w="108" w:type="dxa"/>
            </w:tcMar>
            <w:vAlign w:val="center"/>
          </w:tcPr>
          <w:p w14:paraId="73FEBD68">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在合同和采购订单范围内，结合生产耗用、库存、在途、余量和收货能力安排日度到货。</w:t>
            </w:r>
          </w:p>
        </w:tc>
        <w:tc>
          <w:tcPr>
            <w:tcW w:w="3517" w:type="dxa"/>
            <w:shd w:val="clear" w:color="auto" w:fill="FFFFFF"/>
            <w:tcMar>
              <w:top w:w="0" w:type="dxa"/>
              <w:left w:w="108" w:type="dxa"/>
              <w:bottom w:w="0" w:type="dxa"/>
              <w:right w:w="108" w:type="dxa"/>
            </w:tcMar>
            <w:vAlign w:val="center"/>
          </w:tcPr>
          <w:p w14:paraId="6B1DE7F4">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分供应商、合同、物料和日期的到货计划、缺口预警与调整建议。</w:t>
            </w:r>
          </w:p>
        </w:tc>
      </w:tr>
      <w:tr w14:paraId="3685F218">
        <w:trPr>
          <w:cantSplit/>
          <w:jc w:val="center"/>
        </w:trPr>
        <w:tc>
          <w:tcPr>
            <w:tcW w:w="1400" w:type="dxa"/>
            <w:shd w:val="clear" w:color="auto" w:fill="FFFFFF"/>
            <w:tcMar>
              <w:top w:w="0" w:type="dxa"/>
              <w:left w:w="108" w:type="dxa"/>
              <w:bottom w:w="0" w:type="dxa"/>
              <w:right w:w="108" w:type="dxa"/>
            </w:tcMar>
            <w:vAlign w:val="center"/>
          </w:tcPr>
          <w:p w14:paraId="66E436B4">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成本分摊</w:t>
            </w:r>
          </w:p>
        </w:tc>
        <w:tc>
          <w:tcPr>
            <w:tcW w:w="5700" w:type="dxa"/>
            <w:shd w:val="clear" w:color="auto" w:fill="FFFFFF"/>
            <w:tcMar>
              <w:top w:w="0" w:type="dxa"/>
              <w:left w:w="108" w:type="dxa"/>
              <w:bottom w:w="0" w:type="dxa"/>
              <w:right w:w="108" w:type="dxa"/>
            </w:tcMar>
            <w:vAlign w:val="center"/>
          </w:tcPr>
          <w:p w14:paraId="6360D4EF">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沿批次谱系归集材料、生产、能耗、仓储、质量、运输和财务费用并分摊至订单。</w:t>
            </w:r>
          </w:p>
        </w:tc>
        <w:tc>
          <w:tcPr>
            <w:tcW w:w="3517" w:type="dxa"/>
            <w:shd w:val="clear" w:color="auto" w:fill="FFFFFF"/>
            <w:tcMar>
              <w:top w:w="0" w:type="dxa"/>
              <w:left w:w="108" w:type="dxa"/>
              <w:bottom w:w="0" w:type="dxa"/>
              <w:right w:w="108" w:type="dxa"/>
            </w:tcMar>
            <w:vAlign w:val="center"/>
          </w:tcPr>
          <w:p w14:paraId="688FFEE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批次/订单成本、产品与客户盈利、差异分析、异常及修正版本。</w:t>
            </w:r>
          </w:p>
        </w:tc>
      </w:tr>
      <w:tr w14:paraId="0CD19787">
        <w:trPr>
          <w:cantSplit/>
          <w:jc w:val="center"/>
        </w:trPr>
        <w:tc>
          <w:tcPr>
            <w:tcW w:w="1400" w:type="dxa"/>
            <w:shd w:val="clear" w:color="auto" w:fill="FFFFFF"/>
            <w:tcMar>
              <w:top w:w="0" w:type="dxa"/>
              <w:left w:w="108" w:type="dxa"/>
              <w:bottom w:w="0" w:type="dxa"/>
              <w:right w:w="108" w:type="dxa"/>
            </w:tcMar>
            <w:vAlign w:val="center"/>
          </w:tcPr>
          <w:p w14:paraId="186A4331">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供应链驾驶舱</w:t>
            </w:r>
          </w:p>
        </w:tc>
        <w:tc>
          <w:tcPr>
            <w:tcW w:w="5700" w:type="dxa"/>
            <w:shd w:val="clear" w:color="auto" w:fill="FFFFFF"/>
            <w:tcMar>
              <w:top w:w="0" w:type="dxa"/>
              <w:left w:w="108" w:type="dxa"/>
              <w:bottom w:w="0" w:type="dxa"/>
              <w:right w:w="108" w:type="dxa"/>
            </w:tcMar>
            <w:vAlign w:val="center"/>
          </w:tcPr>
          <w:p w14:paraId="363320B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汇总专业模块和执行结果，提供KPI、预警、根因钻取、情景模拟、正反向追溯和跨部门协同。</w:t>
            </w:r>
          </w:p>
        </w:tc>
        <w:tc>
          <w:tcPr>
            <w:tcW w:w="3517" w:type="dxa"/>
            <w:shd w:val="clear" w:color="auto" w:fill="FFFFFF"/>
            <w:tcMar>
              <w:top w:w="0" w:type="dxa"/>
              <w:left w:w="108" w:type="dxa"/>
              <w:bottom w:w="0" w:type="dxa"/>
              <w:right w:w="108" w:type="dxa"/>
            </w:tcMar>
            <w:vAlign w:val="center"/>
          </w:tcPr>
          <w:p w14:paraId="62DB765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态势看板、预警任务、模拟结果、追溯树、影响清单与处置记录。</w:t>
            </w:r>
          </w:p>
        </w:tc>
      </w:tr>
    </w:tbl>
    <w:p w14:paraId="5998CAD3">
      <w:pPr>
        <w:pStyle w:val="5"/>
        <w:spacing w:after="0" w:line="120" w:lineRule="auto"/>
      </w:pPr>
      <w:r>
        <w:br w:type="page"/>
      </w:r>
    </w:p>
    <w:p w14:paraId="48592C10">
      <w:pPr>
        <w:pStyle w:val="3"/>
        <w:keepNext/>
        <w:rPr>
          <w:rFonts w:hint="eastAsia" w:ascii="黑体" w:hAnsi="黑体" w:eastAsia="黑体" w:cs="黑体"/>
        </w:rPr>
      </w:pPr>
      <w:bookmarkStart w:id="4" w:name="_Toc647156065"/>
      <w:r>
        <w:rPr>
          <w:rFonts w:hint="eastAsia" w:ascii="黑体" w:hAnsi="黑体" w:eastAsia="黑体" w:cs="黑体"/>
          <w:b/>
          <w:color w:val="000000"/>
          <w:sz w:val="32"/>
        </w:rPr>
        <w:t>功能模块交互流转</w:t>
      </w:r>
      <w:bookmarkEnd w:id="4"/>
    </w:p>
    <w:p w14:paraId="6223DA00">
      <w:pPr>
        <w:pStyle w:val="5"/>
        <w:spacing w:after="100" w:line="276" w:lineRule="auto"/>
        <w:ind w:firstLine="420"/>
      </w:pPr>
      <w:r>
        <w:rPr>
          <w:rFonts w:ascii="Times New Roman" w:hAnsi="Times New Roman" w:eastAsia="宋体" w:cs="Times New Roman"/>
          <w:color w:val="000000"/>
          <w:sz w:val="21"/>
        </w:rPr>
        <w:t>SCOS以需求和库存决策为起点，串联排程、采购、到货、执行、成本、追溯和协同处置。</w:t>
      </w:r>
    </w:p>
    <w:tbl>
      <w:tblPr>
        <w:tblStyle w:val="31"/>
        <w:tblW w:w="10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688D4E48">
        <w:trPr>
          <w:cantSplit/>
          <w:tblHeader/>
          <w:jc w:val="center"/>
        </w:trPr>
        <w:tc>
          <w:tcPr>
            <w:tcW w:w="1300" w:type="dxa"/>
            <w:shd w:val="clear" w:color="auto" w:fill="FFFFFF"/>
            <w:tcMar>
              <w:top w:w="0" w:type="dxa"/>
              <w:left w:w="108" w:type="dxa"/>
              <w:bottom w:w="0" w:type="dxa"/>
              <w:right w:w="108" w:type="dxa"/>
            </w:tcMar>
            <w:vAlign w:val="center"/>
          </w:tcPr>
          <w:p w14:paraId="2D469AB8">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阶段</w:t>
            </w:r>
          </w:p>
        </w:tc>
        <w:tc>
          <w:tcPr>
            <w:tcW w:w="4750" w:type="dxa"/>
            <w:shd w:val="clear" w:color="auto" w:fill="FFFFFF"/>
            <w:tcMar>
              <w:top w:w="0" w:type="dxa"/>
              <w:left w:w="108" w:type="dxa"/>
              <w:bottom w:w="0" w:type="dxa"/>
              <w:right w:w="108" w:type="dxa"/>
            </w:tcMar>
            <w:vAlign w:val="center"/>
          </w:tcPr>
          <w:p w14:paraId="5A846FB0">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主要处理</w:t>
            </w:r>
          </w:p>
        </w:tc>
        <w:tc>
          <w:tcPr>
            <w:tcW w:w="4567" w:type="dxa"/>
            <w:shd w:val="clear" w:color="auto" w:fill="FFFFFF"/>
            <w:tcMar>
              <w:top w:w="0" w:type="dxa"/>
              <w:left w:w="108" w:type="dxa"/>
              <w:bottom w:w="0" w:type="dxa"/>
              <w:right w:w="108" w:type="dxa"/>
            </w:tcMar>
            <w:vAlign w:val="center"/>
          </w:tcPr>
          <w:p w14:paraId="060D6797">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结果与后续流转</w:t>
            </w:r>
          </w:p>
        </w:tc>
      </w:tr>
      <w:tr w14:paraId="5C20E0F2">
        <w:trPr>
          <w:cantSplit/>
          <w:jc w:val="center"/>
        </w:trPr>
        <w:tc>
          <w:tcPr>
            <w:tcW w:w="1300" w:type="dxa"/>
            <w:shd w:val="clear" w:color="auto" w:fill="FFFFFF"/>
            <w:tcMar>
              <w:top w:w="0" w:type="dxa"/>
              <w:left w:w="108" w:type="dxa"/>
              <w:bottom w:w="0" w:type="dxa"/>
              <w:right w:w="108" w:type="dxa"/>
            </w:tcMar>
            <w:vAlign w:val="center"/>
          </w:tcPr>
          <w:p w14:paraId="290FF8CF">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1 需求与事实进入</w:t>
            </w:r>
          </w:p>
        </w:tc>
        <w:tc>
          <w:tcPr>
            <w:tcW w:w="4750" w:type="dxa"/>
            <w:shd w:val="clear" w:color="auto" w:fill="FFFFFF"/>
            <w:tcMar>
              <w:top w:w="0" w:type="dxa"/>
              <w:left w:w="108" w:type="dxa"/>
              <w:bottom w:w="0" w:type="dxa"/>
              <w:right w:w="108" w:type="dxa"/>
            </w:tcMar>
            <w:vAlign w:val="center"/>
          </w:tcPr>
          <w:p w14:paraId="1EEA80B5">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外部系统提供需求、库存、合同、产能、质量、在途、批次和成本事实。</w:t>
            </w:r>
          </w:p>
        </w:tc>
        <w:tc>
          <w:tcPr>
            <w:tcW w:w="4567" w:type="dxa"/>
            <w:shd w:val="clear" w:color="auto" w:fill="FFFFFF"/>
            <w:tcMar>
              <w:top w:w="0" w:type="dxa"/>
              <w:left w:w="108" w:type="dxa"/>
              <w:bottom w:w="0" w:type="dxa"/>
              <w:right w:w="108" w:type="dxa"/>
            </w:tcMar>
            <w:vAlign w:val="center"/>
          </w:tcPr>
          <w:p w14:paraId="37BA439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统一时间口径、业务状态和数据版本，作为共同输入。</w:t>
            </w:r>
          </w:p>
        </w:tc>
      </w:tr>
      <w:tr w14:paraId="3BB3B0FF">
        <w:trPr>
          <w:cantSplit/>
          <w:jc w:val="center"/>
        </w:trPr>
        <w:tc>
          <w:tcPr>
            <w:tcW w:w="1300" w:type="dxa"/>
            <w:shd w:val="clear" w:color="auto" w:fill="FFFFFF"/>
            <w:tcMar>
              <w:top w:w="0" w:type="dxa"/>
              <w:left w:w="108" w:type="dxa"/>
              <w:bottom w:w="0" w:type="dxa"/>
              <w:right w:w="108" w:type="dxa"/>
            </w:tcMar>
            <w:vAlign w:val="center"/>
          </w:tcPr>
          <w:p w14:paraId="241A08A4">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2 库存策略与补货</w:t>
            </w:r>
          </w:p>
        </w:tc>
        <w:tc>
          <w:tcPr>
            <w:tcW w:w="4750" w:type="dxa"/>
            <w:shd w:val="clear" w:color="auto" w:fill="FFFFFF"/>
            <w:tcMar>
              <w:top w:w="0" w:type="dxa"/>
              <w:left w:w="108" w:type="dxa"/>
              <w:bottom w:w="0" w:type="dxa"/>
              <w:right w:w="108" w:type="dxa"/>
            </w:tcMar>
            <w:vAlign w:val="center"/>
          </w:tcPr>
          <w:p w14:paraId="36323F6A">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按月计算SS、s、S，按周生成四周补货建议，按日监测风险。</w:t>
            </w:r>
          </w:p>
        </w:tc>
        <w:tc>
          <w:tcPr>
            <w:tcW w:w="4567" w:type="dxa"/>
            <w:shd w:val="clear" w:color="auto" w:fill="FFFFFF"/>
            <w:tcMar>
              <w:top w:w="0" w:type="dxa"/>
              <w:left w:w="108" w:type="dxa"/>
              <w:bottom w:w="0" w:type="dxa"/>
              <w:right w:w="108" w:type="dxa"/>
            </w:tcMar>
            <w:vAlign w:val="center"/>
          </w:tcPr>
          <w:p w14:paraId="02AB695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补货量和期望入库日期进入排程，风险同步驾驶舱。</w:t>
            </w:r>
          </w:p>
        </w:tc>
      </w:tr>
      <w:tr w14:paraId="55FDE7DF">
        <w:trPr>
          <w:cantSplit/>
          <w:jc w:val="center"/>
        </w:trPr>
        <w:tc>
          <w:tcPr>
            <w:tcW w:w="1300" w:type="dxa"/>
            <w:shd w:val="clear" w:color="auto" w:fill="FFFFFF"/>
            <w:tcMar>
              <w:top w:w="0" w:type="dxa"/>
              <w:left w:w="108" w:type="dxa"/>
              <w:bottom w:w="0" w:type="dxa"/>
              <w:right w:w="108" w:type="dxa"/>
            </w:tcMar>
            <w:vAlign w:val="center"/>
          </w:tcPr>
          <w:p w14:paraId="415C5524">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3 精益生产排程</w:t>
            </w:r>
          </w:p>
        </w:tc>
        <w:tc>
          <w:tcPr>
            <w:tcW w:w="4750" w:type="dxa"/>
            <w:shd w:val="clear" w:color="auto" w:fill="FFFFFF"/>
            <w:tcMar>
              <w:top w:w="0" w:type="dxa"/>
              <w:left w:w="108" w:type="dxa"/>
              <w:bottom w:w="0" w:type="dxa"/>
              <w:right w:w="108" w:type="dxa"/>
            </w:tcMar>
            <w:vAlign w:val="center"/>
          </w:tcPr>
          <w:p w14:paraId="71AE99E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校验产能、设备、工艺、物料和锁定计划，形成生产顺序与资源安排。</w:t>
            </w:r>
          </w:p>
        </w:tc>
        <w:tc>
          <w:tcPr>
            <w:tcW w:w="4567" w:type="dxa"/>
            <w:shd w:val="clear" w:color="auto" w:fill="FFFFFF"/>
            <w:tcMar>
              <w:top w:w="0" w:type="dxa"/>
              <w:left w:w="108" w:type="dxa"/>
              <w:bottom w:w="0" w:type="dxa"/>
              <w:right w:w="108" w:type="dxa"/>
            </w:tcMar>
            <w:vAlign w:val="center"/>
          </w:tcPr>
          <w:p w14:paraId="11941BC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排程下发MES，分期需求进入采购优化和要货计划。</w:t>
            </w:r>
          </w:p>
        </w:tc>
      </w:tr>
      <w:tr w14:paraId="24FE102F">
        <w:trPr>
          <w:cantSplit/>
          <w:jc w:val="center"/>
        </w:trPr>
        <w:tc>
          <w:tcPr>
            <w:tcW w:w="1300" w:type="dxa"/>
            <w:shd w:val="clear" w:color="auto" w:fill="FFFFFF"/>
            <w:tcMar>
              <w:top w:w="0" w:type="dxa"/>
              <w:left w:w="108" w:type="dxa"/>
              <w:bottom w:w="0" w:type="dxa"/>
              <w:right w:w="108" w:type="dxa"/>
            </w:tcMar>
            <w:vAlign w:val="center"/>
          </w:tcPr>
          <w:p w14:paraId="2489ED75">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4 采购决策</w:t>
            </w:r>
          </w:p>
        </w:tc>
        <w:tc>
          <w:tcPr>
            <w:tcW w:w="4750" w:type="dxa"/>
            <w:shd w:val="clear" w:color="auto" w:fill="FFFFFF"/>
            <w:tcMar>
              <w:top w:w="0" w:type="dxa"/>
              <w:left w:w="108" w:type="dxa"/>
              <w:bottom w:w="0" w:type="dxa"/>
              <w:right w:w="108" w:type="dxa"/>
            </w:tcMar>
            <w:vAlign w:val="center"/>
          </w:tcPr>
          <w:p w14:paraId="58E22153">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比较供应商、数量、价格、交期、资金和风险，形成采购组合。</w:t>
            </w:r>
          </w:p>
        </w:tc>
        <w:tc>
          <w:tcPr>
            <w:tcW w:w="4567" w:type="dxa"/>
            <w:shd w:val="clear" w:color="auto" w:fill="FFFFFF"/>
            <w:tcMar>
              <w:top w:w="0" w:type="dxa"/>
              <w:left w:w="108" w:type="dxa"/>
              <w:bottom w:w="0" w:type="dxa"/>
              <w:right w:w="108" w:type="dxa"/>
            </w:tcMar>
            <w:vAlign w:val="center"/>
          </w:tcPr>
          <w:p w14:paraId="2D7133B3">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确认后进入合同、E采和SAP，成为要货的合同/订单边界。</w:t>
            </w:r>
          </w:p>
        </w:tc>
      </w:tr>
      <w:tr w14:paraId="649C180F">
        <w:trPr>
          <w:cantSplit/>
          <w:jc w:val="center"/>
        </w:trPr>
        <w:tc>
          <w:tcPr>
            <w:tcW w:w="1300" w:type="dxa"/>
            <w:shd w:val="clear" w:color="auto" w:fill="FFFFFF"/>
            <w:tcMar>
              <w:top w:w="0" w:type="dxa"/>
              <w:left w:w="108" w:type="dxa"/>
              <w:bottom w:w="0" w:type="dxa"/>
              <w:right w:w="108" w:type="dxa"/>
            </w:tcMar>
            <w:vAlign w:val="center"/>
          </w:tcPr>
          <w:p w14:paraId="4913177B">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5 日度要货</w:t>
            </w:r>
          </w:p>
        </w:tc>
        <w:tc>
          <w:tcPr>
            <w:tcW w:w="4750" w:type="dxa"/>
            <w:shd w:val="clear" w:color="auto" w:fill="FFFFFF"/>
            <w:tcMar>
              <w:top w:w="0" w:type="dxa"/>
              <w:left w:w="108" w:type="dxa"/>
              <w:bottom w:w="0" w:type="dxa"/>
              <w:right w:w="108" w:type="dxa"/>
            </w:tcMar>
            <w:vAlign w:val="center"/>
          </w:tcPr>
          <w:p w14:paraId="6732FE7E">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在合同和订单范围内安排供应商、物料、数量和到货日期。</w:t>
            </w:r>
          </w:p>
        </w:tc>
        <w:tc>
          <w:tcPr>
            <w:tcW w:w="4567" w:type="dxa"/>
            <w:shd w:val="clear" w:color="auto" w:fill="FFFFFF"/>
            <w:tcMar>
              <w:top w:w="0" w:type="dxa"/>
              <w:left w:w="108" w:type="dxa"/>
              <w:bottom w:w="0" w:type="dxa"/>
              <w:right w:w="108" w:type="dxa"/>
            </w:tcMar>
            <w:vAlign w:val="center"/>
          </w:tcPr>
          <w:p w14:paraId="64B07DC6">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计划发送SAP/TMS/供应商平台，发货、在途、收货和质检持续回流。</w:t>
            </w:r>
          </w:p>
        </w:tc>
      </w:tr>
      <w:tr w14:paraId="1A50BA1D">
        <w:trPr>
          <w:cantSplit/>
          <w:jc w:val="center"/>
        </w:trPr>
        <w:tc>
          <w:tcPr>
            <w:tcW w:w="1300" w:type="dxa"/>
            <w:shd w:val="clear" w:color="auto" w:fill="FFFFFF"/>
            <w:tcMar>
              <w:top w:w="0" w:type="dxa"/>
              <w:left w:w="108" w:type="dxa"/>
              <w:bottom w:w="0" w:type="dxa"/>
              <w:right w:w="108" w:type="dxa"/>
            </w:tcMar>
            <w:vAlign w:val="center"/>
          </w:tcPr>
          <w:p w14:paraId="5875C159">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6 执行与反馈</w:t>
            </w:r>
          </w:p>
        </w:tc>
        <w:tc>
          <w:tcPr>
            <w:tcW w:w="4750" w:type="dxa"/>
            <w:shd w:val="clear" w:color="auto" w:fill="FFFFFF"/>
            <w:tcMar>
              <w:top w:w="0" w:type="dxa"/>
              <w:left w:w="108" w:type="dxa"/>
              <w:bottom w:w="0" w:type="dxa"/>
              <w:right w:w="108" w:type="dxa"/>
            </w:tcMar>
            <w:vAlign w:val="center"/>
          </w:tcPr>
          <w:p w14:paraId="640EFD7A">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执行系统反馈生产、库存、运输、质量和批次结果。</w:t>
            </w:r>
          </w:p>
        </w:tc>
        <w:tc>
          <w:tcPr>
            <w:tcW w:w="4567" w:type="dxa"/>
            <w:shd w:val="clear" w:color="auto" w:fill="FFFFFF"/>
            <w:tcMar>
              <w:top w:w="0" w:type="dxa"/>
              <w:left w:w="108" w:type="dxa"/>
              <w:bottom w:w="0" w:type="dxa"/>
              <w:right w:w="108" w:type="dxa"/>
            </w:tcMar>
            <w:vAlign w:val="center"/>
          </w:tcPr>
          <w:p w14:paraId="1926A187">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偏差触发库存重算、重排、采购/要货调整及成本追溯。</w:t>
            </w:r>
          </w:p>
        </w:tc>
      </w:tr>
      <w:tr w14:paraId="111FC65E">
        <w:trPr>
          <w:cantSplit/>
          <w:jc w:val="center"/>
        </w:trPr>
        <w:tc>
          <w:tcPr>
            <w:tcW w:w="1300" w:type="dxa"/>
            <w:shd w:val="clear" w:color="auto" w:fill="FFFFFF"/>
            <w:tcMar>
              <w:top w:w="0" w:type="dxa"/>
              <w:left w:w="108" w:type="dxa"/>
              <w:bottom w:w="0" w:type="dxa"/>
              <w:right w:w="108" w:type="dxa"/>
            </w:tcMar>
            <w:vAlign w:val="center"/>
          </w:tcPr>
          <w:p w14:paraId="53470484">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7 核算与协同</w:t>
            </w:r>
          </w:p>
        </w:tc>
        <w:tc>
          <w:tcPr>
            <w:tcW w:w="4750" w:type="dxa"/>
            <w:shd w:val="clear" w:color="auto" w:fill="FFFFFF"/>
            <w:tcMar>
              <w:top w:w="0" w:type="dxa"/>
              <w:left w:w="108" w:type="dxa"/>
              <w:bottom w:w="0" w:type="dxa"/>
              <w:right w:w="108" w:type="dxa"/>
            </w:tcMar>
            <w:vAlign w:val="center"/>
          </w:tcPr>
          <w:p w14:paraId="438E3187">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形成批次/订单成本，汇总KPI、预警、追溯链和情景分析。</w:t>
            </w:r>
          </w:p>
        </w:tc>
        <w:tc>
          <w:tcPr>
            <w:tcW w:w="4567" w:type="dxa"/>
            <w:shd w:val="clear" w:color="auto" w:fill="FFFFFF"/>
            <w:tcMar>
              <w:top w:w="0" w:type="dxa"/>
              <w:left w:w="108" w:type="dxa"/>
              <w:bottom w:w="0" w:type="dxa"/>
              <w:right w:w="108" w:type="dxa"/>
            </w:tcMar>
            <w:vAlign w:val="center"/>
          </w:tcPr>
          <w:p w14:paraId="26BD166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调整任务返回库存、排程、采购、要货或质量流程闭环。</w:t>
            </w:r>
          </w:p>
        </w:tc>
      </w:tr>
    </w:tbl>
    <w:p w14:paraId="77538259">
      <w:pPr>
        <w:pStyle w:val="5"/>
        <w:spacing w:after="0" w:line="120" w:lineRule="auto"/>
      </w:pPr>
    </w:p>
    <w:p w14:paraId="2A2F1F5A">
      <w:pPr>
        <w:pStyle w:val="3"/>
        <w:keepNext/>
        <w:rPr>
          <w:rFonts w:hint="eastAsia" w:ascii="黑体" w:hAnsi="黑体" w:eastAsia="黑体" w:cs="黑体"/>
        </w:rPr>
      </w:pPr>
      <w:bookmarkStart w:id="5" w:name="_Toc1894796047"/>
      <w:r>
        <w:rPr>
          <w:rFonts w:hint="eastAsia" w:ascii="黑体" w:hAnsi="黑体" w:eastAsia="黑体" w:cs="黑体"/>
          <w:b/>
          <w:color w:val="000000"/>
          <w:sz w:val="30"/>
        </w:rPr>
        <w:t>关键协同控制</w:t>
      </w:r>
      <w:bookmarkEnd w:id="5"/>
    </w:p>
    <w:p w14:paraId="093E00A1">
      <w:pPr>
        <w:pStyle w:val="5"/>
        <w:spacing w:after="60" w:line="276" w:lineRule="auto"/>
        <w:ind w:left="420" w:hanging="420"/>
      </w:pPr>
      <w:r>
        <w:rPr>
          <w:rFonts w:ascii="Times New Roman" w:hAnsi="Times New Roman" w:eastAsia="宋体" w:cs="Times New Roman"/>
          <w:color w:val="000000"/>
          <w:sz w:val="21"/>
        </w:rPr>
        <w:t>1. 优先保护已审批、已下达、在途和锁定安排，仅调整可变更范围。</w:t>
      </w:r>
    </w:p>
    <w:p w14:paraId="261815A7">
      <w:pPr>
        <w:pStyle w:val="5"/>
        <w:spacing w:after="60" w:line="276" w:lineRule="auto"/>
        <w:ind w:left="420" w:hanging="420"/>
      </w:pPr>
      <w:r>
        <w:rPr>
          <w:rFonts w:ascii="Times New Roman" w:hAnsi="Times New Roman" w:eastAsia="宋体" w:cs="Times New Roman"/>
          <w:color w:val="000000"/>
          <w:sz w:val="21"/>
        </w:rPr>
        <w:t>2. 专业模块提供建议，合同、订单、工单、仓储、运输和质量执行仍由原系统承接。</w:t>
      </w:r>
    </w:p>
    <w:p w14:paraId="358E2104">
      <w:pPr>
        <w:pStyle w:val="5"/>
        <w:spacing w:after="60" w:line="276" w:lineRule="auto"/>
        <w:ind w:left="420" w:hanging="420"/>
      </w:pPr>
      <w:r>
        <w:rPr>
          <w:rFonts w:ascii="Times New Roman" w:hAnsi="Times New Roman" w:eastAsia="宋体" w:cs="Times New Roman"/>
          <w:color w:val="000000"/>
          <w:sz w:val="21"/>
        </w:rPr>
        <w:t>3. 保留输入版本、规则参数、候选方案、人工调整、审批发布和执行反馈。</w:t>
      </w:r>
      <w:r>
        <w:br w:type="page"/>
      </w:r>
    </w:p>
    <w:p w14:paraId="317EF3C2">
      <w:pPr>
        <w:pStyle w:val="3"/>
        <w:keepNext/>
        <w:rPr>
          <w:rFonts w:hint="eastAsia" w:ascii="黑体" w:hAnsi="黑体" w:eastAsia="黑体" w:cs="黑体"/>
        </w:rPr>
      </w:pPr>
      <w:bookmarkStart w:id="6" w:name="_Toc802160566"/>
      <w:r>
        <w:rPr>
          <w:rFonts w:hint="eastAsia" w:ascii="黑体" w:hAnsi="黑体" w:eastAsia="黑体" w:cs="黑体"/>
          <w:b/>
          <w:color w:val="000000"/>
          <w:sz w:val="32"/>
        </w:rPr>
        <w:t>各模块考虑因素和产出</w:t>
      </w:r>
      <w:bookmarkEnd w:id="6"/>
    </w:p>
    <w:tbl>
      <w:tblPr>
        <w:tblStyle w:val="31"/>
        <w:tblW w:w="10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5D1B1850">
        <w:trPr>
          <w:cantSplit/>
          <w:tblHeader/>
          <w:jc w:val="center"/>
        </w:trPr>
        <w:tc>
          <w:tcPr>
            <w:tcW w:w="1400" w:type="dxa"/>
            <w:shd w:val="clear" w:color="auto" w:fill="FFFFFF"/>
            <w:tcMar>
              <w:top w:w="0" w:type="dxa"/>
              <w:left w:w="108" w:type="dxa"/>
              <w:bottom w:w="0" w:type="dxa"/>
              <w:right w:w="108" w:type="dxa"/>
            </w:tcMar>
            <w:vAlign w:val="center"/>
          </w:tcPr>
          <w:p w14:paraId="1CE12591">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模块</w:t>
            </w:r>
          </w:p>
        </w:tc>
        <w:tc>
          <w:tcPr>
            <w:tcW w:w="5600" w:type="dxa"/>
            <w:shd w:val="clear" w:color="auto" w:fill="FFFFFF"/>
            <w:tcMar>
              <w:top w:w="0" w:type="dxa"/>
              <w:left w:w="108" w:type="dxa"/>
              <w:bottom w:w="0" w:type="dxa"/>
              <w:right w:w="108" w:type="dxa"/>
            </w:tcMar>
            <w:vAlign w:val="center"/>
          </w:tcPr>
          <w:p w14:paraId="59705D56">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主要考虑因素</w:t>
            </w:r>
          </w:p>
        </w:tc>
        <w:tc>
          <w:tcPr>
            <w:tcW w:w="3617" w:type="dxa"/>
            <w:shd w:val="clear" w:color="auto" w:fill="FFFFFF"/>
            <w:tcMar>
              <w:top w:w="0" w:type="dxa"/>
              <w:left w:w="108" w:type="dxa"/>
              <w:bottom w:w="0" w:type="dxa"/>
              <w:right w:w="108" w:type="dxa"/>
            </w:tcMar>
            <w:vAlign w:val="center"/>
          </w:tcPr>
          <w:p w14:paraId="3D41F551">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主要产出</w:t>
            </w:r>
          </w:p>
        </w:tc>
      </w:tr>
      <w:tr w14:paraId="61E7BF52">
        <w:trPr>
          <w:cantSplit/>
          <w:jc w:val="center"/>
        </w:trPr>
        <w:tc>
          <w:tcPr>
            <w:tcW w:w="1400" w:type="dxa"/>
            <w:shd w:val="clear" w:color="auto" w:fill="FFFFFF"/>
            <w:tcMar>
              <w:top w:w="0" w:type="dxa"/>
              <w:left w:w="108" w:type="dxa"/>
              <w:bottom w:w="0" w:type="dxa"/>
              <w:right w:w="108" w:type="dxa"/>
            </w:tcMar>
            <w:vAlign w:val="center"/>
          </w:tcPr>
          <w:p w14:paraId="54828D17">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库存优化</w:t>
            </w:r>
          </w:p>
        </w:tc>
        <w:tc>
          <w:tcPr>
            <w:tcW w:w="5600" w:type="dxa"/>
            <w:shd w:val="clear" w:color="auto" w:fill="FFFFFF"/>
            <w:tcMar>
              <w:top w:w="0" w:type="dxa"/>
              <w:left w:w="108" w:type="dxa"/>
              <w:bottom w:w="0" w:type="dxa"/>
              <w:right w:w="108" w:type="dxa"/>
            </w:tcMar>
            <w:vAlign w:val="center"/>
          </w:tcPr>
          <w:p w14:paraId="0087FCE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出货计划与订单、可用及冻结库存、在途与计划入库、需求波动、服务水平、生产补充周期、储罐兼容与有效容量、第一周及T+7锁定规则。</w:t>
            </w:r>
          </w:p>
        </w:tc>
        <w:tc>
          <w:tcPr>
            <w:tcW w:w="3617" w:type="dxa"/>
            <w:shd w:val="clear" w:color="auto" w:fill="FFFFFF"/>
            <w:tcMar>
              <w:top w:w="0" w:type="dxa"/>
              <w:left w:w="108" w:type="dxa"/>
              <w:bottom w:w="0" w:type="dxa"/>
              <w:right w:w="108" w:type="dxa"/>
            </w:tcMar>
            <w:vAlign w:val="center"/>
          </w:tcPr>
          <w:p w14:paraId="4AF7B17A">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SS、s、S；月度总补充量；未来四周日度与周度补货建议；库存轨迹、缺口、容量和滞销风险。</w:t>
            </w:r>
          </w:p>
        </w:tc>
      </w:tr>
      <w:tr w14:paraId="5BA4309A">
        <w:trPr>
          <w:cantSplit/>
          <w:jc w:val="center"/>
        </w:trPr>
        <w:tc>
          <w:tcPr>
            <w:tcW w:w="1400" w:type="dxa"/>
            <w:shd w:val="clear" w:color="auto" w:fill="FFFFFF"/>
            <w:tcMar>
              <w:top w:w="0" w:type="dxa"/>
              <w:left w:w="108" w:type="dxa"/>
              <w:bottom w:w="0" w:type="dxa"/>
              <w:right w:w="108" w:type="dxa"/>
            </w:tcMar>
            <w:vAlign w:val="center"/>
          </w:tcPr>
          <w:p w14:paraId="70154BF3">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精益排程</w:t>
            </w:r>
          </w:p>
        </w:tc>
        <w:tc>
          <w:tcPr>
            <w:tcW w:w="5600" w:type="dxa"/>
            <w:shd w:val="clear" w:color="auto" w:fill="FFFFFF"/>
            <w:tcMar>
              <w:top w:w="0" w:type="dxa"/>
              <w:left w:w="108" w:type="dxa"/>
              <w:bottom w:w="0" w:type="dxa"/>
              <w:right w:w="108" w:type="dxa"/>
            </w:tcMar>
            <w:vAlign w:val="center"/>
          </w:tcPr>
          <w:p w14:paraId="510ECF75">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订单交期与优先级、有限产能、设备和人员日历、工艺顺序、批次衔接、清洗换产、物料可用、维护与质量状态、固定和锁定任务。</w:t>
            </w:r>
          </w:p>
        </w:tc>
        <w:tc>
          <w:tcPr>
            <w:tcW w:w="3617" w:type="dxa"/>
            <w:shd w:val="clear" w:color="auto" w:fill="FFFFFF"/>
            <w:tcMar>
              <w:top w:w="0" w:type="dxa"/>
              <w:left w:w="108" w:type="dxa"/>
              <w:bottom w:w="0" w:type="dxa"/>
              <w:right w:w="108" w:type="dxa"/>
            </w:tcMar>
            <w:vAlign w:val="center"/>
          </w:tcPr>
          <w:p w14:paraId="507A7183">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日度和72小时详细排程、生产顺序与起止时间、工单、资源负荷与瓶颈、原辅包分期需求、异常重排方案。</w:t>
            </w:r>
          </w:p>
        </w:tc>
      </w:tr>
      <w:tr w14:paraId="51523099">
        <w:trPr>
          <w:cantSplit/>
          <w:jc w:val="center"/>
        </w:trPr>
        <w:tc>
          <w:tcPr>
            <w:tcW w:w="1400" w:type="dxa"/>
            <w:shd w:val="clear" w:color="auto" w:fill="FFFFFF"/>
            <w:tcMar>
              <w:top w:w="0" w:type="dxa"/>
              <w:left w:w="108" w:type="dxa"/>
              <w:bottom w:w="0" w:type="dxa"/>
              <w:right w:w="108" w:type="dxa"/>
            </w:tcMar>
            <w:vAlign w:val="center"/>
          </w:tcPr>
          <w:p w14:paraId="3135D6B5">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采购优化</w:t>
            </w:r>
          </w:p>
        </w:tc>
        <w:tc>
          <w:tcPr>
            <w:tcW w:w="5600" w:type="dxa"/>
            <w:shd w:val="clear" w:color="auto" w:fill="FFFFFF"/>
            <w:tcMar>
              <w:top w:w="0" w:type="dxa"/>
              <w:left w:w="108" w:type="dxa"/>
              <w:bottom w:w="0" w:type="dxa"/>
              <w:right w:w="108" w:type="dxa"/>
            </w:tcMar>
            <w:vAlign w:val="center"/>
          </w:tcPr>
          <w:p w14:paraId="1D06F0CF">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排程形成的原料需求、库存与在途、供应商能力和MOQ、交货周期、价格与运费、账期和资金成本、质量绩效、供应中断及合同状态。</w:t>
            </w:r>
          </w:p>
        </w:tc>
        <w:tc>
          <w:tcPr>
            <w:tcW w:w="3617" w:type="dxa"/>
            <w:shd w:val="clear" w:color="auto" w:fill="FFFFFF"/>
            <w:tcMar>
              <w:top w:w="0" w:type="dxa"/>
              <w:left w:w="108" w:type="dxa"/>
              <w:bottom w:w="0" w:type="dxa"/>
              <w:right w:w="108" w:type="dxa"/>
            </w:tcMar>
            <w:vAlign w:val="center"/>
          </w:tcPr>
          <w:p w14:paraId="769476AC">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供应商组合、采购量和采购时点、预计到货、综合成本、备选方案及供应风险。</w:t>
            </w:r>
          </w:p>
        </w:tc>
      </w:tr>
      <w:tr w14:paraId="483C5B13">
        <w:trPr>
          <w:cantSplit/>
          <w:jc w:val="center"/>
        </w:trPr>
        <w:tc>
          <w:tcPr>
            <w:tcW w:w="1400" w:type="dxa"/>
            <w:shd w:val="clear" w:color="auto" w:fill="FFFFFF"/>
            <w:tcMar>
              <w:top w:w="0" w:type="dxa"/>
              <w:left w:w="108" w:type="dxa"/>
              <w:bottom w:w="0" w:type="dxa"/>
              <w:right w:w="108" w:type="dxa"/>
            </w:tcMar>
            <w:vAlign w:val="center"/>
          </w:tcPr>
          <w:p w14:paraId="4BA609F5">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要货计划</w:t>
            </w:r>
          </w:p>
        </w:tc>
        <w:tc>
          <w:tcPr>
            <w:tcW w:w="5600" w:type="dxa"/>
            <w:shd w:val="clear" w:color="auto" w:fill="FFFFFF"/>
            <w:tcMar>
              <w:top w:w="0" w:type="dxa"/>
              <w:left w:w="108" w:type="dxa"/>
              <w:bottom w:w="0" w:type="dxa"/>
              <w:right w:w="108" w:type="dxa"/>
            </w:tcMar>
            <w:vAlign w:val="center"/>
          </w:tcPr>
          <w:p w14:paraId="169AD5BB">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已生效合同和采购订单、可安排余量、生产耗用、库存与预计到货、供应商日可供量、运输提前期、收货能力、质检状态和禁运限制。</w:t>
            </w:r>
          </w:p>
        </w:tc>
        <w:tc>
          <w:tcPr>
            <w:tcW w:w="3617" w:type="dxa"/>
            <w:shd w:val="clear" w:color="auto" w:fill="FFFFFF"/>
            <w:tcMar>
              <w:top w:w="0" w:type="dxa"/>
              <w:left w:w="108" w:type="dxa"/>
              <w:bottom w:w="0" w:type="dxa"/>
              <w:right w:w="108" w:type="dxa"/>
            </w:tcMar>
            <w:vAlign w:val="center"/>
          </w:tcPr>
          <w:p w14:paraId="3B9284CE">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分物料、供应商、合同和日期的日度要货安排；固定到货；缺口数量、风险日期、原因及协同任务。</w:t>
            </w:r>
          </w:p>
        </w:tc>
      </w:tr>
      <w:tr w14:paraId="434647D9">
        <w:trPr>
          <w:cantSplit/>
          <w:jc w:val="center"/>
        </w:trPr>
        <w:tc>
          <w:tcPr>
            <w:tcW w:w="1400" w:type="dxa"/>
            <w:shd w:val="clear" w:color="auto" w:fill="FFFFFF"/>
            <w:tcMar>
              <w:top w:w="0" w:type="dxa"/>
              <w:left w:w="108" w:type="dxa"/>
              <w:bottom w:w="0" w:type="dxa"/>
              <w:right w:w="108" w:type="dxa"/>
            </w:tcMar>
            <w:vAlign w:val="center"/>
          </w:tcPr>
          <w:p w14:paraId="030A6F61">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成本分摊</w:t>
            </w:r>
          </w:p>
        </w:tc>
        <w:tc>
          <w:tcPr>
            <w:tcW w:w="5600" w:type="dxa"/>
            <w:shd w:val="clear" w:color="auto" w:fill="FFFFFF"/>
            <w:tcMar>
              <w:top w:w="0" w:type="dxa"/>
              <w:left w:w="108" w:type="dxa"/>
              <w:bottom w:w="0" w:type="dxa"/>
              <w:right w:w="108" w:type="dxa"/>
            </w:tcMar>
            <w:vAlign w:val="center"/>
          </w:tcPr>
          <w:p w14:paraId="11987671">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采购价和耗用量、生产工时与能耗、产出和收率、费用池、仓储搬运、质量损失、运输交付、批次谱系、财务期间和修正版本。</w:t>
            </w:r>
          </w:p>
        </w:tc>
        <w:tc>
          <w:tcPr>
            <w:tcW w:w="3617" w:type="dxa"/>
            <w:shd w:val="clear" w:color="auto" w:fill="FFFFFF"/>
            <w:tcMar>
              <w:top w:w="0" w:type="dxa"/>
              <w:left w:w="108" w:type="dxa"/>
              <w:bottom w:w="0" w:type="dxa"/>
              <w:right w:w="108" w:type="dxa"/>
            </w:tcMar>
            <w:vAlign w:val="center"/>
          </w:tcPr>
          <w:p w14:paraId="72E3293F">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批次直接成本和费用分摊、生产及销售订单成本、产品和客户盈利、差异分析、成本预警及修正记录。</w:t>
            </w:r>
          </w:p>
        </w:tc>
      </w:tr>
      <w:tr w14:paraId="2A91A765">
        <w:trPr>
          <w:cantSplit/>
          <w:jc w:val="center"/>
        </w:trPr>
        <w:tc>
          <w:tcPr>
            <w:tcW w:w="1400" w:type="dxa"/>
            <w:shd w:val="clear" w:color="auto" w:fill="FFFFFF"/>
            <w:tcMar>
              <w:top w:w="0" w:type="dxa"/>
              <w:left w:w="108" w:type="dxa"/>
              <w:bottom w:w="0" w:type="dxa"/>
              <w:right w:w="108" w:type="dxa"/>
            </w:tcMar>
            <w:vAlign w:val="center"/>
          </w:tcPr>
          <w:p w14:paraId="7516CA3E">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供应链驾驶舱</w:t>
            </w:r>
          </w:p>
        </w:tc>
        <w:tc>
          <w:tcPr>
            <w:tcW w:w="5600" w:type="dxa"/>
            <w:shd w:val="clear" w:color="auto" w:fill="FFFFFF"/>
            <w:tcMar>
              <w:top w:w="0" w:type="dxa"/>
              <w:left w:w="108" w:type="dxa"/>
              <w:bottom w:w="0" w:type="dxa"/>
              <w:right w:w="108" w:type="dxa"/>
            </w:tcMar>
            <w:vAlign w:val="center"/>
          </w:tcPr>
          <w:p w14:paraId="1980199E">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统一指标口径、数据时点与质量、角色权限、各专业模块发布结果、执行状态、预警级别、批次追溯链、模拟基线及方案版本。</w:t>
            </w:r>
          </w:p>
        </w:tc>
        <w:tc>
          <w:tcPr>
            <w:tcW w:w="3617" w:type="dxa"/>
            <w:shd w:val="clear" w:color="auto" w:fill="FFFFFF"/>
            <w:tcMar>
              <w:top w:w="0" w:type="dxa"/>
              <w:left w:w="108" w:type="dxa"/>
              <w:bottom w:w="0" w:type="dxa"/>
              <w:right w:w="108" w:type="dxa"/>
            </w:tcMar>
            <w:vAlign w:val="center"/>
          </w:tcPr>
          <w:p w14:paraId="34AEE330">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经营和运营KPI、分级预警、根因与影响范围、正反向追溯、质量处置建议、模拟对比、责任任务和关闭证据。</w:t>
            </w:r>
          </w:p>
        </w:tc>
      </w:tr>
    </w:tbl>
    <w:p w14:paraId="3355D0D3">
      <w:pPr>
        <w:pStyle w:val="5"/>
        <w:spacing w:after="0" w:line="120" w:lineRule="auto"/>
      </w:pPr>
    </w:p>
    <w:p w14:paraId="5A21837F">
      <w:pPr>
        <w:pStyle w:val="3"/>
        <w:keepNext/>
        <w:rPr>
          <w:rFonts w:hint="eastAsia" w:ascii="黑体" w:hAnsi="黑体" w:eastAsia="黑体" w:cs="黑体"/>
        </w:rPr>
      </w:pPr>
      <w:bookmarkStart w:id="7" w:name="_Toc10296896"/>
      <w:r>
        <w:rPr>
          <w:rFonts w:hint="eastAsia" w:ascii="黑体" w:hAnsi="黑体" w:eastAsia="黑体" w:cs="黑体"/>
          <w:b/>
          <w:color w:val="000000"/>
          <w:sz w:val="30"/>
        </w:rPr>
        <w:t>主要反馈关系</w:t>
      </w:r>
      <w:bookmarkEnd w:id="7"/>
    </w:p>
    <w:p w14:paraId="4F3B1988">
      <w:pPr>
        <w:pStyle w:val="5"/>
        <w:spacing w:after="60" w:line="276" w:lineRule="auto"/>
        <w:ind w:left="420" w:hanging="420"/>
      </w:pPr>
      <w:r>
        <w:rPr>
          <w:rFonts w:ascii="Times New Roman" w:hAnsi="Times New Roman" w:eastAsia="宋体" w:cs="Times New Roman"/>
          <w:color w:val="000000"/>
          <w:sz w:val="21"/>
        </w:rPr>
        <w:t>1. 排程承接结果返回库存优化，作为下一轮库存轨迹和预计可用入库日期的依据。</w:t>
      </w:r>
    </w:p>
    <w:p w14:paraId="45018AA7">
      <w:pPr>
        <w:pStyle w:val="5"/>
        <w:spacing w:after="60" w:line="276" w:lineRule="auto"/>
        <w:ind w:left="420" w:hanging="420"/>
      </w:pPr>
      <w:r>
        <w:rPr>
          <w:rFonts w:ascii="Times New Roman" w:hAnsi="Times New Roman" w:eastAsia="宋体" w:cs="Times New Roman"/>
          <w:color w:val="000000"/>
          <w:sz w:val="21"/>
        </w:rPr>
        <w:t>2. 生产、到货和质量偏差返回排程、采购和要货模块，系统只重算未锁定部分并保留原承诺。</w:t>
      </w:r>
    </w:p>
    <w:p w14:paraId="70A5F795">
      <w:pPr>
        <w:pStyle w:val="5"/>
        <w:spacing w:after="60" w:line="276" w:lineRule="auto"/>
        <w:ind w:left="420" w:hanging="420"/>
      </w:pPr>
      <w:r>
        <w:rPr>
          <w:rFonts w:ascii="Times New Roman" w:hAnsi="Times New Roman" w:eastAsia="宋体" w:cs="Times New Roman"/>
          <w:color w:val="000000"/>
          <w:sz w:val="21"/>
        </w:rPr>
        <w:t>3. 成本和追溯结果进入驾驶舱，支持从KPI下钻至订单、批次、供应商、客户和责任环节。</w:t>
      </w:r>
      <w:r>
        <w:br w:type="page"/>
      </w:r>
    </w:p>
    <w:p w14:paraId="68CD31AE">
      <w:pPr>
        <w:pStyle w:val="3"/>
        <w:keepNext/>
        <w:rPr>
          <w:rFonts w:hint="eastAsia" w:ascii="黑体" w:hAnsi="黑体" w:eastAsia="黑体" w:cs="黑体"/>
        </w:rPr>
      </w:pPr>
      <w:bookmarkStart w:id="8" w:name="_Toc1261239312"/>
      <w:r>
        <w:rPr>
          <w:rFonts w:hint="eastAsia" w:ascii="黑体" w:hAnsi="黑体" w:eastAsia="黑体" w:cs="黑体"/>
          <w:b/>
          <w:color w:val="000000"/>
          <w:sz w:val="32"/>
        </w:rPr>
        <w:t>模块价值和系统整体价值</w:t>
      </w:r>
      <w:bookmarkEnd w:id="8"/>
    </w:p>
    <w:tbl>
      <w:tblPr>
        <w:tblStyle w:val="31"/>
        <w:tblW w:w="10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28F4EDCA">
        <w:trPr>
          <w:cantSplit/>
          <w:tblHeader/>
          <w:jc w:val="center"/>
        </w:trPr>
        <w:tc>
          <w:tcPr>
            <w:tcW w:w="1400" w:type="dxa"/>
            <w:shd w:val="clear" w:color="auto" w:fill="FFFFFF"/>
            <w:tcMar>
              <w:top w:w="0" w:type="dxa"/>
              <w:left w:w="108" w:type="dxa"/>
              <w:bottom w:w="0" w:type="dxa"/>
              <w:right w:w="108" w:type="dxa"/>
            </w:tcMar>
            <w:vAlign w:val="center"/>
          </w:tcPr>
          <w:p w14:paraId="332AC842">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模块</w:t>
            </w:r>
          </w:p>
        </w:tc>
        <w:tc>
          <w:tcPr>
            <w:tcW w:w="4500" w:type="dxa"/>
            <w:shd w:val="clear" w:color="auto" w:fill="FFFFFF"/>
            <w:tcMar>
              <w:top w:w="0" w:type="dxa"/>
              <w:left w:w="108" w:type="dxa"/>
              <w:bottom w:w="0" w:type="dxa"/>
              <w:right w:w="108" w:type="dxa"/>
            </w:tcMar>
            <w:vAlign w:val="center"/>
          </w:tcPr>
          <w:p w14:paraId="613D112D">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直接业务价值</w:t>
            </w:r>
          </w:p>
        </w:tc>
        <w:tc>
          <w:tcPr>
            <w:tcW w:w="4717" w:type="dxa"/>
            <w:shd w:val="clear" w:color="auto" w:fill="FFFFFF"/>
            <w:tcMar>
              <w:top w:w="0" w:type="dxa"/>
              <w:left w:w="108" w:type="dxa"/>
              <w:bottom w:w="0" w:type="dxa"/>
              <w:right w:w="108" w:type="dxa"/>
            </w:tcMar>
            <w:vAlign w:val="center"/>
          </w:tcPr>
          <w:p w14:paraId="44F9AEDA">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管理价值</w:t>
            </w:r>
          </w:p>
        </w:tc>
      </w:tr>
      <w:tr w14:paraId="1DF4875B">
        <w:trPr>
          <w:cantSplit/>
          <w:jc w:val="center"/>
        </w:trPr>
        <w:tc>
          <w:tcPr>
            <w:tcW w:w="1400" w:type="dxa"/>
            <w:shd w:val="clear" w:color="auto" w:fill="FFFFFF"/>
            <w:tcMar>
              <w:top w:w="0" w:type="dxa"/>
              <w:left w:w="108" w:type="dxa"/>
              <w:bottom w:w="0" w:type="dxa"/>
              <w:right w:w="108" w:type="dxa"/>
            </w:tcMar>
            <w:vAlign w:val="center"/>
          </w:tcPr>
          <w:p w14:paraId="4C92DB5E">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库存优化</w:t>
            </w:r>
          </w:p>
        </w:tc>
        <w:tc>
          <w:tcPr>
            <w:tcW w:w="4500" w:type="dxa"/>
            <w:shd w:val="clear" w:color="auto" w:fill="FFFFFF"/>
            <w:tcMar>
              <w:top w:w="0" w:type="dxa"/>
              <w:left w:w="108" w:type="dxa"/>
              <w:bottom w:w="0" w:type="dxa"/>
              <w:right w:w="108" w:type="dxa"/>
            </w:tcMar>
            <w:vAlign w:val="center"/>
          </w:tcPr>
          <w:p w14:paraId="4A2B9967">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减少缺货、过量库存和临时补货，提高储罐利用率与服务水平。</w:t>
            </w:r>
          </w:p>
        </w:tc>
        <w:tc>
          <w:tcPr>
            <w:tcW w:w="4717" w:type="dxa"/>
            <w:shd w:val="clear" w:color="auto" w:fill="FFFFFF"/>
            <w:tcMar>
              <w:top w:w="0" w:type="dxa"/>
              <w:left w:w="108" w:type="dxa"/>
              <w:bottom w:w="0" w:type="dxa"/>
              <w:right w:w="108" w:type="dxa"/>
            </w:tcMar>
            <w:vAlign w:val="center"/>
          </w:tcPr>
          <w:p w14:paraId="24BDF5CB">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形成月、周、日一致的补货口径，提前识别库存和容量风险。</w:t>
            </w:r>
          </w:p>
        </w:tc>
      </w:tr>
      <w:tr w14:paraId="485D8677">
        <w:trPr>
          <w:cantSplit/>
          <w:jc w:val="center"/>
        </w:trPr>
        <w:tc>
          <w:tcPr>
            <w:tcW w:w="1400" w:type="dxa"/>
            <w:shd w:val="clear" w:color="auto" w:fill="FFFFFF"/>
            <w:tcMar>
              <w:top w:w="0" w:type="dxa"/>
              <w:left w:w="108" w:type="dxa"/>
              <w:bottom w:w="0" w:type="dxa"/>
              <w:right w:w="108" w:type="dxa"/>
            </w:tcMar>
            <w:vAlign w:val="center"/>
          </w:tcPr>
          <w:p w14:paraId="60BCD5E7">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精益排程</w:t>
            </w:r>
          </w:p>
        </w:tc>
        <w:tc>
          <w:tcPr>
            <w:tcW w:w="4500" w:type="dxa"/>
            <w:shd w:val="clear" w:color="auto" w:fill="FFFFFF"/>
            <w:tcMar>
              <w:top w:w="0" w:type="dxa"/>
              <w:left w:w="108" w:type="dxa"/>
              <w:bottom w:w="0" w:type="dxa"/>
              <w:right w:w="108" w:type="dxa"/>
            </w:tcMar>
            <w:vAlign w:val="center"/>
          </w:tcPr>
          <w:p w14:paraId="31EDB3F9">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提高交付准时率、设备利用率和产能吞吐，减少换产、等待、在制品和计划波动。</w:t>
            </w:r>
          </w:p>
        </w:tc>
        <w:tc>
          <w:tcPr>
            <w:tcW w:w="4717" w:type="dxa"/>
            <w:shd w:val="clear" w:color="auto" w:fill="FFFFFF"/>
            <w:tcMar>
              <w:top w:w="0" w:type="dxa"/>
              <w:left w:w="108" w:type="dxa"/>
              <w:bottom w:w="0" w:type="dxa"/>
              <w:right w:w="108" w:type="dxa"/>
            </w:tcMar>
            <w:vAlign w:val="center"/>
          </w:tcPr>
          <w:p w14:paraId="27F10DB9">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把生产约束显性化，在插单、故障和物料延迟时快速形成可执行方案。</w:t>
            </w:r>
          </w:p>
        </w:tc>
      </w:tr>
      <w:tr w14:paraId="3B6363EE">
        <w:trPr>
          <w:cantSplit/>
          <w:jc w:val="center"/>
        </w:trPr>
        <w:tc>
          <w:tcPr>
            <w:tcW w:w="1400" w:type="dxa"/>
            <w:shd w:val="clear" w:color="auto" w:fill="FFFFFF"/>
            <w:tcMar>
              <w:top w:w="0" w:type="dxa"/>
              <w:left w:w="108" w:type="dxa"/>
              <w:bottom w:w="0" w:type="dxa"/>
              <w:right w:w="108" w:type="dxa"/>
            </w:tcMar>
            <w:vAlign w:val="center"/>
          </w:tcPr>
          <w:p w14:paraId="1A9FACEA">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采购优化</w:t>
            </w:r>
          </w:p>
        </w:tc>
        <w:tc>
          <w:tcPr>
            <w:tcW w:w="4500" w:type="dxa"/>
            <w:shd w:val="clear" w:color="auto" w:fill="FFFFFF"/>
            <w:tcMar>
              <w:top w:w="0" w:type="dxa"/>
              <w:left w:w="108" w:type="dxa"/>
              <w:bottom w:w="0" w:type="dxa"/>
              <w:right w:w="108" w:type="dxa"/>
            </w:tcMar>
            <w:vAlign w:val="center"/>
          </w:tcPr>
          <w:p w14:paraId="2E1F5E6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在满足数量和到货要求的前提下优化综合采购成本、资金占用和供应风险。</w:t>
            </w:r>
          </w:p>
        </w:tc>
        <w:tc>
          <w:tcPr>
            <w:tcW w:w="4717" w:type="dxa"/>
            <w:shd w:val="clear" w:color="auto" w:fill="FFFFFF"/>
            <w:tcMar>
              <w:top w:w="0" w:type="dxa"/>
              <w:left w:w="108" w:type="dxa"/>
              <w:bottom w:w="0" w:type="dxa"/>
              <w:right w:w="108" w:type="dxa"/>
            </w:tcMar>
            <w:vAlign w:val="center"/>
          </w:tcPr>
          <w:p w14:paraId="75F4F7FB">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保留供应商选择、采购调整和执行偏差依据，提高采购透明度。</w:t>
            </w:r>
          </w:p>
        </w:tc>
      </w:tr>
      <w:tr w14:paraId="6877FD08">
        <w:trPr>
          <w:cantSplit/>
          <w:jc w:val="center"/>
        </w:trPr>
        <w:tc>
          <w:tcPr>
            <w:tcW w:w="1400" w:type="dxa"/>
            <w:shd w:val="clear" w:color="auto" w:fill="FFFFFF"/>
            <w:tcMar>
              <w:top w:w="0" w:type="dxa"/>
              <w:left w:w="108" w:type="dxa"/>
              <w:bottom w:w="0" w:type="dxa"/>
              <w:right w:w="108" w:type="dxa"/>
            </w:tcMar>
            <w:vAlign w:val="center"/>
          </w:tcPr>
          <w:p w14:paraId="311E3F46">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要货计划</w:t>
            </w:r>
          </w:p>
        </w:tc>
        <w:tc>
          <w:tcPr>
            <w:tcW w:w="4500" w:type="dxa"/>
            <w:shd w:val="clear" w:color="auto" w:fill="FFFFFF"/>
            <w:tcMar>
              <w:top w:w="0" w:type="dxa"/>
              <w:left w:w="108" w:type="dxa"/>
              <w:bottom w:w="0" w:type="dxa"/>
              <w:right w:w="108" w:type="dxa"/>
            </w:tcMar>
            <w:vAlign w:val="center"/>
          </w:tcPr>
          <w:p w14:paraId="17AA729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提高到货与生产耗用匹配度，减少断供、提前到货、合同超量和重复安排。</w:t>
            </w:r>
          </w:p>
        </w:tc>
        <w:tc>
          <w:tcPr>
            <w:tcW w:w="4717" w:type="dxa"/>
            <w:shd w:val="clear" w:color="auto" w:fill="FFFFFF"/>
            <w:tcMar>
              <w:top w:w="0" w:type="dxa"/>
              <w:left w:w="108" w:type="dxa"/>
              <w:bottom w:w="0" w:type="dxa"/>
              <w:right w:w="108" w:type="dxa"/>
            </w:tcMar>
            <w:vAlign w:val="center"/>
          </w:tcPr>
          <w:p w14:paraId="062A224D">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保护已确认承诺，持续跟踪缺口及未消除风险。</w:t>
            </w:r>
          </w:p>
        </w:tc>
      </w:tr>
      <w:tr w14:paraId="60CFE826">
        <w:trPr>
          <w:cantSplit/>
          <w:jc w:val="center"/>
        </w:trPr>
        <w:tc>
          <w:tcPr>
            <w:tcW w:w="1400" w:type="dxa"/>
            <w:shd w:val="clear" w:color="auto" w:fill="FFFFFF"/>
            <w:tcMar>
              <w:top w:w="0" w:type="dxa"/>
              <w:left w:w="108" w:type="dxa"/>
              <w:bottom w:w="0" w:type="dxa"/>
              <w:right w:w="108" w:type="dxa"/>
            </w:tcMar>
            <w:vAlign w:val="center"/>
          </w:tcPr>
          <w:p w14:paraId="2D79DB6D">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成本分摊</w:t>
            </w:r>
          </w:p>
        </w:tc>
        <w:tc>
          <w:tcPr>
            <w:tcW w:w="4500" w:type="dxa"/>
            <w:shd w:val="clear" w:color="auto" w:fill="FFFFFF"/>
            <w:tcMar>
              <w:top w:w="0" w:type="dxa"/>
              <w:left w:w="108" w:type="dxa"/>
              <w:bottom w:w="0" w:type="dxa"/>
              <w:right w:w="108" w:type="dxa"/>
            </w:tcMar>
            <w:vAlign w:val="center"/>
          </w:tcPr>
          <w:p w14:paraId="4A1E4B01">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形成批次、订单、产品、客户和供应商的可穿透成本与盈利结果。</w:t>
            </w:r>
          </w:p>
        </w:tc>
        <w:tc>
          <w:tcPr>
            <w:tcW w:w="4717" w:type="dxa"/>
            <w:shd w:val="clear" w:color="auto" w:fill="FFFFFF"/>
            <w:tcMar>
              <w:top w:w="0" w:type="dxa"/>
              <w:left w:w="108" w:type="dxa"/>
              <w:bottom w:w="0" w:type="dxa"/>
              <w:right w:w="108" w:type="dxa"/>
            </w:tcMar>
            <w:vAlign w:val="center"/>
          </w:tcPr>
          <w:p w14:paraId="6ADBD822">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统一经营决策的成本口径，识别异常损失和低贡献业务。</w:t>
            </w:r>
          </w:p>
        </w:tc>
      </w:tr>
      <w:tr w14:paraId="35780130">
        <w:trPr>
          <w:cantSplit/>
          <w:jc w:val="center"/>
        </w:trPr>
        <w:tc>
          <w:tcPr>
            <w:tcW w:w="1400" w:type="dxa"/>
            <w:shd w:val="clear" w:color="auto" w:fill="FFFFFF"/>
            <w:tcMar>
              <w:top w:w="0" w:type="dxa"/>
              <w:left w:w="108" w:type="dxa"/>
              <w:bottom w:w="0" w:type="dxa"/>
              <w:right w:w="108" w:type="dxa"/>
            </w:tcMar>
            <w:vAlign w:val="center"/>
          </w:tcPr>
          <w:p w14:paraId="6BC1D822">
            <w:pPr>
              <w:keepNext w:val="0"/>
              <w:keepLines w:val="0"/>
              <w:suppressLineNumbers w:val="0"/>
              <w:spacing w:before="0" w:beforeAutospacing="0" w:after="0" w:afterAutospacing="0" w:line="240" w:lineRule="auto"/>
              <w:ind w:left="0" w:right="0" w:firstLine="0"/>
              <w:jc w:val="center"/>
              <w:rPr>
                <w:rFonts w:hint="default"/>
                <w:szCs w:val="22"/>
              </w:rPr>
            </w:pPr>
            <w:r>
              <w:rPr>
                <w:rFonts w:hint="default" w:ascii="宋体" w:hAnsi="宋体" w:eastAsia="宋体" w:cs="宋体"/>
                <w:b/>
                <w:color w:val="000000"/>
                <w:sz w:val="18"/>
                <w:szCs w:val="22"/>
              </w:rPr>
              <w:t>供应链驾驶舱</w:t>
            </w:r>
          </w:p>
        </w:tc>
        <w:tc>
          <w:tcPr>
            <w:tcW w:w="4500" w:type="dxa"/>
            <w:shd w:val="clear" w:color="auto" w:fill="FFFFFF"/>
            <w:tcMar>
              <w:top w:w="0" w:type="dxa"/>
              <w:left w:w="108" w:type="dxa"/>
              <w:bottom w:w="0" w:type="dxa"/>
              <w:right w:w="108" w:type="dxa"/>
            </w:tcMar>
            <w:vAlign w:val="center"/>
          </w:tcPr>
          <w:p w14:paraId="7FC35D64">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集中展示全局态势、预警、追溯影响和协同处置进度。</w:t>
            </w:r>
          </w:p>
        </w:tc>
        <w:tc>
          <w:tcPr>
            <w:tcW w:w="4717" w:type="dxa"/>
            <w:shd w:val="clear" w:color="auto" w:fill="FFFFFF"/>
            <w:tcMar>
              <w:top w:w="0" w:type="dxa"/>
              <w:left w:w="108" w:type="dxa"/>
              <w:bottom w:w="0" w:type="dxa"/>
              <w:right w:w="108" w:type="dxa"/>
            </w:tcMar>
            <w:vAlign w:val="center"/>
          </w:tcPr>
          <w:p w14:paraId="1E8EA489">
            <w:pPr>
              <w:keepNext w:val="0"/>
              <w:keepLines w:val="0"/>
              <w:suppressLineNumbers w:val="0"/>
              <w:spacing w:before="0" w:beforeAutospacing="0" w:after="0" w:afterAutospacing="0" w:line="240" w:lineRule="auto"/>
              <w:ind w:left="0" w:right="0" w:firstLine="0"/>
              <w:jc w:val="left"/>
              <w:rPr>
                <w:rFonts w:hint="default"/>
                <w:szCs w:val="22"/>
              </w:rPr>
            </w:pPr>
            <w:r>
              <w:rPr>
                <w:rFonts w:hint="default" w:ascii="宋体" w:hAnsi="宋体" w:eastAsia="宋体" w:cs="宋体"/>
                <w:b w:val="0"/>
                <w:color w:val="000000"/>
                <w:sz w:val="18"/>
                <w:szCs w:val="22"/>
              </w:rPr>
              <w:t>把跨部门问题转化为责任明确、过程可见、结果可验证的任务。</w:t>
            </w:r>
          </w:p>
        </w:tc>
      </w:tr>
    </w:tbl>
    <w:p w14:paraId="42849BE3">
      <w:pPr>
        <w:pStyle w:val="5"/>
        <w:spacing w:after="0" w:line="120" w:lineRule="auto"/>
      </w:pPr>
    </w:p>
    <w:p w14:paraId="469009BC">
      <w:pPr>
        <w:pStyle w:val="3"/>
        <w:keepNext/>
        <w:rPr>
          <w:rFonts w:hint="eastAsia" w:ascii="黑体" w:hAnsi="黑体" w:eastAsia="黑体" w:cs="黑体"/>
        </w:rPr>
      </w:pPr>
      <w:bookmarkStart w:id="9" w:name="_Toc1985520894"/>
      <w:r>
        <w:rPr>
          <w:rFonts w:hint="eastAsia" w:ascii="黑体" w:hAnsi="黑体" w:eastAsia="黑体" w:cs="黑体"/>
          <w:b/>
          <w:color w:val="000000"/>
          <w:sz w:val="30"/>
        </w:rPr>
        <w:t>SCOS系统整体价值</w:t>
      </w:r>
      <w:bookmarkEnd w:id="9"/>
    </w:p>
    <w:p w14:paraId="3CFAB73E">
      <w:pPr>
        <w:pStyle w:val="5"/>
        <w:spacing w:after="60" w:line="276" w:lineRule="auto"/>
        <w:ind w:left="420" w:hanging="420"/>
      </w:pPr>
      <w:r>
        <w:rPr>
          <w:rFonts w:ascii="Times New Roman" w:hAnsi="Times New Roman" w:eastAsia="宋体" w:cs="Times New Roman"/>
          <w:color w:val="000000"/>
          <w:sz w:val="21"/>
        </w:rPr>
        <w:t>1. 统一主数据、时间口径、状态定义和版本快照，形成共同决策事实。</w:t>
      </w:r>
    </w:p>
    <w:p w14:paraId="5B4F651E">
      <w:pPr>
        <w:pStyle w:val="5"/>
        <w:spacing w:after="60" w:line="276" w:lineRule="auto"/>
        <w:ind w:left="420" w:hanging="420"/>
      </w:pPr>
      <w:r>
        <w:rPr>
          <w:rFonts w:ascii="Times New Roman" w:hAnsi="Times New Roman" w:eastAsia="宋体" w:cs="Times New Roman"/>
          <w:color w:val="000000"/>
          <w:sz w:val="21"/>
        </w:rPr>
        <w:t>2. 连接库存、排程、采购、要货、执行、成本与风险处置，形成端到端闭环。</w:t>
      </w:r>
    </w:p>
    <w:p w14:paraId="5E5AB7A1">
      <w:pPr>
        <w:pStyle w:val="5"/>
        <w:spacing w:after="60" w:line="276" w:lineRule="auto"/>
        <w:ind w:left="420" w:hanging="420"/>
      </w:pPr>
      <w:r>
        <w:rPr>
          <w:rFonts w:ascii="Times New Roman" w:hAnsi="Times New Roman" w:eastAsia="宋体" w:cs="Times New Roman"/>
          <w:color w:val="000000"/>
          <w:sz w:val="21"/>
        </w:rPr>
        <w:t>3. 统筹容量、交期、供应、物料、质量和锁定范围，提高方案可执行性。</w:t>
      </w:r>
    </w:p>
    <w:p w14:paraId="393AF23B">
      <w:pPr>
        <w:pStyle w:val="5"/>
        <w:spacing w:after="60" w:line="276" w:lineRule="auto"/>
        <w:ind w:left="420" w:hanging="420"/>
      </w:pPr>
      <w:r>
        <w:rPr>
          <w:rFonts w:ascii="Times New Roman" w:hAnsi="Times New Roman" w:eastAsia="宋体" w:cs="Times New Roman"/>
          <w:color w:val="000000"/>
          <w:sz w:val="21"/>
        </w:rPr>
        <w:t>4. 从KPI/预警下钻至单据、订单、批次和责任环节，缩短异常响应时间。</w:t>
      </w:r>
    </w:p>
    <w:p w14:paraId="5D3F1B6B">
      <w:pPr>
        <w:pStyle w:val="5"/>
        <w:spacing w:after="60" w:line="276" w:lineRule="auto"/>
        <w:ind w:left="420" w:hanging="420"/>
      </w:pPr>
      <w:r>
        <w:rPr>
          <w:rFonts w:ascii="Times New Roman" w:hAnsi="Times New Roman" w:eastAsia="宋体" w:cs="Times New Roman"/>
          <w:color w:val="000000"/>
          <w:sz w:val="21"/>
        </w:rPr>
        <w:t>5. 持续比较计划与实际、成本与服务，并通过标准API和事件支持扩展。</w:t>
      </w:r>
    </w:p>
    <w:p w14:paraId="26995766">
      <w:pPr>
        <w:pStyle w:val="3"/>
        <w:keepNext/>
        <w:rPr>
          <w:rFonts w:hint="eastAsia" w:ascii="黑体" w:hAnsi="黑体" w:eastAsia="黑体" w:cs="黑体"/>
        </w:rPr>
      </w:pPr>
      <w:bookmarkStart w:id="10" w:name="_Toc901274725"/>
      <w:r>
        <w:rPr>
          <w:rFonts w:hint="eastAsia" w:ascii="黑体" w:hAnsi="黑体" w:eastAsia="黑体" w:cs="黑体"/>
          <w:b/>
          <w:color w:val="000000"/>
          <w:sz w:val="30"/>
        </w:rPr>
        <w:t>系统边界</w:t>
      </w:r>
      <w:bookmarkEnd w:id="10"/>
    </w:p>
    <w:p w14:paraId="58A70F23">
      <w:pPr>
        <w:pStyle w:val="5"/>
        <w:spacing w:after="100" w:line="276" w:lineRule="auto"/>
        <w:ind w:firstLine="420"/>
      </w:pPr>
      <w:r>
        <w:rPr>
          <w:rFonts w:ascii="Times New Roman" w:hAnsi="Times New Roman" w:eastAsia="宋体" w:cs="Times New Roman"/>
          <w:color w:val="000000"/>
          <w:sz w:val="21"/>
        </w:rPr>
        <w:t>SCOS负责计算、优化、比较、预警和协同，不替代SAP、E采、MES、WMS、TMS、QMS/LIMS及合同/供应商平台的正式交易与执行职责；方案经评审发布后执行，结果再回流SCOS。</w:t>
      </w:r>
    </w:p>
    <w:p w14:paraId="7DCA41E3">
      <w:pPr>
        <w:rPr>
          <w:rFonts w:hint="eastAsia"/>
          <w:lang w:val="en-US" w:eastAsia="zh-CN"/>
        </w:rPr>
      </w:pPr>
    </w:p>
    <w:p w14:paraId="345D2B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eastAsia" w:ascii="黑体" w:hAnsi="黑体" w:eastAsia="黑体" w:cs="黑体"/>
          <w:b/>
          <w:bCs w:val="0"/>
          <w:lang w:val="en-US" w:eastAsia="zh-CN"/>
        </w:rPr>
      </w:pPr>
      <w:bookmarkStart w:id="11" w:name="_Toc924792419"/>
      <w:bookmarkStart w:id="12" w:name="_Toc1522140784"/>
      <w:r>
        <w:rPr>
          <w:rFonts w:hint="eastAsia" w:ascii="黑体" w:hAnsi="黑体" w:eastAsia="黑体" w:cs="黑体"/>
          <w:b/>
          <w:bCs w:val="0"/>
          <w:lang w:val="en-US" w:eastAsia="zh-CN"/>
        </w:rPr>
        <w:t>SCOS业务蓝图交付物</w:t>
      </w:r>
      <w:bookmarkEnd w:id="11"/>
      <w:bookmarkEnd w:id="12"/>
    </w:p>
    <w:p w14:paraId="027BC767">
      <w:pPr>
        <w:pStyle w:val="3"/>
        <w:bidi w:val="0"/>
        <w:rPr>
          <w:rFonts w:hint="eastAsia" w:ascii="黑体" w:hAnsi="黑体" w:eastAsia="黑体" w:cs="黑体"/>
          <w:b/>
          <w:bCs w:val="0"/>
          <w:sz w:val="30"/>
          <w:szCs w:val="30"/>
        </w:rPr>
      </w:pPr>
      <w:bookmarkStart w:id="13" w:name="_Toc1794953624"/>
      <w:bookmarkStart w:id="14" w:name="_Toc1647032794"/>
      <w:bookmarkStart w:id="15" w:name="_SCOS业务流程总览"/>
      <w:bookmarkStart w:id="16" w:name="_PLM业务流程总览"/>
      <w:r>
        <w:rPr>
          <w:rFonts w:hint="eastAsia" w:ascii="黑体" w:hAnsi="黑体" w:eastAsia="黑体" w:cs="黑体"/>
          <w:b/>
          <w:bCs w:val="0"/>
          <w:sz w:val="30"/>
          <w:szCs w:val="30"/>
          <w:lang w:val="en-US" w:eastAsia="zh-CN"/>
        </w:rPr>
        <w:t>SCOS业务流程总览</w:t>
      </w:r>
      <w:bookmarkEnd w:id="13"/>
      <w:bookmarkEnd w:id="14"/>
    </w:p>
    <w:bookmarkEnd w:id="15"/>
    <w:bookmarkEnd w:id="16"/>
    <w:p w14:paraId="685C6D9F">
      <w:pPr>
        <w:pStyle w:val="5"/>
        <w:jc w:val="both"/>
        <w:rPr>
          <w:rFonts w:hint="eastAsia" w:eastAsia="宋体"/>
          <w:lang w:eastAsia="zh-CN"/>
        </w:rPr>
      </w:pPr>
      <w:r>
        <w:rPr>
          <w:rFonts w:hint="eastAsia" w:eastAsia="宋体"/>
          <w:lang w:eastAsia="zh-CN"/>
        </w:rPr>
        <w:drawing>
          <wp:inline distT="0" distB="0" distL="114300" distR="114300">
            <wp:extent cx="2654300" cy="9217660"/>
            <wp:effectExtent l="0" t="0" r="12700" b="2540"/>
            <wp:docPr id="8" name="图片 8" descr="业务总图_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业务总图_v1.0"/>
                    <pic:cNvPicPr>
                      <a:picLocks noChangeAspect="1"/>
                    </pic:cNvPicPr>
                  </pic:nvPicPr>
                  <pic:blipFill>
                    <a:blip r:embed="rId11"/>
                    <a:stretch>
                      <a:fillRect/>
                    </a:stretch>
                  </pic:blipFill>
                  <pic:spPr>
                    <a:xfrm>
                      <a:off x="0" y="0"/>
                      <a:ext cx="2654300" cy="9217660"/>
                    </a:xfrm>
                    <a:prstGeom prst="rect">
                      <a:avLst/>
                    </a:prstGeom>
                  </pic:spPr>
                </pic:pic>
              </a:graphicData>
            </a:graphic>
          </wp:inline>
        </w:drawing>
      </w:r>
    </w:p>
    <w:p w14:paraId="5D768F47">
      <w:pPr>
        <w:pStyle w:val="3"/>
        <w:bidi w:val="0"/>
        <w:rPr>
          <w:rFonts w:hint="eastAsia" w:ascii="黑体" w:hAnsi="黑体" w:eastAsia="黑体" w:cs="黑体"/>
          <w:b/>
          <w:bCs w:val="0"/>
        </w:rPr>
      </w:pPr>
      <w:bookmarkStart w:id="17" w:name="_Toc2082769159"/>
      <w:bookmarkStart w:id="18" w:name="_【核心部分-待后续优化】关键业务流程说明"/>
      <w:bookmarkStart w:id="19" w:name="_关键业务流程说明"/>
      <w:r>
        <w:rPr>
          <w:rFonts w:hint="eastAsia" w:ascii="黑体" w:hAnsi="黑体" w:eastAsia="黑体" w:cs="黑体"/>
          <w:b/>
          <w:bCs w:val="0"/>
          <w:lang w:val="en-US" w:eastAsia="zh-CN"/>
        </w:rPr>
        <w:t>关键业务流程说明</w:t>
      </w:r>
      <w:bookmarkEnd w:id="17"/>
    </w:p>
    <w:bookmarkEnd w:id="18"/>
    <w:p w14:paraId="399DBE68">
      <w:pPr>
        <w:pStyle w:val="4"/>
        <w:bidi w:val="0"/>
        <w:ind w:left="161" w:leftChars="0" w:firstLineChars="0"/>
        <w:rPr>
          <w:rFonts w:hint="eastAsia" w:ascii="黑体" w:hAnsi="黑体" w:eastAsia="黑体" w:cs="黑体"/>
          <w:b/>
          <w:bCs w:val="0"/>
          <w:lang w:val="en-US"/>
        </w:rPr>
      </w:pPr>
      <w:bookmarkStart w:id="20" w:name="_Toc1117809213"/>
      <w:r>
        <w:rPr>
          <w:rFonts w:hint="eastAsia" w:ascii="黑体" w:hAnsi="黑体" w:eastAsia="黑体" w:cs="黑体"/>
          <w:b/>
          <w:bCs w:val="0"/>
          <w:lang w:val="en-US" w:eastAsia="zh-CN"/>
        </w:rPr>
        <w:t>库存优化</w:t>
      </w:r>
      <w:bookmarkEnd w:id="20"/>
    </w:p>
    <w:bookmarkEnd w:id="19"/>
    <w:p w14:paraId="2F67130D">
      <w:pPr>
        <w:pStyle w:val="6"/>
        <w:bidi w:val="0"/>
        <w:rPr>
          <w:rFonts w:hint="eastAsia" w:ascii="黑体" w:hAnsi="黑体" w:eastAsia="黑体" w:cs="黑体"/>
          <w:b/>
          <w:bCs w:val="0"/>
          <w:lang w:eastAsia="zh-CN"/>
        </w:rPr>
      </w:pPr>
      <w:r>
        <w:rPr>
          <w:rFonts w:hint="eastAsia" w:ascii="黑体" w:hAnsi="黑体" w:eastAsia="黑体" w:cs="黑体"/>
          <w:b/>
          <w:bCs w:val="0"/>
          <w:lang w:val="en-US" w:eastAsia="zh-CN"/>
        </w:rPr>
        <w:t>月度成品库存策略制定流程</w:t>
      </w:r>
    </w:p>
    <w:p w14:paraId="508AB8C6">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2"/>
                    <a:stretch>
                      <a:fillRect/>
                    </a:stretch>
                  </pic:blipFill>
                  <pic:spPr>
                    <a:xfrm>
                      <a:off x="0" y="0"/>
                      <a:ext cx="5260975" cy="2154555"/>
                    </a:xfrm>
                    <a:prstGeom prst="rect">
                      <a:avLst/>
                    </a:prstGeom>
                  </pic:spPr>
                </pic:pic>
              </a:graphicData>
            </a:graphic>
          </wp:inline>
        </w:drawing>
      </w: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每月25日进入下月成品库存策略和月度总生产补充计划制定周期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输入：下月不同成品出货计划、已明确销售订单、当前库存、计划生产入库和待发运信息；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输出：不同成品日度计划需求和策略计算范围（覆盖哪些成品以及计划展望期）</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对月度预计出货总量进行日度分解；已有明确出货计划或销售订单的日期优先使用出货或订单量，其余数量分摊至未有明确订单或出货的日期，生成日度需求计划</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输入：日度需求计划、历史出库波动、生产补充周期、服务水平、成品—储罐映射及有效容量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模型，计算“存多少、何时补、补多少”。目标库存和总补充量需经有效储罐容量、最大库存天数等约束校验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输入：月度库存策略、总生产补充计划、计算依据及风险提示；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系统校验必要参数和生产补充量，由库存计划员确认提交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输入：拟定库存策略和总生产补充计划；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发布月度库存策略与总生产补充计划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输出：已发布的安全库存、再订货点、目标库存、月度总生产补充计划及版本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策略发布后在月内作为周度库存计划和日度库存监控基准，并保存数据快照、模型参数、人工调整和审批轨迹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输入：已发布的月度总生产补充量及建议入库节奏；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输出：已发布月度成品库存策略及总生产补充计划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1CABE0CE">
      <w:pPr>
        <w:pStyle w:val="6"/>
        <w:bidi w:val="0"/>
        <w:outlineLvl w:val="3"/>
        <w:rPr>
          <w:rFonts w:hint="eastAsia" w:ascii="黑体" w:hAnsi="黑体" w:eastAsia="黑体" w:cs="黑体"/>
          <w:b/>
          <w:bCs/>
          <w:lang w:val="en-US" w:eastAsia="zh-CN"/>
        </w:rPr>
      </w:pPr>
      <w:r>
        <w:rPr>
          <w:rFonts w:hint="eastAsia" w:ascii="黑体" w:hAnsi="黑体" w:eastAsia="黑体" w:cs="黑体"/>
          <w:b/>
          <w:bCs/>
          <w:lang w:val="en-US" w:eastAsia="zh-CN"/>
        </w:rPr>
        <w:t>周度生产补充计划制定流程</w:t>
      </w: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327"/>
        <w:gridCol w:w="884"/>
        <w:gridCol w:w="1552"/>
        <w:gridCol w:w="2146"/>
        <w:gridCol w:w="1635"/>
        <w:gridCol w:w="1880"/>
      </w:tblGrid>
      <w:tr w14:paraId="6234CA63">
        <w:trPr>
          <w:tblHeader/>
        </w:trPr>
        <w:tc>
          <w:tcPr>
            <w:tcW w:w="3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输入：已发布月度总补充计划、月度剩余待生产量、未来4周日度需求计划、当前可用库存、已有生产排程、计划入库及储罐容量；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每周五一次性向后计算4周，按日结合日度需求计划、可用库存、已有计划入库和月度库存策略生成日度生产补充量；周界严格采用周六至下周五。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系统校验4周汇总结果与日度明细一致性，由库存计划员确认提交生产计划员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输出：锁定第1周的周度生产补充量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输入：锁定第1周的周度生产补充量、排程确认结论；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输出：已发布的锁定第1周的周度生产补充计划及版本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发布锁定第1周的周度生产补货计划，作为生产排程执行与日度滚动校验的正式基准，同时保留评审、排程确认轨迹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输出：已发布且第1周生产补充量已锁定的周度生产补充计划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29758A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日度库存监控</w:t>
      </w:r>
      <w:r>
        <w:rPr>
          <w:rFonts w:hint="eastAsia" w:ascii="黑体" w:hAnsi="黑体" w:cs="黑体"/>
          <w:b/>
          <w:bCs/>
          <w:lang w:val="en-US" w:eastAsia="zh-CN"/>
        </w:rPr>
        <w:t>、</w:t>
      </w:r>
      <w:r>
        <w:rPr>
          <w:rFonts w:hint="eastAsia" w:ascii="黑体" w:hAnsi="黑体" w:eastAsia="黑体" w:cs="黑体"/>
          <w:b/>
          <w:bCs/>
          <w:lang w:val="en-US" w:eastAsia="zh-CN"/>
        </w:rPr>
        <w:t>滚动校验</w:t>
      </w:r>
      <w:r>
        <w:rPr>
          <w:rFonts w:hint="eastAsia" w:ascii="黑体" w:hAnsi="黑体" w:cs="黑体"/>
          <w:b/>
          <w:bCs/>
          <w:lang w:val="en-US" w:eastAsia="zh-CN"/>
        </w:rPr>
        <w:t>与滚动锁定</w:t>
      </w:r>
      <w:r>
        <w:rPr>
          <w:rFonts w:hint="eastAsia" w:ascii="黑体" w:hAnsi="黑体" w:eastAsia="黑体" w:cs="黑体"/>
          <w:b/>
          <w:bCs/>
          <w:lang w:val="en-US" w:eastAsia="zh-CN"/>
        </w:rPr>
        <w:t>流程</w:t>
      </w: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4"/>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输入：已发布且第1周已锁定的周度生产补货计划、第2至第4周生产补货建议、SAP/WMS成品库存及出库状态、日度需求计划、生产排程及计划入库量、QMS/LIMS质检状态和储罐可用状态；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C43D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按日更新实际可用库存、需求计划和预计可用的计划生产入库，形成覆盖第1周锁定期及第2至第4周非锁定期的库存轨迹。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判断未来4周内是否存在击穿安全库存的风险以及是否有计划生产入库超过成品对应储罐的有效剩余容量的风险</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预警状态不解除锁定；如需处置，由相关业务人员在线下进行协调，本流程中不改变锁定计划；完成后结束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调整后可能存在仍无法消除的风险，会给出预警</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将确认采纳的调整建议交给生产排程处理，并将排程反馈用于下一轮日度库存水位测算。第1周锁定生产补充量仍保持不变；同时每天向后额外锁定1天，确保每天都是T+7天锁定</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输出：日度库存监控结果、库存预警、第1周锁定状态（T+7天锁定）、第2至第4周补货建议调整及生产协同记录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F48D6F">
      <w:pPr>
        <w:jc w:val="both"/>
        <w:rPr>
          <w:rFonts w:hint="default"/>
          <w:lang w:val="en-US" w:eastAsia="zh-CN"/>
        </w:rPr>
      </w:pPr>
    </w:p>
    <w:p w14:paraId="090F7A77">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库存策略异常调整流程</w:t>
      </w: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库存健康度评价与策略改进流程</w:t>
      </w:r>
    </w:p>
    <w:p w14:paraId="5233AC86">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6"/>
                    <a:stretch>
                      <a:fillRect/>
                    </a:stretch>
                  </pic:blipFill>
                  <pic:spPr>
                    <a:xfrm>
                      <a:off x="0" y="0"/>
                      <a:ext cx="5269865" cy="1703705"/>
                    </a:xfrm>
                    <a:prstGeom prst="rect">
                      <a:avLst/>
                    </a:prstGeom>
                  </pic:spPr>
                </pic:pic>
              </a:graphicData>
            </a:graphic>
          </wp:inline>
        </w:drawing>
      </w: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6D3664">
      <w:pPr>
        <w:jc w:val="both"/>
        <w:rPr>
          <w:rFonts w:hint="default"/>
          <w:lang w:val="en-US" w:eastAsia="zh-CN"/>
        </w:rPr>
      </w:pPr>
    </w:p>
    <w:p w14:paraId="7EF7630B">
      <w:pPr>
        <w:pStyle w:val="4"/>
        <w:bidi w:val="0"/>
        <w:ind w:left="161" w:leftChars="0" w:firstLineChars="0"/>
        <w:rPr>
          <w:rFonts w:hint="eastAsia" w:ascii="黑体" w:hAnsi="黑体" w:eastAsia="黑体" w:cs="黑体"/>
          <w:b/>
          <w:bCs w:val="0"/>
          <w:lang w:val="en-US" w:eastAsia="zh-CN"/>
        </w:rPr>
      </w:pPr>
      <w:bookmarkStart w:id="21" w:name="_Toc832498935"/>
      <w:r>
        <w:rPr>
          <w:rFonts w:hint="eastAsia" w:ascii="黑体" w:hAnsi="黑体" w:eastAsia="黑体" w:cs="黑体"/>
          <w:b/>
          <w:bCs w:val="0"/>
          <w:lang w:val="en-US" w:eastAsia="zh-CN"/>
        </w:rPr>
        <w:t>采购优化</w:t>
      </w:r>
      <w:bookmarkEnd w:id="21"/>
    </w:p>
    <w:p w14:paraId="143EDFA0">
      <w:pPr>
        <w:pStyle w:val="6"/>
        <w:bidi w:val="0"/>
        <w:rPr>
          <w:rFonts w:hint="eastAsia" w:ascii="黑体" w:hAnsi="黑体" w:eastAsia="黑体" w:cs="黑体"/>
          <w:b/>
          <w:bCs w:val="0"/>
          <w:lang w:val="en-US" w:eastAsia="zh-CN"/>
        </w:rPr>
      </w:pPr>
      <w:r>
        <w:rPr>
          <w:rFonts w:hint="eastAsia" w:ascii="黑体" w:hAnsi="黑体" w:eastAsia="黑体" w:cs="黑体"/>
          <w:b/>
          <w:bCs w:val="0"/>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7"/>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44DDC0">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供应商评价与准入预警流程</w:t>
      </w: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8"/>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E59E5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采购计划滚动调整流程</w:t>
      </w: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9"/>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6F9035D">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采购执行跟踪流程</w:t>
      </w: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20"/>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ascii="黑体" w:hAnsi="黑体" w:eastAsia="黑体" w:cs="黑体"/>
          <w:b/>
          <w:bCs w:val="0"/>
          <w:lang w:val="en-US" w:eastAsia="zh-CN"/>
        </w:rPr>
      </w:pPr>
      <w:bookmarkStart w:id="22" w:name="_Toc953640340"/>
      <w:r>
        <w:rPr>
          <w:rFonts w:hint="eastAsia" w:ascii="黑体" w:hAnsi="黑体" w:eastAsia="黑体" w:cs="黑体"/>
          <w:b/>
          <w:bCs w:val="0"/>
          <w:lang w:val="en-US" w:eastAsia="zh-CN"/>
        </w:rPr>
        <w:t>要货计划</w:t>
      </w:r>
      <w:bookmarkEnd w:id="22"/>
    </w:p>
    <w:p w14:paraId="572CD3AD">
      <w:pPr>
        <w:pStyle w:val="6"/>
        <w:bidi w:val="0"/>
        <w:rPr>
          <w:rFonts w:hint="eastAsia" w:ascii="黑体" w:hAnsi="黑体" w:eastAsia="黑体" w:cs="黑体"/>
          <w:b/>
          <w:bCs w:val="0"/>
          <w:lang w:val="en-US" w:eastAsia="zh-CN"/>
        </w:rPr>
      </w:pPr>
      <w:r>
        <w:rPr>
          <w:rFonts w:hint="eastAsia" w:ascii="黑体" w:hAnsi="黑体" w:eastAsia="黑体" w:cs="黑体"/>
          <w:b/>
          <w:bCs w:val="0"/>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6"/>
        <w:bidi w:val="0"/>
        <w:rPr>
          <w:rFonts w:hint="default"/>
          <w:b/>
          <w:bCs/>
        </w:rPr>
      </w:pPr>
      <w:r>
        <w:rPr>
          <w:rFonts w:hint="default"/>
          <w:b/>
          <w:bCs/>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6"/>
        <w:bidi w:val="0"/>
        <w:rPr>
          <w:rFonts w:hint="default"/>
          <w:b/>
          <w:bCs/>
        </w:rPr>
      </w:pPr>
      <w:r>
        <w:rPr>
          <w:rFonts w:hint="default"/>
          <w:b/>
          <w:bCs/>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6"/>
        <w:bidi w:val="0"/>
        <w:rPr>
          <w:rFonts w:hint="default"/>
          <w:b/>
          <w:bCs/>
        </w:rPr>
      </w:pPr>
      <w:r>
        <w:rPr>
          <w:rFonts w:hint="default"/>
          <w:b/>
          <w:bCs/>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6"/>
        <w:bidi w:val="0"/>
        <w:rPr>
          <w:rFonts w:hint="default"/>
          <w:b/>
          <w:bCs/>
        </w:rPr>
      </w:pPr>
      <w:r>
        <w:rPr>
          <w:rFonts w:hint="default"/>
          <w:b/>
          <w:bCs/>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6858EAF1">
      <w:pPr>
        <w:pStyle w:val="6"/>
        <w:bidi w:val="0"/>
        <w:rPr>
          <w:rFonts w:hint="default"/>
          <w:b/>
          <w:bCs/>
          <w:lang w:val="en-US" w:eastAsia="zh-CN"/>
        </w:rPr>
      </w:pPr>
      <w:r>
        <w:rPr>
          <w:rFonts w:hint="default"/>
          <w:b/>
          <w:bCs/>
        </w:rPr>
        <w:t>供应商禁运与解除流程</w:t>
      </w: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eastAsia" w:ascii="黑体" w:hAnsi="黑体" w:eastAsia="黑体" w:cs="黑体"/>
          <w:b/>
          <w:bCs w:val="0"/>
          <w:lang w:val="en-US" w:eastAsia="zh-CN"/>
        </w:rPr>
      </w:pPr>
      <w:bookmarkStart w:id="23" w:name="_Toc1162736819"/>
      <w:r>
        <w:rPr>
          <w:rFonts w:hint="eastAsia" w:ascii="黑体" w:hAnsi="黑体" w:eastAsia="黑体" w:cs="黑体"/>
          <w:b/>
          <w:bCs w:val="0"/>
          <w:lang w:val="en-US" w:eastAsia="zh-CN"/>
        </w:rPr>
        <w:t>驾驶舱</w:t>
      </w:r>
      <w:bookmarkEnd w:id="23"/>
    </w:p>
    <w:p w14:paraId="77224C66">
      <w:pPr>
        <w:pStyle w:val="6"/>
        <w:bidi w:val="0"/>
        <w:rPr>
          <w:rFonts w:hint="eastAsia" w:ascii="黑体" w:hAnsi="黑体" w:eastAsia="黑体" w:cs="黑体"/>
          <w:b/>
          <w:bCs w:val="0"/>
          <w:lang w:val="en-US" w:eastAsia="zh-CN"/>
        </w:rPr>
      </w:pPr>
      <w:r>
        <w:rPr>
          <w:rFonts w:hint="eastAsia" w:ascii="黑体" w:hAnsi="黑体" w:eastAsia="黑体" w:cs="黑体"/>
          <w:b/>
          <w:bCs w:val="0"/>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b/>
          <w:bCs/>
          <w:lang w:val="en-US" w:eastAsia="zh-CN"/>
        </w:rPr>
      </w:pPr>
      <w:r>
        <w:rPr>
          <w:rFonts w:hint="default"/>
          <w:b/>
          <w:bCs/>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rPr>
          <w:b/>
          <w:bCs/>
        </w:rPr>
      </w:pPr>
      <w:r>
        <w:rPr>
          <w:rFonts w:hint="default"/>
          <w:b/>
          <w:bCs/>
        </w:rPr>
        <w:t>全局供应链态势监测流程</w:t>
      </w:r>
    </w:p>
    <w:p w14:paraId="0B5FC197">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253990" cy="1801495"/>
                    </a:xfrm>
                    <a:prstGeom prst="rect">
                      <a:avLst/>
                    </a:prstGeom>
                  </pic:spPr>
                </pic:pic>
              </a:graphicData>
            </a:graphic>
          </wp:inline>
        </w:drawing>
      </w: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b/>
          <w:bCs/>
          <w:lang w:val="en-US" w:eastAsia="zh-CN"/>
        </w:rPr>
      </w:pPr>
      <w:r>
        <w:rPr>
          <w:rFonts w:hint="default"/>
          <w:b/>
          <w:bCs/>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pStyle w:val="6"/>
        <w:bidi w:val="0"/>
        <w:rPr>
          <w:rFonts w:hint="default"/>
          <w:b/>
          <w:bCs/>
          <w:lang w:val="en-US" w:eastAsia="zh-CN"/>
        </w:rPr>
      </w:pPr>
      <w:r>
        <w:rPr>
          <w:rFonts w:hint="default"/>
          <w:b/>
          <w:bCs/>
        </w:rPr>
        <w:t>预警事件接入与分级派发流程</w:t>
      </w: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rPr>
          <w:b/>
          <w:bCs/>
        </w:rPr>
      </w:pPr>
      <w:r>
        <w:rPr>
          <w:rFonts w:hint="default"/>
          <w:b/>
          <w:bCs/>
        </w:rPr>
        <w:t>预警处置跟踪与闭环验证流程</w:t>
      </w:r>
    </w:p>
    <w:p w14:paraId="270B9787">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253990" cy="1801495"/>
                    </a:xfrm>
                    <a:prstGeom prst="rect">
                      <a:avLst/>
                    </a:prstGeom>
                  </pic:spPr>
                </pic:pic>
              </a:graphicData>
            </a:graphic>
          </wp:inline>
        </w:drawing>
      </w: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rPr>
          <w:b/>
          <w:bCs/>
        </w:rPr>
      </w:pPr>
      <w:r>
        <w:rPr>
          <w:rFonts w:hint="default"/>
          <w:b/>
          <w:bCs/>
        </w:rPr>
        <w:t>供应链情景模拟与影响评估流程</w:t>
      </w: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253990" cy="1801495"/>
                    </a:xfrm>
                    <a:prstGeom prst="rect">
                      <a:avLst/>
                    </a:prstGeom>
                  </pic:spPr>
                </pic:pic>
              </a:graphicData>
            </a:graphic>
          </wp:inline>
        </w:drawing>
      </w: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BD8B53E">
      <w:pPr>
        <w:pStyle w:val="6"/>
        <w:bidi w:val="0"/>
        <w:rPr>
          <w:rFonts w:hint="default"/>
          <w:b/>
          <w:bCs/>
          <w:lang w:val="en-US" w:eastAsia="zh-CN"/>
        </w:rPr>
      </w:pPr>
      <w:r>
        <w:rPr>
          <w:rFonts w:hint="default"/>
          <w:b/>
          <w:bCs/>
        </w:rPr>
        <w:t>模拟方案采纳与业务协同流程</w:t>
      </w: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253990" cy="1801495"/>
                    </a:xfrm>
                    <a:prstGeom prst="rect">
                      <a:avLst/>
                    </a:prstGeom>
                  </pic:spPr>
                </pic:pic>
              </a:graphicData>
            </a:graphic>
          </wp:inline>
        </w:drawing>
      </w: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eastAsia" w:ascii="黑体" w:hAnsi="黑体" w:eastAsia="黑体" w:cs="黑体"/>
          <w:b/>
          <w:bCs w:val="0"/>
          <w:lang w:val="en-US" w:eastAsia="zh-CN"/>
        </w:rPr>
      </w:pPr>
      <w:bookmarkStart w:id="24" w:name="_Toc16529233"/>
      <w:r>
        <w:rPr>
          <w:rFonts w:hint="eastAsia" w:ascii="黑体" w:hAnsi="黑体" w:eastAsia="黑体" w:cs="黑体"/>
          <w:b/>
          <w:bCs w:val="0"/>
          <w:lang w:val="en-US" w:eastAsia="zh-CN"/>
        </w:rPr>
        <w:t>成本分摊</w:t>
      </w:r>
      <w:bookmarkEnd w:id="24"/>
    </w:p>
    <w:p w14:paraId="1D5E2376">
      <w:pPr>
        <w:pStyle w:val="6"/>
        <w:bidi w:val="0"/>
        <w:rPr>
          <w:rFonts w:hint="default"/>
          <w:b/>
          <w:bCs w:val="0"/>
          <w:lang w:val="en-US" w:eastAsia="zh-CN"/>
        </w:rPr>
      </w:pPr>
      <w:r>
        <w:rPr>
          <w:rFonts w:hint="default"/>
          <w:b/>
          <w:bCs w:val="0"/>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b/>
          <w:bCs/>
          <w:lang w:val="en-US" w:eastAsia="zh-CN"/>
        </w:rPr>
      </w:pPr>
      <w:r>
        <w:rPr>
          <w:rFonts w:hint="default"/>
          <w:b/>
          <w:bCs/>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b/>
          <w:bCs/>
          <w:lang w:val="en-US" w:eastAsia="zh-CN"/>
        </w:rPr>
      </w:pPr>
      <w:r>
        <w:rPr>
          <w:rFonts w:hint="default"/>
          <w:b/>
          <w:bCs/>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b/>
          <w:bCs/>
          <w:lang w:val="en-US" w:eastAsia="zh-CN"/>
        </w:rPr>
      </w:pPr>
      <w:r>
        <w:rPr>
          <w:rFonts w:hint="default"/>
          <w:b/>
          <w:bCs/>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b/>
          <w:bCs/>
          <w:lang w:val="en-US" w:eastAsia="zh-CN"/>
        </w:rPr>
      </w:pPr>
      <w:r>
        <w:rPr>
          <w:rFonts w:hint="default"/>
          <w:b/>
          <w:bCs/>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b/>
          <w:bCs/>
          <w:lang w:val="en-US" w:eastAsia="zh-CN"/>
        </w:rPr>
      </w:pPr>
      <w:r>
        <w:rPr>
          <w:rFonts w:hint="default"/>
          <w:b/>
          <w:bCs/>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b/>
          <w:bCs/>
          <w:lang w:val="en-US" w:eastAsia="zh-CN"/>
        </w:rPr>
      </w:pPr>
      <w:r>
        <w:rPr>
          <w:rFonts w:hint="default"/>
          <w:b/>
          <w:bCs/>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b/>
          <w:bCs/>
          <w:lang w:val="en-US" w:eastAsia="zh-CN"/>
        </w:rPr>
      </w:pPr>
      <w:r>
        <w:rPr>
          <w:rFonts w:hint="default"/>
          <w:b/>
          <w:bCs/>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b/>
          <w:bCs/>
          <w:lang w:val="en-US" w:eastAsia="zh-CN"/>
        </w:rPr>
      </w:pPr>
      <w:r>
        <w:rPr>
          <w:rFonts w:hint="default"/>
          <w:b/>
          <w:bCs/>
          <w:lang w:val="en-US" w:eastAsia="zh-CN"/>
        </w:rPr>
        <w:t>成本异常识别和预警流程</w:t>
      </w:r>
    </w:p>
    <w:p w14:paraId="4D9F934A">
      <w:pPr>
        <w:rPr>
          <w:rFonts w:hint="default"/>
          <w:lang w:val="en-US" w:eastAsia="zh-CN"/>
        </w:rPr>
      </w:pPr>
    </w:p>
    <w:p w14:paraId="7485C74A">
      <w:pPr>
        <w:rPr>
          <w:rFonts w:hint="default"/>
          <w:lang w:val="en-US" w:eastAsia="zh-CN"/>
        </w:rPr>
      </w:pPr>
    </w:p>
    <w:p w14:paraId="4D95ECC4">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5253990" cy="1017270"/>
                    </a:xfrm>
                    <a:prstGeom prst="rect">
                      <a:avLst/>
                    </a:prstGeom>
                  </pic:spPr>
                </pic:pic>
              </a:graphicData>
            </a:graphic>
          </wp:inline>
        </w:drawing>
      </w: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eastAsia" w:ascii="黑体" w:hAnsi="黑体" w:eastAsia="黑体" w:cs="黑体"/>
          <w:b/>
          <w:bCs w:val="0"/>
          <w:highlight w:val="none"/>
          <w:lang w:val="en-US" w:eastAsia="zh-CN"/>
        </w:rPr>
      </w:pPr>
      <w:bookmarkStart w:id="25" w:name="_Toc781428568"/>
      <w:bookmarkStart w:id="26" w:name="_系统边界与分工"/>
      <w:r>
        <w:rPr>
          <w:rFonts w:hint="eastAsia" w:ascii="黑体" w:hAnsi="黑体" w:eastAsia="黑体" w:cs="黑体"/>
          <w:b/>
          <w:bCs w:val="0"/>
          <w:highlight w:val="none"/>
        </w:rPr>
        <w:t>系统边界与分工</w:t>
      </w:r>
      <w:bookmarkEnd w:id="25"/>
    </w:p>
    <w:bookmarkEnd w:id="26"/>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eastAsia" w:ascii="黑体" w:hAnsi="黑体" w:eastAsia="黑体" w:cs="黑体"/>
          <w:lang w:val="en-US" w:eastAsia="zh-CN"/>
        </w:rPr>
      </w:pPr>
      <w:bookmarkStart w:id="27" w:name="_Toc1607440971"/>
      <w:bookmarkStart w:id="28" w:name="_功能架构"/>
      <w:r>
        <w:rPr>
          <w:rFonts w:hint="eastAsia" w:ascii="黑体" w:hAnsi="黑体" w:eastAsia="黑体" w:cs="黑体"/>
          <w:lang w:val="en-US" w:eastAsia="zh-CN"/>
        </w:rPr>
        <w:t>功能架构</w:t>
      </w:r>
      <w:bookmarkEnd w:id="27"/>
    </w:p>
    <w:bookmarkEnd w:id="28"/>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7"/>
                    <a:stretch>
                      <a:fillRect/>
                    </a:stretch>
                  </pic:blipFill>
                  <pic:spPr>
                    <a:xfrm>
                      <a:off x="0" y="0"/>
                      <a:ext cx="5436870" cy="3896360"/>
                    </a:xfrm>
                    <a:prstGeom prst="rect">
                      <a:avLst/>
                    </a:prstGeom>
                    <a:noFill/>
                    <a:ln>
                      <a:noFill/>
                    </a:ln>
                  </pic:spPr>
                </pic:pic>
              </a:graphicData>
            </a:graphic>
          </wp:inline>
        </w:drawing>
      </w: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eastAsia" w:ascii="黑体" w:hAnsi="黑体" w:eastAsia="黑体" w:cs="黑体"/>
          <w:lang w:val="en-US" w:eastAsia="zh-CN"/>
        </w:rPr>
      </w:pPr>
      <w:bookmarkStart w:id="29" w:name="_Toc916120337"/>
      <w:bookmarkStart w:id="30" w:name="_Toc298913976"/>
      <w:bookmarkStart w:id="31" w:name="_PLM角色权限矩阵"/>
      <w:bookmarkStart w:id="32" w:name="_SCOS角色权限矩阵"/>
      <w:r>
        <w:rPr>
          <w:rFonts w:hint="eastAsia" w:ascii="黑体" w:hAnsi="黑体" w:eastAsia="黑体" w:cs="黑体"/>
          <w:lang w:val="en-US" w:eastAsia="zh-CN"/>
        </w:rPr>
        <w:t>SCOS角色权限矩阵</w:t>
      </w:r>
      <w:bookmarkEnd w:id="29"/>
      <w:bookmarkEnd w:id="30"/>
    </w:p>
    <w:bookmarkEnd w:id="31"/>
    <w:bookmarkEnd w:id="32"/>
    <w:p w14:paraId="3FA09038">
      <w:pPr>
        <w:pStyle w:val="4"/>
        <w:bidi w:val="0"/>
        <w:ind w:left="161" w:leftChars="0" w:firstLineChars="0"/>
        <w:rPr>
          <w:rFonts w:hint="eastAsia" w:ascii="黑体" w:hAnsi="黑体" w:eastAsia="黑体" w:cs="黑体"/>
          <w:lang w:val="en-US" w:eastAsia="zh-CN"/>
        </w:rPr>
      </w:pPr>
      <w:bookmarkStart w:id="33" w:name="_Toc1924238616"/>
      <w:r>
        <w:rPr>
          <w:rFonts w:hint="eastAsia" w:ascii="黑体" w:hAnsi="黑体" w:eastAsia="黑体" w:cs="黑体"/>
          <w:lang w:val="en-US" w:eastAsia="zh-CN"/>
        </w:rPr>
        <w:t>角色定义</w:t>
      </w:r>
      <w:bookmarkEnd w:id="33"/>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SCOS职责概述</w:t>
            </w:r>
          </w:p>
        </w:tc>
      </w:tr>
      <w:tr w14:paraId="2961BF50">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次年经营方案制定、跨部门资源统筹</w:t>
            </w:r>
          </w:p>
        </w:tc>
      </w:tr>
      <w:tr w14:paraId="5CE3F5FF">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销售计划维护、投标及零售合同签订与维护、销售订单创建与更新、客户需求采集、客户反馈收集</w:t>
            </w:r>
          </w:p>
        </w:tc>
      </w:tr>
      <w:tr w14:paraId="143A4C58">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年度销售计划复核、统筹全渠道市场拓展与业绩目标达成</w:t>
            </w:r>
          </w:p>
        </w:tc>
      </w:tr>
      <w:tr w14:paraId="6FBD532C">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21E8E7CD">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4EFC76ED">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年度生产计划复核，生产订单复核与订单发行、量产转化跟进、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349E3823">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B050"/>
                <w:kern w:val="0"/>
                <w:sz w:val="18"/>
                <w:szCs w:val="18"/>
                <w:u w:val="none"/>
                <w:lang w:val="en-US" w:eastAsia="zh-CN" w:bidi="ar"/>
              </w:rPr>
              <w:t>采购员</w:t>
            </w:r>
            <w:r>
              <w:rPr>
                <w:rFonts w:hint="eastAsia" w:ascii="宋体" w:hAnsi="宋体" w:eastAsia="宋体" w:cs="宋体"/>
                <w:i w:val="0"/>
                <w:iCs w:val="0"/>
                <w:color w:val="00B050"/>
                <w:kern w:val="0"/>
                <w:sz w:val="18"/>
                <w:szCs w:val="18"/>
                <w:u w:val="none"/>
                <w:lang w:val="en-US" w:eastAsia="zh-CN" w:bidi="ar"/>
              </w:rPr>
              <w:tab/>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要货计划</w:t>
            </w:r>
          </w:p>
        </w:tc>
      </w:tr>
      <w:tr w14:paraId="1C5782A5">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R09</w:t>
            </w:r>
          </w:p>
        </w:tc>
        <w:tc>
          <w:tcPr>
            <w:tcW w:w="1540" w:type="dxa"/>
            <w:shd w:val="clear" w:color="auto" w:fill="auto"/>
            <w:vAlign w:val="center"/>
          </w:tcPr>
          <w:p w14:paraId="6F2CCD7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采购负责人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0B3BDF33">
        <w:trPr>
          <w:trHeight w:val="659" w:hRule="atLeast"/>
          <w:jc w:val="center"/>
        </w:trPr>
        <w:tc>
          <w:tcPr>
            <w:tcW w:w="1322" w:type="dxa"/>
            <w:vAlign w:val="center"/>
          </w:tcPr>
          <w:p w14:paraId="3810EDA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系统配置、权限管理、流程建模</w:t>
            </w:r>
          </w:p>
        </w:tc>
      </w:tr>
    </w:tbl>
    <w:p w14:paraId="77EF6618">
      <w:pPr>
        <w:pStyle w:val="5"/>
        <w:rPr>
          <w:rFonts w:hint="eastAsia"/>
          <w:lang w:val="en-US" w:eastAsia="zh-CN"/>
        </w:rPr>
      </w:pPr>
    </w:p>
    <w:p w14:paraId="1BBF8784">
      <w:pPr>
        <w:pStyle w:val="4"/>
        <w:bidi w:val="0"/>
        <w:ind w:left="161" w:leftChars="0" w:firstLineChars="0"/>
        <w:rPr>
          <w:rFonts w:hint="eastAsia" w:ascii="黑体" w:hAnsi="黑体" w:eastAsia="黑体" w:cs="黑体"/>
          <w:lang w:val="en-US" w:eastAsia="zh-CN"/>
        </w:rPr>
      </w:pPr>
      <w:bookmarkStart w:id="34" w:name="_Toc1722178939"/>
      <w:bookmarkStart w:id="35" w:name="_Toc26518"/>
      <w:r>
        <w:rPr>
          <w:rFonts w:hint="eastAsia" w:ascii="黑体" w:hAnsi="黑体" w:eastAsia="黑体" w:cs="黑体"/>
          <w:lang w:val="en-US" w:eastAsia="zh-CN"/>
        </w:rPr>
        <w:t>权限矩阵</w:t>
      </w:r>
      <w:bookmarkEnd w:id="34"/>
      <w:bookmarkEnd w:id="35"/>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sz w:val="18"/>
                <w:szCs w:val="18"/>
              </w:rPr>
              <w:t>角色</w:t>
            </w:r>
            <w:r>
              <w:rPr>
                <w:rFonts w:hint="eastAsia" w:ascii="宋体" w:hAnsi="宋体" w:eastAsia="宋体" w:cs="宋体"/>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数据权限隔离规则</w:t>
            </w:r>
          </w:p>
        </w:tc>
      </w:tr>
      <w:tr w14:paraId="0682107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21C575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012A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C801C0">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61F76F3">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F062EF">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698F29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23EEF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11838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3431F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CE5491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86D78C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rPr>
            </w:pPr>
            <w:r>
              <w:rPr>
                <w:rFonts w:hint="eastAsia" w:ascii="宋体" w:hAnsi="宋体" w:eastAsia="宋体" w:cs="宋体"/>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A62FA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F7D7F2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562D2D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E3A05B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FABA48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6F39E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04A94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0FEFD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EF3985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0E75EE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24259E3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F1B2C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1C914BA">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A0792A4">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D5CD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8B481F2">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7765B4E">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84585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DA919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7745FBB">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80A4019">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E935752">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F752E6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8E2A2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E9021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2D1925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4AEC5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82D447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3B157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59D9EE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78D2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2D225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484F5D9B">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val="en-US" w:eastAsia="zh-CN"/>
              </w:rPr>
              <w:t>采购</w:t>
            </w:r>
            <w:r>
              <w:rPr>
                <w:rFonts w:hint="eastAsia" w:ascii="宋体" w:hAnsi="宋体" w:eastAsia="宋体" w:cs="宋体"/>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D385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27813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ED72E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CBFBDF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3A14FD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75DB18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DC5C03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A1B7E5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1CB591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9E4FD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3646BDE">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1A73F3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6D1467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A5606C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43EFBC4">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47F57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E1F91C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A46CC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B4EEE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DFA6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55C4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C6B8598">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AF57A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E3E08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F00EA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E67DF8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DA6FC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4E86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27D4F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8DAC9E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92D10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4B36105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4F9B7A">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2DEE13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0B9D6E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90339C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7F0067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09FD1D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918003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851F94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017555D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085AF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552BBA7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F89E8AD">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color w:val="FF0000"/>
                <w:sz w:val="18"/>
                <w:szCs w:val="18"/>
              </w:rPr>
              <w:t>生产报工</w:t>
            </w:r>
            <w:r>
              <w:rPr>
                <w:rFonts w:hint="eastAsia" w:ascii="宋体" w:hAnsi="宋体" w:eastAsia="宋体" w:cs="宋体"/>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9BC57B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6B9B3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3CC6B0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B21DF3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D64F0A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由MES自动报工生成，SCOS仅做状态同步</w:t>
            </w:r>
          </w:p>
        </w:tc>
      </w:tr>
      <w:tr w14:paraId="58D08F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0C36CA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CB9EBF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3B711BA0">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9CF922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04C248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58C418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AB61F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A6F5F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E04C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DD096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2FA51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A14C5A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DC712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F7788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28E774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F87887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3EC32F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24D19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5BC74B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A221C2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EED9F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88714B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5D200C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540E3F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rPr>
          <w:rFonts w:hint="eastAsia" w:ascii="黑体" w:hAnsi="黑体" w:eastAsia="黑体" w:cs="黑体"/>
        </w:rPr>
      </w:pPr>
      <w:bookmarkStart w:id="36" w:name="_Toc876833507"/>
      <w:bookmarkStart w:id="37" w:name="_Toc14744"/>
      <w:bookmarkStart w:id="38" w:name="_SCOS业务规则清单"/>
      <w:r>
        <w:rPr>
          <w:rFonts w:hint="eastAsia" w:ascii="黑体" w:hAnsi="黑体" w:eastAsia="黑体" w:cs="黑体"/>
          <w:lang w:val="en-US" w:eastAsia="zh-CN"/>
        </w:rPr>
        <w:t>SCOS业务规则清单</w:t>
      </w:r>
      <w:bookmarkEnd w:id="36"/>
      <w:bookmarkEnd w:id="37"/>
    </w:p>
    <w:bookmarkEnd w:id="38"/>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44"/>
        <w:gridCol w:w="945"/>
        <w:gridCol w:w="966"/>
        <w:gridCol w:w="955"/>
        <w:gridCol w:w="1098"/>
        <w:gridCol w:w="1406"/>
        <w:gridCol w:w="1088"/>
        <w:gridCol w:w="1460"/>
      </w:tblGrid>
      <w:tr w14:paraId="00117B41">
        <w:trPr>
          <w:trHeight w:val="586" w:hRule="atLeast"/>
          <w:tblHeader/>
          <w:jc w:val="center"/>
        </w:trPr>
        <w:tc>
          <w:tcPr>
            <w:tcW w:w="2944" w:type="dxa"/>
            <w:tcBorders>
              <w:top w:val="nil"/>
              <w:left w:val="nil"/>
              <w:bottom w:val="nil"/>
              <w:right w:val="nil"/>
            </w:tcBorders>
            <w:shd w:val="clear" w:color="auto" w:fill="auto"/>
            <w:vAlign w:val="center"/>
          </w:tcPr>
          <w:p w14:paraId="4E6CA6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规则编号</w:t>
            </w:r>
          </w:p>
        </w:tc>
        <w:tc>
          <w:tcPr>
            <w:tcW w:w="945" w:type="dxa"/>
            <w:tcBorders>
              <w:top w:val="nil"/>
              <w:left w:val="nil"/>
              <w:bottom w:val="nil"/>
              <w:right w:val="nil"/>
            </w:tcBorders>
            <w:shd w:val="clear" w:color="auto" w:fill="auto"/>
            <w:vAlign w:val="center"/>
          </w:tcPr>
          <w:p w14:paraId="7E2E1751">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23EDE628">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8"/>
                <w:szCs w:val="18"/>
                <w:u w:val="none"/>
              </w:rPr>
            </w:pPr>
            <w:r>
              <w:rPr>
                <w:rFonts w:hint="eastAsia" w:ascii="宋体" w:hAnsi="宋体" w:eastAsia="宋体" w:cs="宋体"/>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0E9C966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6B77B72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71C3055C">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E50B21F">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4598F9FB">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关联系统</w:t>
            </w:r>
          </w:p>
        </w:tc>
      </w:tr>
      <w:tr w14:paraId="0810D4B7">
        <w:trPr>
          <w:cantSplit/>
          <w:trHeight w:val="0" w:hRule="atLeast"/>
          <w:jc w:val="center"/>
        </w:trPr>
        <w:tc>
          <w:tcPr>
            <w:tcW w:w="2944" w:type="dxa"/>
            <w:tcBorders>
              <w:top w:val="nil"/>
              <w:left w:val="nil"/>
              <w:bottom w:val="nil"/>
              <w:right w:val="nil"/>
            </w:tcBorders>
            <w:shd w:val="clear" w:color="auto" w:fill="auto"/>
            <w:vAlign w:val="center"/>
          </w:tcPr>
          <w:p w14:paraId="75F700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P-ZLTC-SCOS-KCYH-001-10-001</w:t>
            </w:r>
          </w:p>
        </w:tc>
        <w:tc>
          <w:tcPr>
            <w:tcW w:w="945" w:type="dxa"/>
            <w:tcBorders>
              <w:top w:val="nil"/>
              <w:left w:val="nil"/>
              <w:bottom w:val="nil"/>
              <w:right w:val="nil"/>
            </w:tcBorders>
            <w:shd w:val="clear" w:color="auto" w:fill="auto"/>
            <w:vAlign w:val="center"/>
          </w:tcPr>
          <w:p w14:paraId="34A108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形成下月需求与库存策略计算范围规则</w:t>
            </w:r>
          </w:p>
        </w:tc>
        <w:tc>
          <w:tcPr>
            <w:tcW w:w="966" w:type="dxa"/>
            <w:tcBorders>
              <w:top w:val="nil"/>
              <w:left w:val="nil"/>
              <w:bottom w:val="nil"/>
              <w:right w:val="nil"/>
            </w:tcBorders>
            <w:shd w:val="clear" w:color="auto" w:fill="auto"/>
            <w:vAlign w:val="center"/>
          </w:tcPr>
          <w:p w14:paraId="76B393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3DD43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08F79B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每月25日开始制定下月成品库存策略和总补充计划时</w:t>
            </w:r>
          </w:p>
        </w:tc>
        <w:tc>
          <w:tcPr>
            <w:tcW w:w="1406" w:type="dxa"/>
            <w:tcBorders>
              <w:top w:val="nil"/>
              <w:left w:val="nil"/>
              <w:bottom w:val="nil"/>
              <w:right w:val="nil"/>
            </w:tcBorders>
            <w:shd w:val="clear" w:color="auto" w:fill="auto"/>
            <w:vAlign w:val="center"/>
          </w:tcPr>
          <w:p w14:paraId="20FC8D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对月度出货总量进行日度分解；数据缺失或状态异常时，暂不进入正式计算并提示库存计划员处理。</w:t>
            </w:r>
          </w:p>
        </w:tc>
        <w:tc>
          <w:tcPr>
            <w:tcW w:w="1088" w:type="dxa"/>
            <w:tcBorders>
              <w:top w:val="nil"/>
              <w:left w:val="nil"/>
              <w:bottom w:val="nil"/>
              <w:right w:val="nil"/>
            </w:tcBorders>
            <w:shd w:val="clear" w:color="auto" w:fill="auto"/>
            <w:vAlign w:val="center"/>
          </w:tcPr>
          <w:p w14:paraId="2B3006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各成品的日度计划需求和策略计算范围</w:t>
            </w:r>
          </w:p>
        </w:tc>
        <w:tc>
          <w:tcPr>
            <w:tcW w:w="1460" w:type="dxa"/>
            <w:tcBorders>
              <w:top w:val="nil"/>
              <w:left w:val="nil"/>
              <w:bottom w:val="nil"/>
              <w:right w:val="nil"/>
            </w:tcBorders>
            <w:shd w:val="clear" w:color="auto" w:fill="auto"/>
            <w:vAlign w:val="center"/>
          </w:tcPr>
          <w:p w14:paraId="7AFE97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3B8E461">
        <w:trPr>
          <w:cantSplit/>
          <w:trHeight w:val="0" w:hRule="atLeast"/>
          <w:jc w:val="center"/>
        </w:trPr>
        <w:tc>
          <w:tcPr>
            <w:tcW w:w="2944" w:type="dxa"/>
            <w:tcBorders>
              <w:top w:val="nil"/>
              <w:left w:val="nil"/>
              <w:bottom w:val="nil"/>
              <w:right w:val="nil"/>
            </w:tcBorders>
            <w:shd w:val="clear" w:color="auto" w:fill="auto"/>
            <w:vAlign w:val="center"/>
          </w:tcPr>
          <w:p w14:paraId="45A4BA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P-ZLTC-SCOS-KCYH-001-20-001</w:t>
            </w:r>
          </w:p>
        </w:tc>
        <w:tc>
          <w:tcPr>
            <w:tcW w:w="945" w:type="dxa"/>
            <w:tcBorders>
              <w:top w:val="nil"/>
              <w:left w:val="nil"/>
              <w:bottom w:val="nil"/>
              <w:right w:val="nil"/>
            </w:tcBorders>
            <w:shd w:val="clear" w:color="auto" w:fill="auto"/>
            <w:vAlign w:val="center"/>
          </w:tcPr>
          <w:p w14:paraId="7771C9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生成月度库存策略规则</w:t>
            </w:r>
          </w:p>
        </w:tc>
        <w:tc>
          <w:tcPr>
            <w:tcW w:w="966" w:type="dxa"/>
            <w:tcBorders>
              <w:top w:val="nil"/>
              <w:left w:val="nil"/>
              <w:bottom w:val="nil"/>
              <w:right w:val="nil"/>
            </w:tcBorders>
            <w:shd w:val="clear" w:color="auto" w:fill="auto"/>
            <w:vAlign w:val="center"/>
          </w:tcPr>
          <w:p w14:paraId="4422C8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F9F8C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544782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各成品的日度计划需求和策略计算范围形成后</w:t>
            </w:r>
          </w:p>
        </w:tc>
        <w:tc>
          <w:tcPr>
            <w:tcW w:w="1406" w:type="dxa"/>
            <w:tcBorders>
              <w:top w:val="nil"/>
              <w:left w:val="nil"/>
              <w:bottom w:val="nil"/>
              <w:right w:val="nil"/>
            </w:tcBorders>
            <w:shd w:val="clear" w:color="auto" w:fill="auto"/>
            <w:vAlign w:val="center"/>
          </w:tcPr>
          <w:p w14:paraId="0411BB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结合各成品的需求、库存和补货周期，测算安全库存、补货触发点及目标库存；容量不足时给出可执行建议，并提示供货风险。</w:t>
            </w:r>
          </w:p>
        </w:tc>
        <w:tc>
          <w:tcPr>
            <w:tcW w:w="1088" w:type="dxa"/>
            <w:tcBorders>
              <w:top w:val="nil"/>
              <w:left w:val="nil"/>
              <w:bottom w:val="nil"/>
              <w:right w:val="nil"/>
            </w:tcBorders>
            <w:shd w:val="clear" w:color="auto" w:fill="auto"/>
            <w:vAlign w:val="center"/>
          </w:tcPr>
          <w:p w14:paraId="77250B8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安全库存、再订货点、目标库存、下月总补充量及建议入库节奏</w:t>
            </w:r>
          </w:p>
        </w:tc>
        <w:tc>
          <w:tcPr>
            <w:tcW w:w="1460" w:type="dxa"/>
            <w:tcBorders>
              <w:top w:val="nil"/>
              <w:left w:val="nil"/>
              <w:bottom w:val="nil"/>
              <w:right w:val="nil"/>
            </w:tcBorders>
            <w:shd w:val="clear" w:color="auto" w:fill="auto"/>
            <w:vAlign w:val="center"/>
          </w:tcPr>
          <w:p w14:paraId="300D1A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0A017A">
        <w:trPr>
          <w:cantSplit/>
          <w:trHeight w:val="0" w:hRule="atLeast"/>
          <w:jc w:val="center"/>
        </w:trPr>
        <w:tc>
          <w:tcPr>
            <w:tcW w:w="2944" w:type="dxa"/>
            <w:tcBorders>
              <w:top w:val="nil"/>
              <w:left w:val="nil"/>
              <w:bottom w:val="nil"/>
              <w:right w:val="nil"/>
            </w:tcBorders>
            <w:shd w:val="clear" w:color="auto" w:fill="auto"/>
            <w:vAlign w:val="center"/>
          </w:tcPr>
          <w:p w14:paraId="2065A4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P-ZLTC-SCOS-KCYH-001-30-001</w:t>
            </w:r>
          </w:p>
        </w:tc>
        <w:tc>
          <w:tcPr>
            <w:tcW w:w="945" w:type="dxa"/>
            <w:tcBorders>
              <w:top w:val="nil"/>
              <w:left w:val="nil"/>
              <w:bottom w:val="nil"/>
              <w:right w:val="nil"/>
            </w:tcBorders>
            <w:shd w:val="clear" w:color="auto" w:fill="auto"/>
            <w:vAlign w:val="center"/>
          </w:tcPr>
          <w:p w14:paraId="46407C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评审库存策略规则</w:t>
            </w:r>
          </w:p>
        </w:tc>
        <w:tc>
          <w:tcPr>
            <w:tcW w:w="966" w:type="dxa"/>
            <w:tcBorders>
              <w:top w:val="nil"/>
              <w:left w:val="nil"/>
              <w:bottom w:val="nil"/>
              <w:right w:val="nil"/>
            </w:tcBorders>
            <w:shd w:val="clear" w:color="auto" w:fill="auto"/>
            <w:vAlign w:val="center"/>
          </w:tcPr>
          <w:p w14:paraId="7954E6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EAEFC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16B5D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安全库存、再订货点、目标库存、下月总补充量及建议入库节奏形成并具备评审条件后</w:t>
            </w:r>
          </w:p>
        </w:tc>
        <w:tc>
          <w:tcPr>
            <w:tcW w:w="1406" w:type="dxa"/>
            <w:tcBorders>
              <w:top w:val="nil"/>
              <w:left w:val="nil"/>
              <w:bottom w:val="nil"/>
              <w:right w:val="nil"/>
            </w:tcBorders>
            <w:shd w:val="clear" w:color="auto" w:fill="auto"/>
            <w:vAlign w:val="center"/>
          </w:tcPr>
          <w:p w14:paraId="28B0DF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复核服务水平、生产补充周期、容量约束和月度补充总量；参数或业务条件需要修改时，可重新计算。</w:t>
            </w:r>
          </w:p>
        </w:tc>
        <w:tc>
          <w:tcPr>
            <w:tcW w:w="1088" w:type="dxa"/>
            <w:tcBorders>
              <w:top w:val="nil"/>
              <w:left w:val="nil"/>
              <w:bottom w:val="nil"/>
              <w:right w:val="nil"/>
            </w:tcBorders>
            <w:shd w:val="clear" w:color="auto" w:fill="auto"/>
            <w:vAlign w:val="center"/>
          </w:tcPr>
          <w:p w14:paraId="405269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拟定成品库存策略</w:t>
            </w:r>
          </w:p>
        </w:tc>
        <w:tc>
          <w:tcPr>
            <w:tcW w:w="1460" w:type="dxa"/>
            <w:tcBorders>
              <w:top w:val="nil"/>
              <w:left w:val="nil"/>
              <w:bottom w:val="nil"/>
              <w:right w:val="nil"/>
            </w:tcBorders>
            <w:shd w:val="clear" w:color="auto" w:fill="auto"/>
            <w:vAlign w:val="center"/>
          </w:tcPr>
          <w:p w14:paraId="647F5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5DFE1F">
        <w:trPr>
          <w:cantSplit/>
          <w:trHeight w:val="0" w:hRule="atLeast"/>
          <w:jc w:val="center"/>
        </w:trPr>
        <w:tc>
          <w:tcPr>
            <w:tcW w:w="2944" w:type="dxa"/>
            <w:tcBorders>
              <w:top w:val="nil"/>
              <w:left w:val="nil"/>
              <w:bottom w:val="nil"/>
              <w:right w:val="nil"/>
            </w:tcBorders>
            <w:shd w:val="clear" w:color="auto" w:fill="auto"/>
            <w:vAlign w:val="center"/>
          </w:tcPr>
          <w:p w14:paraId="1FD436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P-ZLTC-SCOS-KCYH-001-40-001</w:t>
            </w:r>
          </w:p>
        </w:tc>
        <w:tc>
          <w:tcPr>
            <w:tcW w:w="945" w:type="dxa"/>
            <w:tcBorders>
              <w:top w:val="nil"/>
              <w:left w:val="nil"/>
              <w:bottom w:val="nil"/>
              <w:right w:val="nil"/>
            </w:tcBorders>
            <w:shd w:val="clear" w:color="auto" w:fill="auto"/>
            <w:vAlign w:val="center"/>
          </w:tcPr>
          <w:p w14:paraId="105035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确认月度库存策略规则</w:t>
            </w:r>
          </w:p>
        </w:tc>
        <w:tc>
          <w:tcPr>
            <w:tcW w:w="966" w:type="dxa"/>
            <w:tcBorders>
              <w:top w:val="nil"/>
              <w:left w:val="nil"/>
              <w:bottom w:val="nil"/>
              <w:right w:val="nil"/>
            </w:tcBorders>
            <w:shd w:val="clear" w:color="auto" w:fill="auto"/>
            <w:vAlign w:val="center"/>
          </w:tcPr>
          <w:p w14:paraId="5B8931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9A64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C076D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成品库存策略形成并具备评审条件后</w:t>
            </w:r>
          </w:p>
        </w:tc>
        <w:tc>
          <w:tcPr>
            <w:tcW w:w="1406" w:type="dxa"/>
            <w:tcBorders>
              <w:top w:val="nil"/>
              <w:left w:val="nil"/>
              <w:bottom w:val="nil"/>
              <w:right w:val="nil"/>
            </w:tcBorders>
            <w:shd w:val="clear" w:color="auto" w:fill="auto"/>
            <w:vAlign w:val="center"/>
          </w:tcPr>
          <w:p w14:paraId="06F05C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系统校验必要参数、容量和补充量范围；未确认时退回调整；确认通过后继续处理。</w:t>
            </w:r>
          </w:p>
        </w:tc>
        <w:tc>
          <w:tcPr>
            <w:tcW w:w="1088" w:type="dxa"/>
            <w:tcBorders>
              <w:top w:val="nil"/>
              <w:left w:val="nil"/>
              <w:bottom w:val="nil"/>
              <w:right w:val="nil"/>
            </w:tcBorders>
            <w:shd w:val="clear" w:color="auto" w:fill="auto"/>
            <w:vAlign w:val="center"/>
          </w:tcPr>
          <w:p w14:paraId="40D005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6157B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0A0D87">
        <w:trPr>
          <w:cantSplit/>
          <w:trHeight w:val="0" w:hRule="atLeast"/>
          <w:jc w:val="center"/>
        </w:trPr>
        <w:tc>
          <w:tcPr>
            <w:tcW w:w="2944" w:type="dxa"/>
            <w:tcBorders>
              <w:top w:val="nil"/>
              <w:left w:val="nil"/>
              <w:bottom w:val="nil"/>
              <w:right w:val="nil"/>
            </w:tcBorders>
            <w:shd w:val="clear" w:color="auto" w:fill="auto"/>
            <w:vAlign w:val="center"/>
          </w:tcPr>
          <w:p w14:paraId="42D229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P-ZLTC-SCOS-KCYH-001-50-001</w:t>
            </w:r>
          </w:p>
        </w:tc>
        <w:tc>
          <w:tcPr>
            <w:tcW w:w="945" w:type="dxa"/>
            <w:tcBorders>
              <w:top w:val="nil"/>
              <w:left w:val="nil"/>
              <w:bottom w:val="nil"/>
              <w:right w:val="nil"/>
            </w:tcBorders>
            <w:shd w:val="clear" w:color="auto" w:fill="auto"/>
            <w:vAlign w:val="center"/>
          </w:tcPr>
          <w:p w14:paraId="5154D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审批月度库存策略规则</w:t>
            </w:r>
          </w:p>
        </w:tc>
        <w:tc>
          <w:tcPr>
            <w:tcW w:w="966" w:type="dxa"/>
            <w:tcBorders>
              <w:top w:val="nil"/>
              <w:left w:val="nil"/>
              <w:bottom w:val="nil"/>
              <w:right w:val="nil"/>
            </w:tcBorders>
            <w:shd w:val="clear" w:color="auto" w:fill="auto"/>
            <w:vAlign w:val="center"/>
          </w:tcPr>
          <w:p w14:paraId="0836D9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8F6DE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4425CF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确认月度库存策略通过时</w:t>
            </w:r>
          </w:p>
        </w:tc>
        <w:tc>
          <w:tcPr>
            <w:tcW w:w="1406" w:type="dxa"/>
            <w:tcBorders>
              <w:top w:val="nil"/>
              <w:left w:val="nil"/>
              <w:bottom w:val="nil"/>
              <w:right w:val="nil"/>
            </w:tcBorders>
            <w:shd w:val="clear" w:color="auto" w:fill="auto"/>
            <w:vAlign w:val="center"/>
          </w:tcPr>
          <w:p w14:paraId="62B30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审核策略合理性及关键约束；审批未通过时退回补充或修改；审批通过后继续处理。</w:t>
            </w:r>
          </w:p>
        </w:tc>
        <w:tc>
          <w:tcPr>
            <w:tcW w:w="1088" w:type="dxa"/>
            <w:tcBorders>
              <w:top w:val="nil"/>
              <w:left w:val="nil"/>
              <w:bottom w:val="nil"/>
              <w:right w:val="nil"/>
            </w:tcBorders>
            <w:shd w:val="clear" w:color="auto" w:fill="auto"/>
            <w:vAlign w:val="center"/>
          </w:tcPr>
          <w:p w14:paraId="613E6F5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E5C9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41546E">
        <w:trPr>
          <w:cantSplit/>
          <w:trHeight w:val="0" w:hRule="atLeast"/>
          <w:jc w:val="center"/>
        </w:trPr>
        <w:tc>
          <w:tcPr>
            <w:tcW w:w="2944" w:type="dxa"/>
            <w:tcBorders>
              <w:top w:val="nil"/>
              <w:left w:val="nil"/>
              <w:bottom w:val="nil"/>
              <w:right w:val="nil"/>
            </w:tcBorders>
            <w:shd w:val="clear" w:color="auto" w:fill="auto"/>
            <w:vAlign w:val="center"/>
          </w:tcPr>
          <w:p w14:paraId="6EB7A01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P-ZLTC-SCOS-KCYH-001-60-001</w:t>
            </w:r>
          </w:p>
        </w:tc>
        <w:tc>
          <w:tcPr>
            <w:tcW w:w="945" w:type="dxa"/>
            <w:tcBorders>
              <w:top w:val="nil"/>
              <w:left w:val="nil"/>
              <w:bottom w:val="nil"/>
              <w:right w:val="nil"/>
            </w:tcBorders>
            <w:shd w:val="clear" w:color="auto" w:fill="auto"/>
            <w:vAlign w:val="center"/>
          </w:tcPr>
          <w:p w14:paraId="356CFD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发布月度库存策略与总补充计划规则</w:t>
            </w:r>
          </w:p>
        </w:tc>
        <w:tc>
          <w:tcPr>
            <w:tcW w:w="966" w:type="dxa"/>
            <w:tcBorders>
              <w:top w:val="nil"/>
              <w:left w:val="nil"/>
              <w:bottom w:val="nil"/>
              <w:right w:val="nil"/>
            </w:tcBorders>
            <w:shd w:val="clear" w:color="auto" w:fill="auto"/>
            <w:vAlign w:val="center"/>
          </w:tcPr>
          <w:p w14:paraId="2892BE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59835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687886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审批月度库存策略通过时</w:t>
            </w:r>
          </w:p>
        </w:tc>
        <w:tc>
          <w:tcPr>
            <w:tcW w:w="1406" w:type="dxa"/>
            <w:tcBorders>
              <w:top w:val="nil"/>
              <w:left w:val="nil"/>
              <w:bottom w:val="nil"/>
              <w:right w:val="nil"/>
            </w:tcBorders>
            <w:shd w:val="clear" w:color="auto" w:fill="auto"/>
            <w:vAlign w:val="center"/>
          </w:tcPr>
          <w:p w14:paraId="419D54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策略发布后在月内作为日度库存监控基准；发布失败时保留待发布状态并支持重试。</w:t>
            </w:r>
          </w:p>
        </w:tc>
        <w:tc>
          <w:tcPr>
            <w:tcW w:w="1088" w:type="dxa"/>
            <w:tcBorders>
              <w:top w:val="nil"/>
              <w:left w:val="nil"/>
              <w:bottom w:val="nil"/>
              <w:right w:val="nil"/>
            </w:tcBorders>
            <w:shd w:val="clear" w:color="auto" w:fill="auto"/>
            <w:vAlign w:val="center"/>
          </w:tcPr>
          <w:p w14:paraId="2ECAB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已发布的安全库存、再订货点、目标库存、月度总补充计划及版本</w:t>
            </w:r>
          </w:p>
        </w:tc>
        <w:tc>
          <w:tcPr>
            <w:tcW w:w="1460" w:type="dxa"/>
            <w:tcBorders>
              <w:top w:val="nil"/>
              <w:left w:val="nil"/>
              <w:bottom w:val="nil"/>
              <w:right w:val="nil"/>
            </w:tcBorders>
            <w:shd w:val="clear" w:color="auto" w:fill="auto"/>
            <w:vAlign w:val="center"/>
          </w:tcPr>
          <w:p w14:paraId="6989FB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65DF43C">
        <w:trPr>
          <w:cantSplit/>
          <w:trHeight w:val="0" w:hRule="atLeast"/>
          <w:jc w:val="center"/>
        </w:trPr>
        <w:tc>
          <w:tcPr>
            <w:tcW w:w="2944" w:type="dxa"/>
            <w:tcBorders>
              <w:top w:val="nil"/>
              <w:left w:val="nil"/>
              <w:bottom w:val="nil"/>
              <w:right w:val="nil"/>
            </w:tcBorders>
            <w:shd w:val="clear" w:color="auto" w:fill="auto"/>
            <w:vAlign w:val="center"/>
          </w:tcPr>
          <w:p w14:paraId="7DB45D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P-ZLTC-SCOS-KCYH-001-70-001</w:t>
            </w:r>
          </w:p>
        </w:tc>
        <w:tc>
          <w:tcPr>
            <w:tcW w:w="945" w:type="dxa"/>
            <w:tcBorders>
              <w:top w:val="nil"/>
              <w:left w:val="nil"/>
              <w:bottom w:val="nil"/>
              <w:right w:val="nil"/>
            </w:tcBorders>
            <w:shd w:val="clear" w:color="auto" w:fill="auto"/>
            <w:vAlign w:val="center"/>
          </w:tcPr>
          <w:p w14:paraId="4E105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进入周度计划分解规则</w:t>
            </w:r>
          </w:p>
        </w:tc>
        <w:tc>
          <w:tcPr>
            <w:tcW w:w="966" w:type="dxa"/>
            <w:tcBorders>
              <w:top w:val="nil"/>
              <w:left w:val="nil"/>
              <w:bottom w:val="nil"/>
              <w:right w:val="nil"/>
            </w:tcBorders>
            <w:shd w:val="clear" w:color="auto" w:fill="auto"/>
            <w:vAlign w:val="center"/>
          </w:tcPr>
          <w:p w14:paraId="6EF129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3F5DB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12C228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安全库存、再订货点、目标库存、月度总补充计划及版本形成后</w:t>
            </w:r>
          </w:p>
        </w:tc>
        <w:tc>
          <w:tcPr>
            <w:tcW w:w="1406" w:type="dxa"/>
            <w:tcBorders>
              <w:top w:val="nil"/>
              <w:left w:val="nil"/>
              <w:bottom w:val="nil"/>
              <w:right w:val="nil"/>
            </w:tcBorders>
            <w:shd w:val="clear" w:color="auto" w:fill="auto"/>
            <w:vAlign w:val="center"/>
          </w:tcPr>
          <w:p w14:paraId="1AFAABF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将月度总补充量作为总量控制口径；月度策略或总量未发布时，不得作为正式周计划基准。</w:t>
            </w:r>
          </w:p>
        </w:tc>
        <w:tc>
          <w:tcPr>
            <w:tcW w:w="1088" w:type="dxa"/>
            <w:tcBorders>
              <w:top w:val="nil"/>
              <w:left w:val="nil"/>
              <w:bottom w:val="nil"/>
              <w:right w:val="nil"/>
            </w:tcBorders>
            <w:shd w:val="clear" w:color="auto" w:fill="auto"/>
            <w:vAlign w:val="center"/>
          </w:tcPr>
          <w:p w14:paraId="30822F5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周度计划分解基准</w:t>
            </w:r>
          </w:p>
        </w:tc>
        <w:tc>
          <w:tcPr>
            <w:tcW w:w="1460" w:type="dxa"/>
            <w:tcBorders>
              <w:top w:val="nil"/>
              <w:left w:val="nil"/>
              <w:bottom w:val="nil"/>
              <w:right w:val="nil"/>
            </w:tcBorders>
            <w:shd w:val="clear" w:color="auto" w:fill="auto"/>
            <w:vAlign w:val="center"/>
          </w:tcPr>
          <w:p w14:paraId="4A40426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152739F">
        <w:trPr>
          <w:cantSplit/>
          <w:trHeight w:val="0" w:hRule="atLeast"/>
          <w:jc w:val="center"/>
        </w:trPr>
        <w:tc>
          <w:tcPr>
            <w:tcW w:w="2944" w:type="dxa"/>
            <w:tcBorders>
              <w:top w:val="nil"/>
              <w:left w:val="nil"/>
              <w:bottom w:val="nil"/>
              <w:right w:val="nil"/>
            </w:tcBorders>
            <w:shd w:val="clear" w:color="auto" w:fill="auto"/>
            <w:vAlign w:val="center"/>
          </w:tcPr>
          <w:p w14:paraId="608226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P-ZLTC-SCOS-KCYH-002-10-001</w:t>
            </w:r>
          </w:p>
        </w:tc>
        <w:tc>
          <w:tcPr>
            <w:tcW w:w="945" w:type="dxa"/>
            <w:tcBorders>
              <w:top w:val="nil"/>
              <w:left w:val="nil"/>
              <w:bottom w:val="nil"/>
              <w:right w:val="nil"/>
            </w:tcBorders>
            <w:shd w:val="clear" w:color="auto" w:fill="auto"/>
            <w:vAlign w:val="center"/>
          </w:tcPr>
          <w:p w14:paraId="0ECC9B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汇集周计划输入数据规则</w:t>
            </w:r>
          </w:p>
        </w:tc>
        <w:tc>
          <w:tcPr>
            <w:tcW w:w="966" w:type="dxa"/>
            <w:tcBorders>
              <w:top w:val="nil"/>
              <w:left w:val="nil"/>
              <w:bottom w:val="nil"/>
              <w:right w:val="nil"/>
            </w:tcBorders>
            <w:shd w:val="clear" w:color="auto" w:fill="auto"/>
            <w:vAlign w:val="center"/>
          </w:tcPr>
          <w:p w14:paraId="3CA087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F4ADC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45844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每周五开始制定周度生产补充计划，一次性面向未来4周进行计算时</w:t>
            </w:r>
          </w:p>
        </w:tc>
        <w:tc>
          <w:tcPr>
            <w:tcW w:w="1406" w:type="dxa"/>
            <w:tcBorders>
              <w:top w:val="nil"/>
              <w:left w:val="nil"/>
              <w:bottom w:val="nil"/>
              <w:right w:val="nil"/>
            </w:tcBorders>
            <w:shd w:val="clear" w:color="auto" w:fill="auto"/>
            <w:vAlign w:val="center"/>
          </w:tcPr>
          <w:p w14:paraId="04EC07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通过统一数据服务层提供本次计算所需的最新业务数据；数据缺失、过期或状态冲突时，暂不生成正式建议并提示人工核实。</w:t>
            </w:r>
          </w:p>
        </w:tc>
        <w:tc>
          <w:tcPr>
            <w:tcW w:w="1088" w:type="dxa"/>
            <w:tcBorders>
              <w:top w:val="nil"/>
              <w:left w:val="nil"/>
              <w:bottom w:val="nil"/>
              <w:right w:val="nil"/>
            </w:tcBorders>
            <w:shd w:val="clear" w:color="auto" w:fill="auto"/>
            <w:vAlign w:val="center"/>
          </w:tcPr>
          <w:p w14:paraId="3DAFB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未来4周生产补充计算数据集</w:t>
            </w:r>
          </w:p>
        </w:tc>
        <w:tc>
          <w:tcPr>
            <w:tcW w:w="1460" w:type="dxa"/>
            <w:tcBorders>
              <w:top w:val="nil"/>
              <w:left w:val="nil"/>
              <w:bottom w:val="nil"/>
              <w:right w:val="nil"/>
            </w:tcBorders>
            <w:shd w:val="clear" w:color="auto" w:fill="auto"/>
            <w:vAlign w:val="center"/>
          </w:tcPr>
          <w:p w14:paraId="06A043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171F0C">
        <w:trPr>
          <w:cantSplit/>
          <w:trHeight w:val="0" w:hRule="atLeast"/>
          <w:jc w:val="center"/>
        </w:trPr>
        <w:tc>
          <w:tcPr>
            <w:tcW w:w="2944" w:type="dxa"/>
            <w:tcBorders>
              <w:top w:val="nil"/>
              <w:left w:val="nil"/>
              <w:bottom w:val="nil"/>
              <w:right w:val="nil"/>
            </w:tcBorders>
            <w:shd w:val="clear" w:color="auto" w:fill="auto"/>
            <w:vAlign w:val="center"/>
          </w:tcPr>
          <w:p w14:paraId="60FADD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P-ZLTC-SCOS-KCYH-002-20-001</w:t>
            </w:r>
          </w:p>
        </w:tc>
        <w:tc>
          <w:tcPr>
            <w:tcW w:w="945" w:type="dxa"/>
            <w:tcBorders>
              <w:top w:val="nil"/>
              <w:left w:val="nil"/>
              <w:bottom w:val="nil"/>
              <w:right w:val="nil"/>
            </w:tcBorders>
            <w:shd w:val="clear" w:color="auto" w:fill="auto"/>
            <w:vAlign w:val="center"/>
          </w:tcPr>
          <w:p w14:paraId="30FE55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生成未来4周日度生产补充量规则</w:t>
            </w:r>
          </w:p>
        </w:tc>
        <w:tc>
          <w:tcPr>
            <w:tcW w:w="966" w:type="dxa"/>
            <w:tcBorders>
              <w:top w:val="nil"/>
              <w:left w:val="nil"/>
              <w:bottom w:val="nil"/>
              <w:right w:val="nil"/>
            </w:tcBorders>
            <w:shd w:val="clear" w:color="auto" w:fill="auto"/>
            <w:vAlign w:val="center"/>
          </w:tcPr>
          <w:p w14:paraId="5E1DF9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50B4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4BE82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未来4周生产补充计算数据集形成后</w:t>
            </w:r>
          </w:p>
        </w:tc>
        <w:tc>
          <w:tcPr>
            <w:tcW w:w="1406" w:type="dxa"/>
            <w:tcBorders>
              <w:top w:val="nil"/>
              <w:left w:val="nil"/>
              <w:bottom w:val="nil"/>
              <w:right w:val="nil"/>
            </w:tcBorders>
            <w:shd w:val="clear" w:color="auto" w:fill="auto"/>
            <w:vAlign w:val="center"/>
          </w:tcPr>
          <w:p w14:paraId="53D34D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每周五一次性向后计算4周；周界严格采用周六至下周五；某日无需新增补充时，日度生产补充量可为0。</w:t>
            </w:r>
          </w:p>
        </w:tc>
        <w:tc>
          <w:tcPr>
            <w:tcW w:w="1088" w:type="dxa"/>
            <w:tcBorders>
              <w:top w:val="nil"/>
              <w:left w:val="nil"/>
              <w:bottom w:val="nil"/>
              <w:right w:val="nil"/>
            </w:tcBorders>
            <w:shd w:val="clear" w:color="auto" w:fill="auto"/>
            <w:vAlign w:val="center"/>
          </w:tcPr>
          <w:p w14:paraId="4D5AA1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各成品未来4周的日度生产补充量</w:t>
            </w:r>
          </w:p>
        </w:tc>
        <w:tc>
          <w:tcPr>
            <w:tcW w:w="1460" w:type="dxa"/>
            <w:tcBorders>
              <w:top w:val="nil"/>
              <w:left w:val="nil"/>
              <w:bottom w:val="nil"/>
              <w:right w:val="nil"/>
            </w:tcBorders>
            <w:shd w:val="clear" w:color="auto" w:fill="auto"/>
            <w:vAlign w:val="center"/>
          </w:tcPr>
          <w:p w14:paraId="04BE9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DCCB8A0">
        <w:trPr>
          <w:cantSplit/>
          <w:trHeight w:val="0" w:hRule="atLeast"/>
          <w:jc w:val="center"/>
        </w:trPr>
        <w:tc>
          <w:tcPr>
            <w:tcW w:w="2944" w:type="dxa"/>
            <w:tcBorders>
              <w:top w:val="nil"/>
              <w:left w:val="nil"/>
              <w:bottom w:val="nil"/>
              <w:right w:val="nil"/>
            </w:tcBorders>
            <w:shd w:val="clear" w:color="auto" w:fill="auto"/>
            <w:vAlign w:val="center"/>
          </w:tcPr>
          <w:p w14:paraId="6B7AF0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P-ZLTC-SCOS-KCYH-002-30-001</w:t>
            </w:r>
          </w:p>
        </w:tc>
        <w:tc>
          <w:tcPr>
            <w:tcW w:w="945" w:type="dxa"/>
            <w:tcBorders>
              <w:top w:val="nil"/>
              <w:left w:val="nil"/>
              <w:bottom w:val="nil"/>
              <w:right w:val="nil"/>
            </w:tcBorders>
            <w:shd w:val="clear" w:color="auto" w:fill="auto"/>
            <w:vAlign w:val="center"/>
          </w:tcPr>
          <w:p w14:paraId="72A0DB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汇总4周周度生产补充建议规则</w:t>
            </w:r>
          </w:p>
        </w:tc>
        <w:tc>
          <w:tcPr>
            <w:tcW w:w="966" w:type="dxa"/>
            <w:tcBorders>
              <w:top w:val="nil"/>
              <w:left w:val="nil"/>
              <w:bottom w:val="nil"/>
              <w:right w:val="nil"/>
            </w:tcBorders>
            <w:shd w:val="clear" w:color="auto" w:fill="auto"/>
            <w:vAlign w:val="center"/>
          </w:tcPr>
          <w:p w14:paraId="32FB27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6D2A3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717AF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各成品未来4周的日度生产补充量形成后</w:t>
            </w:r>
          </w:p>
        </w:tc>
        <w:tc>
          <w:tcPr>
            <w:tcW w:w="1406" w:type="dxa"/>
            <w:tcBorders>
              <w:top w:val="nil"/>
              <w:left w:val="nil"/>
              <w:bottom w:val="nil"/>
              <w:right w:val="nil"/>
            </w:tcBorders>
            <w:shd w:val="clear" w:color="auto" w:fill="auto"/>
            <w:vAlign w:val="center"/>
          </w:tcPr>
          <w:p w14:paraId="26A5EF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对每个“周六至下周五”周期内的日度生产补充量进行加和；日度结果缺失或周期归属异常时，不生成对应周的正式汇总结果并提示校验。</w:t>
            </w:r>
          </w:p>
        </w:tc>
        <w:tc>
          <w:tcPr>
            <w:tcW w:w="1088" w:type="dxa"/>
            <w:tcBorders>
              <w:top w:val="nil"/>
              <w:left w:val="nil"/>
              <w:bottom w:val="nil"/>
              <w:right w:val="nil"/>
            </w:tcBorders>
            <w:shd w:val="clear" w:color="auto" w:fill="auto"/>
            <w:vAlign w:val="center"/>
          </w:tcPr>
          <w:p w14:paraId="40EE34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未来4周各成品的周度生产补充建议</w:t>
            </w:r>
          </w:p>
        </w:tc>
        <w:tc>
          <w:tcPr>
            <w:tcW w:w="1460" w:type="dxa"/>
            <w:tcBorders>
              <w:top w:val="nil"/>
              <w:left w:val="nil"/>
              <w:bottom w:val="nil"/>
              <w:right w:val="nil"/>
            </w:tcBorders>
            <w:shd w:val="clear" w:color="auto" w:fill="auto"/>
            <w:vAlign w:val="center"/>
          </w:tcPr>
          <w:p w14:paraId="0B2940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EA71BC">
        <w:trPr>
          <w:cantSplit/>
          <w:trHeight w:val="0" w:hRule="atLeast"/>
          <w:jc w:val="center"/>
        </w:trPr>
        <w:tc>
          <w:tcPr>
            <w:tcW w:w="2944" w:type="dxa"/>
            <w:tcBorders>
              <w:top w:val="nil"/>
              <w:left w:val="nil"/>
              <w:bottom w:val="nil"/>
              <w:right w:val="nil"/>
            </w:tcBorders>
            <w:shd w:val="clear" w:color="auto" w:fill="auto"/>
            <w:vAlign w:val="center"/>
          </w:tcPr>
          <w:p w14:paraId="09AB68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P-ZLTC-SCOS-KCYH-002-40-001</w:t>
            </w:r>
          </w:p>
        </w:tc>
        <w:tc>
          <w:tcPr>
            <w:tcW w:w="945" w:type="dxa"/>
            <w:tcBorders>
              <w:top w:val="nil"/>
              <w:left w:val="nil"/>
              <w:bottom w:val="nil"/>
              <w:right w:val="nil"/>
            </w:tcBorders>
            <w:shd w:val="clear" w:color="auto" w:fill="auto"/>
            <w:vAlign w:val="center"/>
          </w:tcPr>
          <w:p w14:paraId="54A1F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评审4周周度生产补充建议规则</w:t>
            </w:r>
          </w:p>
        </w:tc>
        <w:tc>
          <w:tcPr>
            <w:tcW w:w="966" w:type="dxa"/>
            <w:tcBorders>
              <w:top w:val="nil"/>
              <w:left w:val="nil"/>
              <w:bottom w:val="nil"/>
              <w:right w:val="nil"/>
            </w:tcBorders>
            <w:shd w:val="clear" w:color="auto" w:fill="auto"/>
            <w:vAlign w:val="center"/>
          </w:tcPr>
          <w:p w14:paraId="163274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9F3F1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FCE8C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未来4周各成品的周度生产补充建议形成并具备评审条件后</w:t>
            </w:r>
          </w:p>
        </w:tc>
        <w:tc>
          <w:tcPr>
            <w:tcW w:w="1406" w:type="dxa"/>
            <w:tcBorders>
              <w:top w:val="nil"/>
              <w:left w:val="nil"/>
              <w:bottom w:val="nil"/>
              <w:right w:val="nil"/>
            </w:tcBorders>
            <w:shd w:val="clear" w:color="auto" w:fill="auto"/>
            <w:vAlign w:val="center"/>
          </w:tcPr>
          <w:p w14:paraId="63703AE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复核未来4周补货总量、各周及每日分配、月度剩余可补充量和已排程安排；业务条件或建议数量需要修改时，可重新计算日度生产补充量。</w:t>
            </w:r>
          </w:p>
        </w:tc>
        <w:tc>
          <w:tcPr>
            <w:tcW w:w="1088" w:type="dxa"/>
            <w:tcBorders>
              <w:top w:val="nil"/>
              <w:left w:val="nil"/>
              <w:bottom w:val="nil"/>
              <w:right w:val="nil"/>
            </w:tcBorders>
            <w:shd w:val="clear" w:color="auto" w:fill="auto"/>
            <w:vAlign w:val="center"/>
          </w:tcPr>
          <w:p w14:paraId="2059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拟定4周周度生产补充建议</w:t>
            </w:r>
          </w:p>
        </w:tc>
        <w:tc>
          <w:tcPr>
            <w:tcW w:w="1460" w:type="dxa"/>
            <w:tcBorders>
              <w:top w:val="nil"/>
              <w:left w:val="nil"/>
              <w:bottom w:val="nil"/>
              <w:right w:val="nil"/>
            </w:tcBorders>
            <w:shd w:val="clear" w:color="auto" w:fill="auto"/>
            <w:vAlign w:val="center"/>
          </w:tcPr>
          <w:p w14:paraId="62D97C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4C1834">
        <w:trPr>
          <w:cantSplit/>
          <w:trHeight w:val="0" w:hRule="atLeast"/>
          <w:jc w:val="center"/>
        </w:trPr>
        <w:tc>
          <w:tcPr>
            <w:tcW w:w="2944" w:type="dxa"/>
            <w:tcBorders>
              <w:top w:val="nil"/>
              <w:left w:val="nil"/>
              <w:bottom w:val="nil"/>
              <w:right w:val="nil"/>
            </w:tcBorders>
            <w:shd w:val="clear" w:color="auto" w:fill="auto"/>
            <w:vAlign w:val="center"/>
          </w:tcPr>
          <w:p w14:paraId="4EEA51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P-ZLTC-SCOS-KCYH-002-50-001</w:t>
            </w:r>
          </w:p>
        </w:tc>
        <w:tc>
          <w:tcPr>
            <w:tcW w:w="945" w:type="dxa"/>
            <w:tcBorders>
              <w:top w:val="nil"/>
              <w:left w:val="nil"/>
              <w:bottom w:val="nil"/>
              <w:right w:val="nil"/>
            </w:tcBorders>
            <w:shd w:val="clear" w:color="auto" w:fill="auto"/>
            <w:vAlign w:val="center"/>
          </w:tcPr>
          <w:p w14:paraId="297CAC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确认周度生产补充建议规则</w:t>
            </w:r>
          </w:p>
        </w:tc>
        <w:tc>
          <w:tcPr>
            <w:tcW w:w="966" w:type="dxa"/>
            <w:tcBorders>
              <w:top w:val="nil"/>
              <w:left w:val="nil"/>
              <w:bottom w:val="nil"/>
              <w:right w:val="nil"/>
            </w:tcBorders>
            <w:shd w:val="clear" w:color="auto" w:fill="auto"/>
            <w:vAlign w:val="center"/>
          </w:tcPr>
          <w:p w14:paraId="26CC641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A8780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0C7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4周周度生产补充建议形成并具备评审条件后</w:t>
            </w:r>
          </w:p>
        </w:tc>
        <w:tc>
          <w:tcPr>
            <w:tcW w:w="1406" w:type="dxa"/>
            <w:tcBorders>
              <w:top w:val="nil"/>
              <w:left w:val="nil"/>
              <w:bottom w:val="nil"/>
              <w:right w:val="nil"/>
            </w:tcBorders>
            <w:shd w:val="clear" w:color="auto" w:fill="auto"/>
            <w:vAlign w:val="center"/>
          </w:tcPr>
          <w:p w14:paraId="4B3C7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校验4周汇总结果与日度明细一致，且已排程量未被重复计入；未确认时退回调整；确认通过后继续处理。</w:t>
            </w:r>
          </w:p>
        </w:tc>
        <w:tc>
          <w:tcPr>
            <w:tcW w:w="1088" w:type="dxa"/>
            <w:tcBorders>
              <w:top w:val="nil"/>
              <w:left w:val="nil"/>
              <w:bottom w:val="nil"/>
              <w:right w:val="nil"/>
            </w:tcBorders>
            <w:shd w:val="clear" w:color="auto" w:fill="auto"/>
            <w:vAlign w:val="center"/>
          </w:tcPr>
          <w:p w14:paraId="203B3B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库存侧确认结论</w:t>
            </w:r>
          </w:p>
        </w:tc>
        <w:tc>
          <w:tcPr>
            <w:tcW w:w="1460" w:type="dxa"/>
            <w:tcBorders>
              <w:top w:val="nil"/>
              <w:left w:val="nil"/>
              <w:bottom w:val="nil"/>
              <w:right w:val="nil"/>
            </w:tcBorders>
            <w:shd w:val="clear" w:color="auto" w:fill="auto"/>
            <w:vAlign w:val="center"/>
          </w:tcPr>
          <w:p w14:paraId="4078BC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31EEA6">
        <w:trPr>
          <w:cantSplit/>
          <w:trHeight w:val="0" w:hRule="atLeast"/>
          <w:jc w:val="center"/>
        </w:trPr>
        <w:tc>
          <w:tcPr>
            <w:tcW w:w="2944" w:type="dxa"/>
            <w:tcBorders>
              <w:top w:val="nil"/>
              <w:left w:val="nil"/>
              <w:bottom w:val="nil"/>
              <w:right w:val="nil"/>
            </w:tcBorders>
            <w:shd w:val="clear" w:color="auto" w:fill="auto"/>
            <w:vAlign w:val="center"/>
          </w:tcPr>
          <w:p w14:paraId="6DDE2B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P-ZLTC-SCOS-KCYH-002-60-001</w:t>
            </w:r>
          </w:p>
        </w:tc>
        <w:tc>
          <w:tcPr>
            <w:tcW w:w="945" w:type="dxa"/>
            <w:tcBorders>
              <w:top w:val="nil"/>
              <w:left w:val="nil"/>
              <w:bottom w:val="nil"/>
              <w:right w:val="nil"/>
            </w:tcBorders>
            <w:shd w:val="clear" w:color="auto" w:fill="auto"/>
            <w:vAlign w:val="center"/>
          </w:tcPr>
          <w:p w14:paraId="74C482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确认生产排程承接安排规则</w:t>
            </w:r>
          </w:p>
        </w:tc>
        <w:tc>
          <w:tcPr>
            <w:tcW w:w="966" w:type="dxa"/>
            <w:tcBorders>
              <w:top w:val="nil"/>
              <w:left w:val="nil"/>
              <w:bottom w:val="nil"/>
              <w:right w:val="nil"/>
            </w:tcBorders>
            <w:shd w:val="clear" w:color="auto" w:fill="auto"/>
            <w:vAlign w:val="center"/>
          </w:tcPr>
          <w:p w14:paraId="25289A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1A633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0FBF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确认周度生产补充建议通过时</w:t>
            </w:r>
          </w:p>
        </w:tc>
        <w:tc>
          <w:tcPr>
            <w:tcW w:w="1406" w:type="dxa"/>
            <w:tcBorders>
              <w:top w:val="nil"/>
              <w:left w:val="nil"/>
              <w:bottom w:val="nil"/>
              <w:right w:val="nil"/>
            </w:tcBorders>
            <w:shd w:val="clear" w:color="auto" w:fill="auto"/>
            <w:vAlign w:val="center"/>
          </w:tcPr>
          <w:p w14:paraId="71C185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核对产能、设备、原料、工艺及已确认任务，判断补货建议能否纳入生产排程；无法承接时，应明确受影响周次、可承接数量及约束原因。</w:t>
            </w:r>
          </w:p>
        </w:tc>
        <w:tc>
          <w:tcPr>
            <w:tcW w:w="1088" w:type="dxa"/>
            <w:tcBorders>
              <w:top w:val="nil"/>
              <w:left w:val="nil"/>
              <w:bottom w:val="nil"/>
              <w:right w:val="nil"/>
            </w:tcBorders>
            <w:shd w:val="clear" w:color="auto" w:fill="auto"/>
            <w:vAlign w:val="center"/>
          </w:tcPr>
          <w:p w14:paraId="7A5328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生产排程承接意见</w:t>
            </w:r>
          </w:p>
        </w:tc>
        <w:tc>
          <w:tcPr>
            <w:tcW w:w="1460" w:type="dxa"/>
            <w:tcBorders>
              <w:top w:val="nil"/>
              <w:left w:val="nil"/>
              <w:bottom w:val="nil"/>
              <w:right w:val="nil"/>
            </w:tcBorders>
            <w:shd w:val="clear" w:color="auto" w:fill="auto"/>
            <w:vAlign w:val="center"/>
          </w:tcPr>
          <w:p w14:paraId="0F669A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B4DF3E">
        <w:trPr>
          <w:cantSplit/>
          <w:trHeight w:val="0" w:hRule="atLeast"/>
          <w:jc w:val="center"/>
        </w:trPr>
        <w:tc>
          <w:tcPr>
            <w:tcW w:w="2944" w:type="dxa"/>
            <w:tcBorders>
              <w:top w:val="nil"/>
              <w:left w:val="nil"/>
              <w:bottom w:val="nil"/>
              <w:right w:val="nil"/>
            </w:tcBorders>
            <w:shd w:val="clear" w:color="auto" w:fill="auto"/>
            <w:vAlign w:val="center"/>
          </w:tcPr>
          <w:p w14:paraId="2B7886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P-ZLTC-SCOS-KCYH-002-70-001</w:t>
            </w:r>
          </w:p>
        </w:tc>
        <w:tc>
          <w:tcPr>
            <w:tcW w:w="945" w:type="dxa"/>
            <w:tcBorders>
              <w:top w:val="nil"/>
              <w:left w:val="nil"/>
              <w:bottom w:val="nil"/>
              <w:right w:val="nil"/>
            </w:tcBorders>
            <w:shd w:val="clear" w:color="auto" w:fill="auto"/>
            <w:vAlign w:val="center"/>
          </w:tcPr>
          <w:p w14:paraId="43CD5B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确认纳入生产排程规则</w:t>
            </w:r>
          </w:p>
        </w:tc>
        <w:tc>
          <w:tcPr>
            <w:tcW w:w="966" w:type="dxa"/>
            <w:tcBorders>
              <w:top w:val="nil"/>
              <w:left w:val="nil"/>
              <w:bottom w:val="nil"/>
              <w:right w:val="nil"/>
            </w:tcBorders>
            <w:shd w:val="clear" w:color="auto" w:fill="auto"/>
            <w:vAlign w:val="center"/>
          </w:tcPr>
          <w:p w14:paraId="4F9DA5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34BFC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6BA32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生产排程承接意见形成并具备评审条件后</w:t>
            </w:r>
          </w:p>
        </w:tc>
        <w:tc>
          <w:tcPr>
            <w:tcW w:w="1406" w:type="dxa"/>
            <w:tcBorders>
              <w:top w:val="nil"/>
              <w:left w:val="nil"/>
              <w:bottom w:val="nil"/>
              <w:right w:val="nil"/>
            </w:tcBorders>
            <w:shd w:val="clear" w:color="auto" w:fill="auto"/>
            <w:vAlign w:val="center"/>
          </w:tcPr>
          <w:p w14:paraId="1E32F6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判断并确认周度生产补充建议是否纳入生产排程；未确认时退回协调承接安排；确认通过后继续处理。</w:t>
            </w:r>
          </w:p>
        </w:tc>
        <w:tc>
          <w:tcPr>
            <w:tcW w:w="1088" w:type="dxa"/>
            <w:tcBorders>
              <w:top w:val="nil"/>
              <w:left w:val="nil"/>
              <w:bottom w:val="nil"/>
              <w:right w:val="nil"/>
            </w:tcBorders>
            <w:shd w:val="clear" w:color="auto" w:fill="auto"/>
            <w:vAlign w:val="center"/>
          </w:tcPr>
          <w:p w14:paraId="4FC54E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纳入生产排程的确认结论</w:t>
            </w:r>
          </w:p>
        </w:tc>
        <w:tc>
          <w:tcPr>
            <w:tcW w:w="1460" w:type="dxa"/>
            <w:tcBorders>
              <w:top w:val="nil"/>
              <w:left w:val="nil"/>
              <w:bottom w:val="nil"/>
              <w:right w:val="nil"/>
            </w:tcBorders>
            <w:shd w:val="clear" w:color="auto" w:fill="auto"/>
            <w:vAlign w:val="center"/>
          </w:tcPr>
          <w:p w14:paraId="7CE7F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A38815">
        <w:trPr>
          <w:cantSplit/>
          <w:trHeight w:val="0" w:hRule="atLeast"/>
          <w:jc w:val="center"/>
        </w:trPr>
        <w:tc>
          <w:tcPr>
            <w:tcW w:w="2944" w:type="dxa"/>
            <w:tcBorders>
              <w:top w:val="nil"/>
              <w:left w:val="nil"/>
              <w:bottom w:val="nil"/>
              <w:right w:val="nil"/>
            </w:tcBorders>
            <w:shd w:val="clear" w:color="auto" w:fill="auto"/>
            <w:vAlign w:val="center"/>
          </w:tcPr>
          <w:p w14:paraId="249CF9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P-ZLTC-SCOS-KCYH-002-80-001</w:t>
            </w:r>
          </w:p>
        </w:tc>
        <w:tc>
          <w:tcPr>
            <w:tcW w:w="945" w:type="dxa"/>
            <w:tcBorders>
              <w:top w:val="nil"/>
              <w:left w:val="nil"/>
              <w:bottom w:val="nil"/>
              <w:right w:val="nil"/>
            </w:tcBorders>
            <w:shd w:val="clear" w:color="auto" w:fill="auto"/>
            <w:vAlign w:val="center"/>
          </w:tcPr>
          <w:p w14:paraId="494FF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锁定第1周生产补充量规则</w:t>
            </w:r>
          </w:p>
        </w:tc>
        <w:tc>
          <w:tcPr>
            <w:tcW w:w="966" w:type="dxa"/>
            <w:tcBorders>
              <w:top w:val="nil"/>
              <w:left w:val="nil"/>
              <w:bottom w:val="nil"/>
              <w:right w:val="nil"/>
            </w:tcBorders>
            <w:shd w:val="clear" w:color="auto" w:fill="auto"/>
            <w:vAlign w:val="center"/>
          </w:tcPr>
          <w:p w14:paraId="19707E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7ACA8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0CA1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确认纳入生产排程通过时</w:t>
            </w:r>
          </w:p>
        </w:tc>
        <w:tc>
          <w:tcPr>
            <w:tcW w:w="1406" w:type="dxa"/>
            <w:tcBorders>
              <w:top w:val="nil"/>
              <w:left w:val="nil"/>
              <w:bottom w:val="nil"/>
              <w:right w:val="nil"/>
            </w:tcBorders>
            <w:shd w:val="clear" w:color="auto" w:fill="auto"/>
            <w:vAlign w:val="center"/>
          </w:tcPr>
          <w:p w14:paraId="290EA7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锁定第1周（周六至下周五）的生产补充量；锁定失败时不进入发布，并保留待锁定状态及失败原因。</w:t>
            </w:r>
          </w:p>
        </w:tc>
        <w:tc>
          <w:tcPr>
            <w:tcW w:w="1088" w:type="dxa"/>
            <w:tcBorders>
              <w:top w:val="nil"/>
              <w:left w:val="nil"/>
              <w:bottom w:val="nil"/>
              <w:right w:val="nil"/>
            </w:tcBorders>
            <w:shd w:val="clear" w:color="auto" w:fill="auto"/>
            <w:vAlign w:val="center"/>
          </w:tcPr>
          <w:p w14:paraId="746723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锁定的第1周生产补充量及锁定状态</w:t>
            </w:r>
          </w:p>
        </w:tc>
        <w:tc>
          <w:tcPr>
            <w:tcW w:w="1460" w:type="dxa"/>
            <w:tcBorders>
              <w:top w:val="nil"/>
              <w:left w:val="nil"/>
              <w:bottom w:val="nil"/>
              <w:right w:val="nil"/>
            </w:tcBorders>
            <w:shd w:val="clear" w:color="auto" w:fill="auto"/>
            <w:vAlign w:val="center"/>
          </w:tcPr>
          <w:p w14:paraId="4D4492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FFB81F6">
        <w:trPr>
          <w:cantSplit/>
          <w:trHeight w:val="0" w:hRule="atLeast"/>
          <w:jc w:val="center"/>
        </w:trPr>
        <w:tc>
          <w:tcPr>
            <w:tcW w:w="2944" w:type="dxa"/>
            <w:tcBorders>
              <w:top w:val="nil"/>
              <w:left w:val="nil"/>
              <w:bottom w:val="nil"/>
              <w:right w:val="nil"/>
            </w:tcBorders>
            <w:shd w:val="clear" w:color="auto" w:fill="auto"/>
            <w:vAlign w:val="center"/>
          </w:tcPr>
          <w:p w14:paraId="3443B6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P-ZLTC-SCOS-KCYH-002-90-001</w:t>
            </w:r>
          </w:p>
        </w:tc>
        <w:tc>
          <w:tcPr>
            <w:tcW w:w="945" w:type="dxa"/>
            <w:tcBorders>
              <w:top w:val="nil"/>
              <w:left w:val="nil"/>
              <w:bottom w:val="nil"/>
              <w:right w:val="nil"/>
            </w:tcBorders>
            <w:shd w:val="clear" w:color="auto" w:fill="auto"/>
            <w:vAlign w:val="center"/>
          </w:tcPr>
          <w:p w14:paraId="347C36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发布周度生产补货计划规则</w:t>
            </w:r>
          </w:p>
        </w:tc>
        <w:tc>
          <w:tcPr>
            <w:tcW w:w="966" w:type="dxa"/>
            <w:tcBorders>
              <w:top w:val="nil"/>
              <w:left w:val="nil"/>
              <w:bottom w:val="nil"/>
              <w:right w:val="nil"/>
            </w:tcBorders>
            <w:shd w:val="clear" w:color="auto" w:fill="auto"/>
            <w:vAlign w:val="center"/>
          </w:tcPr>
          <w:p w14:paraId="192419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CC461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49720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锁定的第1周生产补充量及锁定状态完成确认后</w:t>
            </w:r>
          </w:p>
        </w:tc>
        <w:tc>
          <w:tcPr>
            <w:tcW w:w="1406" w:type="dxa"/>
            <w:tcBorders>
              <w:top w:val="nil"/>
              <w:left w:val="nil"/>
              <w:bottom w:val="nil"/>
              <w:right w:val="nil"/>
            </w:tcBorders>
            <w:shd w:val="clear" w:color="auto" w:fill="auto"/>
            <w:vAlign w:val="center"/>
          </w:tcPr>
          <w:p w14:paraId="1EC11A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发布第1周周度生产补货计划；发布或下发失败时保留待发布状态，已锁定的第1周生产补充量不得修改。</w:t>
            </w:r>
          </w:p>
        </w:tc>
        <w:tc>
          <w:tcPr>
            <w:tcW w:w="1088" w:type="dxa"/>
            <w:tcBorders>
              <w:top w:val="nil"/>
              <w:left w:val="nil"/>
              <w:bottom w:val="nil"/>
              <w:right w:val="nil"/>
            </w:tcBorders>
            <w:shd w:val="clear" w:color="auto" w:fill="auto"/>
            <w:vAlign w:val="center"/>
          </w:tcPr>
          <w:p w14:paraId="22E6B1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已发布的第1周周度生产补货计划、锁定状态及版本</w:t>
            </w:r>
          </w:p>
        </w:tc>
        <w:tc>
          <w:tcPr>
            <w:tcW w:w="1460" w:type="dxa"/>
            <w:tcBorders>
              <w:top w:val="nil"/>
              <w:left w:val="nil"/>
              <w:bottom w:val="nil"/>
              <w:right w:val="nil"/>
            </w:tcBorders>
            <w:shd w:val="clear" w:color="auto" w:fill="auto"/>
            <w:vAlign w:val="center"/>
          </w:tcPr>
          <w:p w14:paraId="5EE086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4597BC">
        <w:trPr>
          <w:cantSplit/>
          <w:trHeight w:val="0" w:hRule="atLeast"/>
          <w:jc w:val="center"/>
        </w:trPr>
        <w:tc>
          <w:tcPr>
            <w:tcW w:w="2944" w:type="dxa"/>
            <w:tcBorders>
              <w:top w:val="nil"/>
              <w:left w:val="nil"/>
              <w:bottom w:val="nil"/>
              <w:right w:val="nil"/>
            </w:tcBorders>
            <w:shd w:val="clear" w:color="auto" w:fill="auto"/>
            <w:vAlign w:val="center"/>
          </w:tcPr>
          <w:p w14:paraId="051B16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P-ZLTC-SCOS-KCYH-003-10-001</w:t>
            </w:r>
          </w:p>
        </w:tc>
        <w:tc>
          <w:tcPr>
            <w:tcW w:w="945" w:type="dxa"/>
            <w:tcBorders>
              <w:top w:val="nil"/>
              <w:left w:val="nil"/>
              <w:bottom w:val="nil"/>
              <w:right w:val="nil"/>
            </w:tcBorders>
            <w:shd w:val="clear" w:color="auto" w:fill="auto"/>
            <w:vAlign w:val="center"/>
          </w:tcPr>
          <w:p w14:paraId="3A30A8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汇集日度库存、需求、4周补充建议与排程状态规则</w:t>
            </w:r>
          </w:p>
        </w:tc>
        <w:tc>
          <w:tcPr>
            <w:tcW w:w="966" w:type="dxa"/>
            <w:tcBorders>
              <w:top w:val="nil"/>
              <w:left w:val="nil"/>
              <w:bottom w:val="nil"/>
              <w:right w:val="nil"/>
            </w:tcBorders>
            <w:shd w:val="clear" w:color="auto" w:fill="auto"/>
            <w:vAlign w:val="center"/>
          </w:tcPr>
          <w:p w14:paraId="4C6E2E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575E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B97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系统每日定时运行时</w:t>
            </w:r>
          </w:p>
        </w:tc>
        <w:tc>
          <w:tcPr>
            <w:tcW w:w="1406" w:type="dxa"/>
            <w:tcBorders>
              <w:top w:val="nil"/>
              <w:left w:val="nil"/>
              <w:bottom w:val="nil"/>
              <w:right w:val="nil"/>
            </w:tcBorders>
            <w:shd w:val="clear" w:color="auto" w:fill="auto"/>
            <w:vAlign w:val="center"/>
          </w:tcPr>
          <w:p w14:paraId="6FCC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汇集库存、需求、未来4周补货建议、排程状态及储罐可用状态；数据缺失、过期或状态冲突时标记数据风险，提示人工核实。</w:t>
            </w:r>
          </w:p>
        </w:tc>
        <w:tc>
          <w:tcPr>
            <w:tcW w:w="1088" w:type="dxa"/>
            <w:tcBorders>
              <w:top w:val="nil"/>
              <w:left w:val="nil"/>
              <w:bottom w:val="nil"/>
              <w:right w:val="nil"/>
            </w:tcBorders>
            <w:shd w:val="clear" w:color="auto" w:fill="auto"/>
            <w:vAlign w:val="center"/>
          </w:tcPr>
          <w:p w14:paraId="18BE6E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未来4周日度库存监控数据集</w:t>
            </w:r>
          </w:p>
        </w:tc>
        <w:tc>
          <w:tcPr>
            <w:tcW w:w="1460" w:type="dxa"/>
            <w:tcBorders>
              <w:top w:val="nil"/>
              <w:left w:val="nil"/>
              <w:bottom w:val="nil"/>
              <w:right w:val="nil"/>
            </w:tcBorders>
            <w:shd w:val="clear" w:color="auto" w:fill="auto"/>
            <w:vAlign w:val="center"/>
          </w:tcPr>
          <w:p w14:paraId="039A5E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SCOS/SAP/WMS/QMS/LIMS</w:t>
            </w:r>
          </w:p>
        </w:tc>
      </w:tr>
      <w:tr w14:paraId="5E4407F2">
        <w:trPr>
          <w:cantSplit/>
          <w:trHeight w:val="0" w:hRule="atLeast"/>
          <w:jc w:val="center"/>
        </w:trPr>
        <w:tc>
          <w:tcPr>
            <w:tcW w:w="2944" w:type="dxa"/>
            <w:tcBorders>
              <w:top w:val="nil"/>
              <w:left w:val="nil"/>
              <w:bottom w:val="nil"/>
              <w:right w:val="nil"/>
            </w:tcBorders>
            <w:shd w:val="clear" w:color="auto" w:fill="auto"/>
            <w:vAlign w:val="center"/>
          </w:tcPr>
          <w:p w14:paraId="38BB1F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P-ZLTC-SCOS-KCYH-003-20-001</w:t>
            </w:r>
          </w:p>
        </w:tc>
        <w:tc>
          <w:tcPr>
            <w:tcW w:w="945" w:type="dxa"/>
            <w:tcBorders>
              <w:top w:val="nil"/>
              <w:left w:val="nil"/>
              <w:bottom w:val="nil"/>
              <w:right w:val="nil"/>
            </w:tcBorders>
            <w:shd w:val="clear" w:color="auto" w:fill="auto"/>
            <w:vAlign w:val="center"/>
          </w:tcPr>
          <w:p w14:paraId="29A25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滚动测算未来4周日度库存水位规则</w:t>
            </w:r>
          </w:p>
        </w:tc>
        <w:tc>
          <w:tcPr>
            <w:tcW w:w="966" w:type="dxa"/>
            <w:tcBorders>
              <w:top w:val="nil"/>
              <w:left w:val="nil"/>
              <w:bottom w:val="nil"/>
              <w:right w:val="nil"/>
            </w:tcBorders>
            <w:shd w:val="clear" w:color="auto" w:fill="auto"/>
            <w:vAlign w:val="center"/>
          </w:tcPr>
          <w:p w14:paraId="5293B56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24D69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381270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未来4周日度库存监控数据集形成后</w:t>
            </w:r>
          </w:p>
        </w:tc>
        <w:tc>
          <w:tcPr>
            <w:tcW w:w="1406" w:type="dxa"/>
            <w:tcBorders>
              <w:top w:val="nil"/>
              <w:left w:val="nil"/>
              <w:bottom w:val="nil"/>
              <w:right w:val="nil"/>
            </w:tcBorders>
            <w:shd w:val="clear" w:color="auto" w:fill="auto"/>
            <w:vAlign w:val="center"/>
          </w:tcPr>
          <w:p w14:paraId="1F453B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按日测算未来4周预计库存，综合现有库存、需求和计划入库量；数据不足以形成可靠测算时，输出数据风险和受影响日期，不生成误导性的库存结论。</w:t>
            </w:r>
          </w:p>
        </w:tc>
        <w:tc>
          <w:tcPr>
            <w:tcW w:w="1088" w:type="dxa"/>
            <w:tcBorders>
              <w:top w:val="nil"/>
              <w:left w:val="nil"/>
              <w:bottom w:val="nil"/>
              <w:right w:val="nil"/>
            </w:tcBorders>
            <w:shd w:val="clear" w:color="auto" w:fill="auto"/>
            <w:vAlign w:val="center"/>
          </w:tcPr>
          <w:p w14:paraId="60B675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未来4周日度库存轨迹</w:t>
            </w:r>
          </w:p>
        </w:tc>
        <w:tc>
          <w:tcPr>
            <w:tcW w:w="1460" w:type="dxa"/>
            <w:tcBorders>
              <w:top w:val="nil"/>
              <w:left w:val="nil"/>
              <w:bottom w:val="nil"/>
              <w:right w:val="nil"/>
            </w:tcBorders>
            <w:shd w:val="clear" w:color="auto" w:fill="auto"/>
            <w:vAlign w:val="center"/>
          </w:tcPr>
          <w:p w14:paraId="644911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284387">
        <w:trPr>
          <w:cantSplit/>
          <w:trHeight w:val="0" w:hRule="atLeast"/>
          <w:jc w:val="center"/>
        </w:trPr>
        <w:tc>
          <w:tcPr>
            <w:tcW w:w="2944" w:type="dxa"/>
            <w:tcBorders>
              <w:top w:val="nil"/>
              <w:left w:val="nil"/>
              <w:bottom w:val="nil"/>
              <w:right w:val="nil"/>
            </w:tcBorders>
            <w:shd w:val="clear" w:color="auto" w:fill="auto"/>
            <w:vAlign w:val="center"/>
          </w:tcPr>
          <w:p w14:paraId="7486E6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P-ZLTC-SCOS-KCYH-003-30-001</w:t>
            </w:r>
          </w:p>
        </w:tc>
        <w:tc>
          <w:tcPr>
            <w:tcW w:w="945" w:type="dxa"/>
            <w:tcBorders>
              <w:top w:val="nil"/>
              <w:left w:val="nil"/>
              <w:bottom w:val="nil"/>
              <w:right w:val="nil"/>
            </w:tcBorders>
            <w:shd w:val="clear" w:color="auto" w:fill="auto"/>
            <w:vAlign w:val="center"/>
          </w:tcPr>
          <w:p w14:paraId="50A10F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判断是否存在库存风险规则</w:t>
            </w:r>
          </w:p>
        </w:tc>
        <w:tc>
          <w:tcPr>
            <w:tcW w:w="966" w:type="dxa"/>
            <w:tcBorders>
              <w:top w:val="nil"/>
              <w:left w:val="nil"/>
              <w:bottom w:val="nil"/>
              <w:right w:val="nil"/>
            </w:tcBorders>
            <w:shd w:val="clear" w:color="auto" w:fill="auto"/>
            <w:vAlign w:val="center"/>
          </w:tcPr>
          <w:p w14:paraId="6299DB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0946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76C88D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每日库存预测更新，或库存、需求、排程发生关键变化时</w:t>
            </w:r>
          </w:p>
        </w:tc>
        <w:tc>
          <w:tcPr>
            <w:tcW w:w="1406" w:type="dxa"/>
            <w:tcBorders>
              <w:top w:val="nil"/>
              <w:left w:val="nil"/>
              <w:bottom w:val="nil"/>
              <w:right w:val="nil"/>
            </w:tcBorders>
            <w:shd w:val="clear" w:color="auto" w:fill="auto"/>
            <w:vAlign w:val="center"/>
          </w:tcPr>
          <w:p w14:paraId="1F9334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逐日判断预计可用库存是否低于安全库存，以及计划生产入库是否会使成品库存超过对应储罐的有效容量；任一越界时记录风险类型、日期和缺口或超量，两项均未越界时记录正常状态。</w:t>
            </w:r>
          </w:p>
        </w:tc>
        <w:tc>
          <w:tcPr>
            <w:tcW w:w="1088" w:type="dxa"/>
            <w:tcBorders>
              <w:top w:val="nil"/>
              <w:left w:val="nil"/>
              <w:bottom w:val="nil"/>
              <w:right w:val="nil"/>
            </w:tcBorders>
            <w:shd w:val="clear" w:color="auto" w:fill="auto"/>
            <w:vAlign w:val="center"/>
          </w:tcPr>
          <w:p w14:paraId="63C94F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库存风险判断、风险类型、日期及缺口或超量</w:t>
            </w:r>
          </w:p>
        </w:tc>
        <w:tc>
          <w:tcPr>
            <w:tcW w:w="1460" w:type="dxa"/>
            <w:tcBorders>
              <w:top w:val="nil"/>
              <w:left w:val="nil"/>
              <w:bottom w:val="nil"/>
              <w:right w:val="nil"/>
            </w:tcBorders>
            <w:shd w:val="clear" w:color="auto" w:fill="auto"/>
            <w:vAlign w:val="center"/>
          </w:tcPr>
          <w:p w14:paraId="71F9FC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3BA932">
        <w:trPr>
          <w:cantSplit/>
          <w:trHeight w:val="0" w:hRule="atLeast"/>
          <w:jc w:val="center"/>
        </w:trPr>
        <w:tc>
          <w:tcPr>
            <w:tcW w:w="2944" w:type="dxa"/>
            <w:tcBorders>
              <w:top w:val="nil"/>
              <w:left w:val="nil"/>
              <w:bottom w:val="nil"/>
              <w:right w:val="nil"/>
            </w:tcBorders>
            <w:shd w:val="clear" w:color="auto" w:fill="auto"/>
            <w:vAlign w:val="center"/>
          </w:tcPr>
          <w:p w14:paraId="3BC10F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P-ZLTC-SCOS-KCYH-003-40-001</w:t>
            </w:r>
          </w:p>
        </w:tc>
        <w:tc>
          <w:tcPr>
            <w:tcW w:w="945" w:type="dxa"/>
            <w:tcBorders>
              <w:top w:val="nil"/>
              <w:left w:val="nil"/>
              <w:bottom w:val="nil"/>
              <w:right w:val="nil"/>
            </w:tcBorders>
            <w:shd w:val="clear" w:color="auto" w:fill="auto"/>
            <w:vAlign w:val="center"/>
          </w:tcPr>
          <w:p w14:paraId="08BB60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判断风险是否位于锁定期规则</w:t>
            </w:r>
          </w:p>
        </w:tc>
        <w:tc>
          <w:tcPr>
            <w:tcW w:w="966" w:type="dxa"/>
            <w:tcBorders>
              <w:top w:val="nil"/>
              <w:left w:val="nil"/>
              <w:bottom w:val="nil"/>
              <w:right w:val="nil"/>
            </w:tcBorders>
            <w:shd w:val="clear" w:color="auto" w:fill="auto"/>
            <w:vAlign w:val="center"/>
          </w:tcPr>
          <w:p w14:paraId="1812FD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0E599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A0BB9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存在库存风险时</w:t>
            </w:r>
          </w:p>
        </w:tc>
        <w:tc>
          <w:tcPr>
            <w:tcW w:w="1406" w:type="dxa"/>
            <w:tcBorders>
              <w:top w:val="nil"/>
              <w:left w:val="nil"/>
              <w:bottom w:val="nil"/>
              <w:right w:val="nil"/>
            </w:tcBorders>
            <w:shd w:val="clear" w:color="auto" w:fill="auto"/>
            <w:vAlign w:val="center"/>
          </w:tcPr>
          <w:p w14:paraId="760D0D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依据周度流程确定的期间判断风险是否发生在第1周锁定期；按风险所在周期采取相应措施。</w:t>
            </w:r>
          </w:p>
        </w:tc>
        <w:tc>
          <w:tcPr>
            <w:tcW w:w="1088" w:type="dxa"/>
            <w:tcBorders>
              <w:top w:val="nil"/>
              <w:left w:val="nil"/>
              <w:bottom w:val="nil"/>
              <w:right w:val="nil"/>
            </w:tcBorders>
            <w:shd w:val="clear" w:color="auto" w:fill="auto"/>
            <w:vAlign w:val="center"/>
          </w:tcPr>
          <w:p w14:paraId="56F8FD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风险所属期间</w:t>
            </w:r>
          </w:p>
        </w:tc>
        <w:tc>
          <w:tcPr>
            <w:tcW w:w="1460" w:type="dxa"/>
            <w:tcBorders>
              <w:top w:val="nil"/>
              <w:left w:val="nil"/>
              <w:bottom w:val="nil"/>
              <w:right w:val="nil"/>
            </w:tcBorders>
            <w:shd w:val="clear" w:color="auto" w:fill="auto"/>
            <w:vAlign w:val="center"/>
          </w:tcPr>
          <w:p w14:paraId="375D02B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88F7165">
        <w:trPr>
          <w:cantSplit/>
          <w:trHeight w:val="0" w:hRule="atLeast"/>
          <w:jc w:val="center"/>
        </w:trPr>
        <w:tc>
          <w:tcPr>
            <w:tcW w:w="2944" w:type="dxa"/>
            <w:tcBorders>
              <w:top w:val="nil"/>
              <w:left w:val="nil"/>
              <w:bottom w:val="nil"/>
              <w:right w:val="nil"/>
            </w:tcBorders>
            <w:shd w:val="clear" w:color="auto" w:fill="auto"/>
            <w:vAlign w:val="center"/>
          </w:tcPr>
          <w:p w14:paraId="46F15D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P-ZLTC-SCOS-KCYH-003-50-001</w:t>
            </w:r>
          </w:p>
        </w:tc>
        <w:tc>
          <w:tcPr>
            <w:tcW w:w="945" w:type="dxa"/>
            <w:tcBorders>
              <w:top w:val="nil"/>
              <w:left w:val="nil"/>
              <w:bottom w:val="nil"/>
              <w:right w:val="nil"/>
            </w:tcBorders>
            <w:shd w:val="clear" w:color="auto" w:fill="auto"/>
            <w:vAlign w:val="center"/>
          </w:tcPr>
          <w:p w14:paraId="7FD4D1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生成锁定期库存预警规则</w:t>
            </w:r>
          </w:p>
        </w:tc>
        <w:tc>
          <w:tcPr>
            <w:tcW w:w="966" w:type="dxa"/>
            <w:tcBorders>
              <w:top w:val="nil"/>
              <w:left w:val="nil"/>
              <w:bottom w:val="nil"/>
              <w:right w:val="nil"/>
            </w:tcBorders>
            <w:shd w:val="clear" w:color="auto" w:fill="auto"/>
            <w:vAlign w:val="center"/>
          </w:tcPr>
          <w:p w14:paraId="1DC7DD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0BED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55E911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库存风险发生在第1周锁定期内时</w:t>
            </w:r>
          </w:p>
        </w:tc>
        <w:tc>
          <w:tcPr>
            <w:tcW w:w="1406" w:type="dxa"/>
            <w:tcBorders>
              <w:top w:val="nil"/>
              <w:left w:val="nil"/>
              <w:bottom w:val="nil"/>
              <w:right w:val="nil"/>
            </w:tcBorders>
            <w:shd w:val="clear" w:color="auto" w:fill="auto"/>
            <w:vAlign w:val="center"/>
          </w:tcPr>
          <w:p w14:paraId="12AFC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对第1周锁定期内的安全库存不足或容量超限风险生成预警；即使风险持续或扩大，也不得直接修改第1周锁定的生产补充量。</w:t>
            </w:r>
          </w:p>
        </w:tc>
        <w:tc>
          <w:tcPr>
            <w:tcW w:w="1088" w:type="dxa"/>
            <w:tcBorders>
              <w:top w:val="nil"/>
              <w:left w:val="nil"/>
              <w:bottom w:val="nil"/>
              <w:right w:val="nil"/>
            </w:tcBorders>
            <w:shd w:val="clear" w:color="auto" w:fill="auto"/>
            <w:vAlign w:val="center"/>
          </w:tcPr>
          <w:p w14:paraId="25AC15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锁定期库存预警</w:t>
            </w:r>
          </w:p>
        </w:tc>
        <w:tc>
          <w:tcPr>
            <w:tcW w:w="1460" w:type="dxa"/>
            <w:tcBorders>
              <w:top w:val="nil"/>
              <w:left w:val="nil"/>
              <w:bottom w:val="nil"/>
              <w:right w:val="nil"/>
            </w:tcBorders>
            <w:shd w:val="clear" w:color="auto" w:fill="auto"/>
            <w:vAlign w:val="center"/>
          </w:tcPr>
          <w:p w14:paraId="26FC88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C3CC73">
        <w:trPr>
          <w:cantSplit/>
          <w:trHeight w:val="0" w:hRule="atLeast"/>
          <w:jc w:val="center"/>
        </w:trPr>
        <w:tc>
          <w:tcPr>
            <w:tcW w:w="2944" w:type="dxa"/>
            <w:tcBorders>
              <w:top w:val="nil"/>
              <w:left w:val="nil"/>
              <w:bottom w:val="nil"/>
              <w:right w:val="nil"/>
            </w:tcBorders>
            <w:shd w:val="clear" w:color="auto" w:fill="auto"/>
            <w:vAlign w:val="center"/>
          </w:tcPr>
          <w:p w14:paraId="3F98F2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P-ZLTC-SCOS-KCYH-003-60-001</w:t>
            </w:r>
          </w:p>
        </w:tc>
        <w:tc>
          <w:tcPr>
            <w:tcW w:w="945" w:type="dxa"/>
            <w:tcBorders>
              <w:top w:val="nil"/>
              <w:left w:val="nil"/>
              <w:bottom w:val="nil"/>
              <w:right w:val="nil"/>
            </w:tcBorders>
            <w:shd w:val="clear" w:color="auto" w:fill="auto"/>
            <w:vAlign w:val="center"/>
          </w:tcPr>
          <w:p w14:paraId="5D29C8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记录库存预警并保持第1周锁定量不变规则</w:t>
            </w:r>
          </w:p>
        </w:tc>
        <w:tc>
          <w:tcPr>
            <w:tcW w:w="966" w:type="dxa"/>
            <w:tcBorders>
              <w:top w:val="nil"/>
              <w:left w:val="nil"/>
              <w:bottom w:val="nil"/>
              <w:right w:val="nil"/>
            </w:tcBorders>
            <w:shd w:val="clear" w:color="auto" w:fill="auto"/>
            <w:vAlign w:val="center"/>
          </w:tcPr>
          <w:p w14:paraId="641BB7E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AF82D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2732E2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锁定期库存预警形成后</w:t>
            </w:r>
          </w:p>
        </w:tc>
        <w:tc>
          <w:tcPr>
            <w:tcW w:w="1406" w:type="dxa"/>
            <w:tcBorders>
              <w:top w:val="nil"/>
              <w:left w:val="nil"/>
              <w:bottom w:val="nil"/>
              <w:right w:val="nil"/>
            </w:tcBorders>
            <w:shd w:val="clear" w:color="auto" w:fill="auto"/>
            <w:vAlign w:val="center"/>
          </w:tcPr>
          <w:p w14:paraId="7B7D34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保存库存预警、风险依据和处理状态；预警处理不解除锁定。</w:t>
            </w:r>
          </w:p>
        </w:tc>
        <w:tc>
          <w:tcPr>
            <w:tcW w:w="1088" w:type="dxa"/>
            <w:tcBorders>
              <w:top w:val="nil"/>
              <w:left w:val="nil"/>
              <w:bottom w:val="nil"/>
              <w:right w:val="nil"/>
            </w:tcBorders>
            <w:shd w:val="clear" w:color="auto" w:fill="auto"/>
            <w:vAlign w:val="center"/>
          </w:tcPr>
          <w:p w14:paraId="56F094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库存预警记录、锁定状态确认</w:t>
            </w:r>
          </w:p>
        </w:tc>
        <w:tc>
          <w:tcPr>
            <w:tcW w:w="1460" w:type="dxa"/>
            <w:tcBorders>
              <w:top w:val="nil"/>
              <w:left w:val="nil"/>
              <w:bottom w:val="nil"/>
              <w:right w:val="nil"/>
            </w:tcBorders>
            <w:shd w:val="clear" w:color="auto" w:fill="auto"/>
            <w:vAlign w:val="center"/>
          </w:tcPr>
          <w:p w14:paraId="62130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FFDD72">
        <w:trPr>
          <w:cantSplit/>
          <w:trHeight w:val="0" w:hRule="atLeast"/>
          <w:jc w:val="center"/>
        </w:trPr>
        <w:tc>
          <w:tcPr>
            <w:tcW w:w="2944" w:type="dxa"/>
            <w:tcBorders>
              <w:top w:val="nil"/>
              <w:left w:val="nil"/>
              <w:bottom w:val="nil"/>
              <w:right w:val="nil"/>
            </w:tcBorders>
            <w:shd w:val="clear" w:color="auto" w:fill="auto"/>
            <w:vAlign w:val="center"/>
          </w:tcPr>
          <w:p w14:paraId="4E7DC4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P-ZLTC-SCOS-KCYH-003-70-001</w:t>
            </w:r>
          </w:p>
        </w:tc>
        <w:tc>
          <w:tcPr>
            <w:tcW w:w="945" w:type="dxa"/>
            <w:tcBorders>
              <w:top w:val="nil"/>
              <w:left w:val="nil"/>
              <w:bottom w:val="nil"/>
              <w:right w:val="nil"/>
            </w:tcBorders>
            <w:shd w:val="clear" w:color="auto" w:fill="auto"/>
            <w:vAlign w:val="center"/>
          </w:tcPr>
          <w:p w14:paraId="31261C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生成库存预警并调整第2至第4周生产补货建议规则</w:t>
            </w:r>
          </w:p>
        </w:tc>
        <w:tc>
          <w:tcPr>
            <w:tcW w:w="966" w:type="dxa"/>
            <w:tcBorders>
              <w:top w:val="nil"/>
              <w:left w:val="nil"/>
              <w:bottom w:val="nil"/>
              <w:right w:val="nil"/>
            </w:tcBorders>
            <w:shd w:val="clear" w:color="auto" w:fill="auto"/>
            <w:vAlign w:val="center"/>
          </w:tcPr>
          <w:p w14:paraId="623981B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D0BEF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非锁定期库存风险预警与补货调整</w:t>
            </w:r>
          </w:p>
        </w:tc>
        <w:tc>
          <w:tcPr>
            <w:tcW w:w="1098" w:type="dxa"/>
            <w:tcBorders>
              <w:top w:val="nil"/>
              <w:left w:val="nil"/>
              <w:bottom w:val="nil"/>
              <w:right w:val="nil"/>
            </w:tcBorders>
            <w:shd w:val="clear" w:color="auto" w:fill="auto"/>
            <w:vAlign w:val="center"/>
          </w:tcPr>
          <w:p w14:paraId="5AF425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库存风险发生在第2至第4周时</w:t>
            </w:r>
          </w:p>
        </w:tc>
        <w:tc>
          <w:tcPr>
            <w:tcW w:w="1406" w:type="dxa"/>
            <w:tcBorders>
              <w:top w:val="nil"/>
              <w:left w:val="nil"/>
              <w:bottom w:val="nil"/>
              <w:right w:val="nil"/>
            </w:tcBorders>
            <w:shd w:val="clear" w:color="auto" w:fill="auto"/>
            <w:vAlign w:val="center"/>
          </w:tcPr>
          <w:p w14:paraId="54943E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对第2至第4周的安全库存不足或容量超限风险生成预警，按风险类型调整未锁定补货建议的日期和数量；扣除已有计划入库，保持第1周锁定量不变；无法消除的风险继续预警。</w:t>
            </w:r>
          </w:p>
        </w:tc>
        <w:tc>
          <w:tcPr>
            <w:tcW w:w="1088" w:type="dxa"/>
            <w:tcBorders>
              <w:top w:val="nil"/>
              <w:left w:val="nil"/>
              <w:bottom w:val="nil"/>
              <w:right w:val="nil"/>
            </w:tcBorders>
            <w:shd w:val="clear" w:color="auto" w:fill="auto"/>
            <w:vAlign w:val="center"/>
          </w:tcPr>
          <w:p w14:paraId="20D06C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第2至第4周库存预警和调整后的生产补货建议</w:t>
            </w:r>
          </w:p>
        </w:tc>
        <w:tc>
          <w:tcPr>
            <w:tcW w:w="1460" w:type="dxa"/>
            <w:tcBorders>
              <w:top w:val="nil"/>
              <w:left w:val="nil"/>
              <w:bottom w:val="nil"/>
              <w:right w:val="nil"/>
            </w:tcBorders>
            <w:shd w:val="clear" w:color="auto" w:fill="auto"/>
            <w:vAlign w:val="center"/>
          </w:tcPr>
          <w:p w14:paraId="4BD46B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6DF711D">
        <w:trPr>
          <w:cantSplit/>
          <w:trHeight w:val="0" w:hRule="atLeast"/>
          <w:jc w:val="center"/>
        </w:trPr>
        <w:tc>
          <w:tcPr>
            <w:tcW w:w="2944" w:type="dxa"/>
            <w:tcBorders>
              <w:top w:val="nil"/>
              <w:left w:val="nil"/>
              <w:bottom w:val="nil"/>
              <w:right w:val="nil"/>
            </w:tcBorders>
            <w:shd w:val="clear" w:color="auto" w:fill="auto"/>
            <w:vAlign w:val="center"/>
          </w:tcPr>
          <w:p w14:paraId="4D1532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P-ZLTC-SCOS-KCYH-003-80-001</w:t>
            </w:r>
          </w:p>
        </w:tc>
        <w:tc>
          <w:tcPr>
            <w:tcW w:w="945" w:type="dxa"/>
            <w:tcBorders>
              <w:top w:val="nil"/>
              <w:left w:val="nil"/>
              <w:bottom w:val="nil"/>
              <w:right w:val="nil"/>
            </w:tcBorders>
            <w:shd w:val="clear" w:color="auto" w:fill="auto"/>
            <w:vAlign w:val="center"/>
          </w:tcPr>
          <w:p w14:paraId="042965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复核并提交生产补货调整建议规则</w:t>
            </w:r>
          </w:p>
        </w:tc>
        <w:tc>
          <w:tcPr>
            <w:tcW w:w="966" w:type="dxa"/>
            <w:tcBorders>
              <w:top w:val="nil"/>
              <w:left w:val="nil"/>
              <w:bottom w:val="nil"/>
              <w:right w:val="nil"/>
            </w:tcBorders>
            <w:shd w:val="clear" w:color="auto" w:fill="auto"/>
            <w:vAlign w:val="center"/>
          </w:tcPr>
          <w:p w14:paraId="723C41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B2313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445805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第2至第4周库存预警和调整后的生产补货建议形成并具备评审条件后</w:t>
            </w:r>
          </w:p>
        </w:tc>
        <w:tc>
          <w:tcPr>
            <w:tcW w:w="1406" w:type="dxa"/>
            <w:tcBorders>
              <w:top w:val="nil"/>
              <w:left w:val="nil"/>
              <w:bottom w:val="nil"/>
              <w:right w:val="nil"/>
            </w:tcBorders>
            <w:shd w:val="clear" w:color="auto" w:fill="auto"/>
            <w:vAlign w:val="center"/>
          </w:tcPr>
          <w:p w14:paraId="5AA842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库存计划员复核调整原因、受影响周次、建议数量及风险；数据或建议不合理时，返回源数据核实并重新测算；未通过库存侧复核时不提交生产端。</w:t>
            </w:r>
          </w:p>
        </w:tc>
        <w:tc>
          <w:tcPr>
            <w:tcW w:w="1088" w:type="dxa"/>
            <w:tcBorders>
              <w:top w:val="nil"/>
              <w:left w:val="nil"/>
              <w:bottom w:val="nil"/>
              <w:right w:val="nil"/>
            </w:tcBorders>
            <w:shd w:val="clear" w:color="auto" w:fill="auto"/>
            <w:vAlign w:val="center"/>
          </w:tcPr>
          <w:p w14:paraId="0C3844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库存侧复核意见和待生产端确认的调整建议</w:t>
            </w:r>
          </w:p>
        </w:tc>
        <w:tc>
          <w:tcPr>
            <w:tcW w:w="1460" w:type="dxa"/>
            <w:tcBorders>
              <w:top w:val="nil"/>
              <w:left w:val="nil"/>
              <w:bottom w:val="nil"/>
              <w:right w:val="nil"/>
            </w:tcBorders>
            <w:shd w:val="clear" w:color="auto" w:fill="auto"/>
            <w:vAlign w:val="center"/>
          </w:tcPr>
          <w:p w14:paraId="73CA4F7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CCDE27">
        <w:trPr>
          <w:cantSplit/>
          <w:trHeight w:val="0" w:hRule="atLeast"/>
          <w:jc w:val="center"/>
        </w:trPr>
        <w:tc>
          <w:tcPr>
            <w:tcW w:w="2944" w:type="dxa"/>
            <w:tcBorders>
              <w:top w:val="nil"/>
              <w:left w:val="nil"/>
              <w:bottom w:val="nil"/>
              <w:right w:val="nil"/>
            </w:tcBorders>
            <w:shd w:val="clear" w:color="auto" w:fill="auto"/>
            <w:vAlign w:val="center"/>
          </w:tcPr>
          <w:p w14:paraId="3B90ED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P-ZLTC-SCOS-KCYH-003-90-001</w:t>
            </w:r>
          </w:p>
        </w:tc>
        <w:tc>
          <w:tcPr>
            <w:tcW w:w="945" w:type="dxa"/>
            <w:tcBorders>
              <w:top w:val="nil"/>
              <w:left w:val="nil"/>
              <w:bottom w:val="nil"/>
              <w:right w:val="nil"/>
            </w:tcBorders>
            <w:shd w:val="clear" w:color="auto" w:fill="auto"/>
            <w:vAlign w:val="center"/>
          </w:tcPr>
          <w:p w14:paraId="4E0CD0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判断是否调整生产计划规则</w:t>
            </w:r>
          </w:p>
        </w:tc>
        <w:tc>
          <w:tcPr>
            <w:tcW w:w="966" w:type="dxa"/>
            <w:tcBorders>
              <w:top w:val="nil"/>
              <w:left w:val="nil"/>
              <w:bottom w:val="nil"/>
              <w:right w:val="nil"/>
            </w:tcBorders>
            <w:shd w:val="clear" w:color="auto" w:fill="auto"/>
            <w:vAlign w:val="center"/>
          </w:tcPr>
          <w:p w14:paraId="2987A3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4A157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44CC3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库存侧复核意见和待生产端确认的调整建议形成后</w:t>
            </w:r>
          </w:p>
        </w:tc>
        <w:tc>
          <w:tcPr>
            <w:tcW w:w="1406" w:type="dxa"/>
            <w:tcBorders>
              <w:top w:val="nil"/>
              <w:left w:val="nil"/>
              <w:bottom w:val="nil"/>
              <w:right w:val="nil"/>
            </w:tcBorders>
            <w:shd w:val="clear" w:color="auto" w:fill="auto"/>
            <w:vAlign w:val="center"/>
          </w:tcPr>
          <w:p w14:paraId="64D134B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结合产能、设备、原料、工艺和既有排程，判断是否调整生产计划；无需调整时记录原因，需要调整时协调生产排程。</w:t>
            </w:r>
            <w:r>
              <w:rPr>
                <w:rFonts w:hint="eastAsia" w:ascii="宋体" w:hAnsi="宋体" w:cs="宋体"/>
                <w:b w:val="0"/>
                <w:sz w:val="18"/>
                <w:szCs w:val="18"/>
                <w:lang w:val="en-US" w:eastAsia="zh-CN"/>
              </w:rPr>
              <w:t>确认后，每日额外向后锁定一天，确保每日锁定期为T+7天。</w:t>
            </w:r>
          </w:p>
        </w:tc>
        <w:tc>
          <w:tcPr>
            <w:tcW w:w="1088" w:type="dxa"/>
            <w:tcBorders>
              <w:top w:val="nil"/>
              <w:left w:val="nil"/>
              <w:bottom w:val="nil"/>
              <w:right w:val="nil"/>
            </w:tcBorders>
            <w:shd w:val="clear" w:color="auto" w:fill="auto"/>
            <w:vAlign w:val="center"/>
          </w:tcPr>
          <w:p w14:paraId="0F0042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生产计划调整结论</w:t>
            </w:r>
          </w:p>
        </w:tc>
        <w:tc>
          <w:tcPr>
            <w:tcW w:w="1460" w:type="dxa"/>
            <w:tcBorders>
              <w:top w:val="nil"/>
              <w:left w:val="nil"/>
              <w:bottom w:val="nil"/>
              <w:right w:val="nil"/>
            </w:tcBorders>
            <w:shd w:val="clear" w:color="auto" w:fill="auto"/>
            <w:vAlign w:val="center"/>
          </w:tcPr>
          <w:p w14:paraId="290F22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6FDC69">
        <w:trPr>
          <w:cantSplit/>
          <w:trHeight w:val="0" w:hRule="atLeast"/>
          <w:jc w:val="center"/>
        </w:trPr>
        <w:tc>
          <w:tcPr>
            <w:tcW w:w="2944" w:type="dxa"/>
            <w:tcBorders>
              <w:top w:val="nil"/>
              <w:left w:val="nil"/>
              <w:bottom w:val="nil"/>
              <w:right w:val="nil"/>
            </w:tcBorders>
            <w:shd w:val="clear" w:color="auto" w:fill="auto"/>
            <w:vAlign w:val="center"/>
          </w:tcPr>
          <w:p w14:paraId="18CA1C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P-ZLTC-SCOS-KCYH-003-100-001</w:t>
            </w:r>
          </w:p>
        </w:tc>
        <w:tc>
          <w:tcPr>
            <w:tcW w:w="945" w:type="dxa"/>
            <w:tcBorders>
              <w:top w:val="nil"/>
              <w:left w:val="nil"/>
              <w:bottom w:val="nil"/>
              <w:right w:val="nil"/>
            </w:tcBorders>
            <w:shd w:val="clear" w:color="auto" w:fill="auto"/>
            <w:vAlign w:val="center"/>
          </w:tcPr>
          <w:p w14:paraId="29AFEA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反馈补货调整建议并进入生产排程规则</w:t>
            </w:r>
          </w:p>
        </w:tc>
        <w:tc>
          <w:tcPr>
            <w:tcW w:w="966" w:type="dxa"/>
            <w:tcBorders>
              <w:top w:val="nil"/>
              <w:left w:val="nil"/>
              <w:bottom w:val="nil"/>
              <w:right w:val="nil"/>
            </w:tcBorders>
            <w:shd w:val="clear" w:color="auto" w:fill="auto"/>
            <w:vAlign w:val="center"/>
          </w:tcPr>
          <w:p w14:paraId="098992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6706B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62E7F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需要调整生产计划时</w:t>
            </w:r>
          </w:p>
        </w:tc>
        <w:tc>
          <w:tcPr>
            <w:tcW w:w="1406" w:type="dxa"/>
            <w:tcBorders>
              <w:top w:val="nil"/>
              <w:left w:val="nil"/>
              <w:bottom w:val="nil"/>
              <w:right w:val="nil"/>
            </w:tcBorders>
            <w:shd w:val="clear" w:color="auto" w:fill="auto"/>
            <w:vAlign w:val="center"/>
          </w:tcPr>
          <w:p w14:paraId="51A37EC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将采纳的补货调整建议交由生产排程处理；排程无法满足建议日期或数量时，更新未消除的库存风险并继续协调。</w:t>
            </w:r>
          </w:p>
        </w:tc>
        <w:tc>
          <w:tcPr>
            <w:tcW w:w="1088" w:type="dxa"/>
            <w:tcBorders>
              <w:top w:val="nil"/>
              <w:left w:val="nil"/>
              <w:bottom w:val="nil"/>
              <w:right w:val="nil"/>
            </w:tcBorders>
            <w:shd w:val="clear" w:color="auto" w:fill="auto"/>
            <w:vAlign w:val="center"/>
          </w:tcPr>
          <w:p w14:paraId="6DCF4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生产排程调整任务、计划生产数量和预计可用入库日期</w:t>
            </w:r>
          </w:p>
        </w:tc>
        <w:tc>
          <w:tcPr>
            <w:tcW w:w="1460" w:type="dxa"/>
            <w:tcBorders>
              <w:top w:val="nil"/>
              <w:left w:val="nil"/>
              <w:bottom w:val="nil"/>
              <w:right w:val="nil"/>
            </w:tcBorders>
            <w:shd w:val="clear" w:color="auto" w:fill="auto"/>
            <w:vAlign w:val="center"/>
          </w:tcPr>
          <w:p w14:paraId="435921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F7543B">
        <w:trPr>
          <w:cantSplit/>
          <w:trHeight w:val="0" w:hRule="atLeast"/>
          <w:jc w:val="center"/>
        </w:trPr>
        <w:tc>
          <w:tcPr>
            <w:tcW w:w="2944" w:type="dxa"/>
            <w:tcBorders>
              <w:top w:val="nil"/>
              <w:left w:val="nil"/>
              <w:bottom w:val="nil"/>
              <w:right w:val="nil"/>
            </w:tcBorders>
            <w:shd w:val="clear" w:color="auto" w:fill="auto"/>
            <w:vAlign w:val="center"/>
          </w:tcPr>
          <w:p w14:paraId="33ACDC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P-ZLTC-SCOS-KCYH-004-10-001</w:t>
            </w:r>
          </w:p>
        </w:tc>
        <w:tc>
          <w:tcPr>
            <w:tcW w:w="945" w:type="dxa"/>
            <w:tcBorders>
              <w:top w:val="nil"/>
              <w:left w:val="nil"/>
              <w:bottom w:val="nil"/>
              <w:right w:val="nil"/>
            </w:tcBorders>
            <w:shd w:val="clear" w:color="auto" w:fill="auto"/>
            <w:vAlign w:val="center"/>
          </w:tcPr>
          <w:p w14:paraId="7C814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提供重大变化信息规则</w:t>
            </w:r>
          </w:p>
        </w:tc>
        <w:tc>
          <w:tcPr>
            <w:tcW w:w="966" w:type="dxa"/>
            <w:tcBorders>
              <w:top w:val="nil"/>
              <w:left w:val="nil"/>
              <w:bottom w:val="nil"/>
              <w:right w:val="nil"/>
            </w:tcBorders>
            <w:shd w:val="clear" w:color="auto" w:fill="auto"/>
            <w:vAlign w:val="center"/>
          </w:tcPr>
          <w:p w14:paraId="053477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285CF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B2C64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需求计划重大变化、大客户订单变化、产线长期停机、储罐检修/不可用或生产补充周期明显延长时</w:t>
            </w:r>
          </w:p>
        </w:tc>
        <w:tc>
          <w:tcPr>
            <w:tcW w:w="1406" w:type="dxa"/>
            <w:tcBorders>
              <w:top w:val="nil"/>
              <w:left w:val="nil"/>
              <w:bottom w:val="nil"/>
              <w:right w:val="nil"/>
            </w:tcBorders>
            <w:shd w:val="clear" w:color="auto" w:fill="auto"/>
            <w:vAlign w:val="center"/>
          </w:tcPr>
          <w:p w14:paraId="29D63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上游系统通过标准服务或业务事件提供变化信息；事件数据不完整时标记待核实，不自动改变正式策略。</w:t>
            </w:r>
          </w:p>
        </w:tc>
        <w:tc>
          <w:tcPr>
            <w:tcW w:w="1088" w:type="dxa"/>
            <w:tcBorders>
              <w:top w:val="nil"/>
              <w:left w:val="nil"/>
              <w:bottom w:val="nil"/>
              <w:right w:val="nil"/>
            </w:tcBorders>
            <w:shd w:val="clear" w:color="auto" w:fill="auto"/>
            <w:vAlign w:val="center"/>
          </w:tcPr>
          <w:p w14:paraId="5B4DFE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重大变化事件</w:t>
            </w:r>
          </w:p>
        </w:tc>
        <w:tc>
          <w:tcPr>
            <w:tcW w:w="1460" w:type="dxa"/>
            <w:tcBorders>
              <w:top w:val="nil"/>
              <w:left w:val="nil"/>
              <w:bottom w:val="nil"/>
              <w:right w:val="nil"/>
            </w:tcBorders>
            <w:shd w:val="clear" w:color="auto" w:fill="auto"/>
            <w:vAlign w:val="center"/>
          </w:tcPr>
          <w:p w14:paraId="508318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7DC6AF">
        <w:trPr>
          <w:cantSplit/>
          <w:trHeight w:val="0" w:hRule="atLeast"/>
          <w:jc w:val="center"/>
        </w:trPr>
        <w:tc>
          <w:tcPr>
            <w:tcW w:w="2944" w:type="dxa"/>
            <w:tcBorders>
              <w:top w:val="nil"/>
              <w:left w:val="nil"/>
              <w:bottom w:val="nil"/>
              <w:right w:val="nil"/>
            </w:tcBorders>
            <w:shd w:val="clear" w:color="auto" w:fill="auto"/>
            <w:vAlign w:val="center"/>
          </w:tcPr>
          <w:p w14:paraId="446484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P-ZLTC-SCOS-KCYH-004-20-001</w:t>
            </w:r>
          </w:p>
        </w:tc>
        <w:tc>
          <w:tcPr>
            <w:tcW w:w="945" w:type="dxa"/>
            <w:tcBorders>
              <w:top w:val="nil"/>
              <w:left w:val="nil"/>
              <w:bottom w:val="nil"/>
              <w:right w:val="nil"/>
            </w:tcBorders>
            <w:shd w:val="clear" w:color="auto" w:fill="auto"/>
            <w:vAlign w:val="center"/>
          </w:tcPr>
          <w:p w14:paraId="388AD2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识别策略影响规则</w:t>
            </w:r>
          </w:p>
        </w:tc>
        <w:tc>
          <w:tcPr>
            <w:tcW w:w="966" w:type="dxa"/>
            <w:tcBorders>
              <w:top w:val="nil"/>
              <w:left w:val="nil"/>
              <w:bottom w:val="nil"/>
              <w:right w:val="nil"/>
            </w:tcBorders>
            <w:shd w:val="clear" w:color="auto" w:fill="auto"/>
            <w:vAlign w:val="center"/>
          </w:tcPr>
          <w:p w14:paraId="0FD6DE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F4336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74AF0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重大变化事件形成后</w:t>
            </w:r>
          </w:p>
        </w:tc>
        <w:tc>
          <w:tcPr>
            <w:tcW w:w="1406" w:type="dxa"/>
            <w:tcBorders>
              <w:top w:val="nil"/>
              <w:left w:val="nil"/>
              <w:bottom w:val="nil"/>
              <w:right w:val="nil"/>
            </w:tcBorders>
            <w:shd w:val="clear" w:color="auto" w:fill="auto"/>
            <w:vAlign w:val="center"/>
          </w:tcPr>
          <w:p w14:paraId="3B5B36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识别受影响的成品、时间范围、服务水平、库存和容量风险；无法量化影响时，输出定性风险并提示人工复核。</w:t>
            </w:r>
          </w:p>
        </w:tc>
        <w:tc>
          <w:tcPr>
            <w:tcW w:w="1088" w:type="dxa"/>
            <w:tcBorders>
              <w:top w:val="nil"/>
              <w:left w:val="nil"/>
              <w:bottom w:val="nil"/>
              <w:right w:val="nil"/>
            </w:tcBorders>
            <w:shd w:val="clear" w:color="auto" w:fill="auto"/>
            <w:vAlign w:val="center"/>
          </w:tcPr>
          <w:p w14:paraId="4EC2DD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影响范围、风险和异常调整提示</w:t>
            </w:r>
          </w:p>
        </w:tc>
        <w:tc>
          <w:tcPr>
            <w:tcW w:w="1460" w:type="dxa"/>
            <w:tcBorders>
              <w:top w:val="nil"/>
              <w:left w:val="nil"/>
              <w:bottom w:val="nil"/>
              <w:right w:val="nil"/>
            </w:tcBorders>
            <w:shd w:val="clear" w:color="auto" w:fill="auto"/>
            <w:vAlign w:val="center"/>
          </w:tcPr>
          <w:p w14:paraId="19EF9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B907928">
        <w:trPr>
          <w:cantSplit/>
          <w:trHeight w:val="0" w:hRule="atLeast"/>
          <w:jc w:val="center"/>
        </w:trPr>
        <w:tc>
          <w:tcPr>
            <w:tcW w:w="2944" w:type="dxa"/>
            <w:tcBorders>
              <w:top w:val="nil"/>
              <w:left w:val="nil"/>
              <w:bottom w:val="nil"/>
              <w:right w:val="nil"/>
            </w:tcBorders>
            <w:shd w:val="clear" w:color="auto" w:fill="auto"/>
            <w:vAlign w:val="center"/>
          </w:tcPr>
          <w:p w14:paraId="149397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P-ZLTC-SCOS-KCYH-004-30-001</w:t>
            </w:r>
          </w:p>
        </w:tc>
        <w:tc>
          <w:tcPr>
            <w:tcW w:w="945" w:type="dxa"/>
            <w:tcBorders>
              <w:top w:val="nil"/>
              <w:left w:val="nil"/>
              <w:bottom w:val="nil"/>
              <w:right w:val="nil"/>
            </w:tcBorders>
            <w:shd w:val="clear" w:color="auto" w:fill="auto"/>
            <w:vAlign w:val="center"/>
          </w:tcPr>
          <w:p w14:paraId="425C82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判断是否需要重新计算规则</w:t>
            </w:r>
          </w:p>
        </w:tc>
        <w:tc>
          <w:tcPr>
            <w:tcW w:w="966" w:type="dxa"/>
            <w:tcBorders>
              <w:top w:val="nil"/>
              <w:left w:val="nil"/>
              <w:bottom w:val="nil"/>
              <w:right w:val="nil"/>
            </w:tcBorders>
            <w:shd w:val="clear" w:color="auto" w:fill="auto"/>
            <w:vAlign w:val="center"/>
          </w:tcPr>
          <w:p w14:paraId="4BAA370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80ED9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63BEA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影响范围、风险和异常调整提示形成后</w:t>
            </w:r>
          </w:p>
        </w:tc>
        <w:tc>
          <w:tcPr>
            <w:tcW w:w="1406" w:type="dxa"/>
            <w:tcBorders>
              <w:top w:val="nil"/>
              <w:left w:val="nil"/>
              <w:bottom w:val="nil"/>
              <w:right w:val="nil"/>
            </w:tcBorders>
            <w:shd w:val="clear" w:color="auto" w:fill="auto"/>
            <w:vAlign w:val="center"/>
          </w:tcPr>
          <w:p w14:paraId="2A1D56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核实业务变化是否足以在月中改变已发布库存策略；不需要重新计算时保留当前策略并持续监控；需要重新计算时继续处理。</w:t>
            </w:r>
          </w:p>
        </w:tc>
        <w:tc>
          <w:tcPr>
            <w:tcW w:w="1088" w:type="dxa"/>
            <w:tcBorders>
              <w:top w:val="nil"/>
              <w:left w:val="nil"/>
              <w:bottom w:val="nil"/>
              <w:right w:val="nil"/>
            </w:tcBorders>
            <w:shd w:val="clear" w:color="auto" w:fill="auto"/>
            <w:vAlign w:val="center"/>
          </w:tcPr>
          <w:p w14:paraId="2EA944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重新计算结论</w:t>
            </w:r>
          </w:p>
        </w:tc>
        <w:tc>
          <w:tcPr>
            <w:tcW w:w="1460" w:type="dxa"/>
            <w:tcBorders>
              <w:top w:val="nil"/>
              <w:left w:val="nil"/>
              <w:bottom w:val="nil"/>
              <w:right w:val="nil"/>
            </w:tcBorders>
            <w:shd w:val="clear" w:color="auto" w:fill="auto"/>
            <w:vAlign w:val="center"/>
          </w:tcPr>
          <w:p w14:paraId="08DD88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474F30">
        <w:trPr>
          <w:cantSplit/>
          <w:trHeight w:val="0" w:hRule="atLeast"/>
          <w:jc w:val="center"/>
        </w:trPr>
        <w:tc>
          <w:tcPr>
            <w:tcW w:w="2944" w:type="dxa"/>
            <w:tcBorders>
              <w:top w:val="nil"/>
              <w:left w:val="nil"/>
              <w:bottom w:val="nil"/>
              <w:right w:val="nil"/>
            </w:tcBorders>
            <w:shd w:val="clear" w:color="auto" w:fill="auto"/>
            <w:vAlign w:val="center"/>
          </w:tcPr>
          <w:p w14:paraId="2890CC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P-ZLTC-SCOS-KCYH-004-40-001</w:t>
            </w:r>
          </w:p>
        </w:tc>
        <w:tc>
          <w:tcPr>
            <w:tcW w:w="945" w:type="dxa"/>
            <w:tcBorders>
              <w:top w:val="nil"/>
              <w:left w:val="nil"/>
              <w:bottom w:val="nil"/>
              <w:right w:val="nil"/>
            </w:tcBorders>
            <w:shd w:val="clear" w:color="auto" w:fill="auto"/>
            <w:vAlign w:val="center"/>
          </w:tcPr>
          <w:p w14:paraId="588124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生成调整后库存策略规则</w:t>
            </w:r>
          </w:p>
        </w:tc>
        <w:tc>
          <w:tcPr>
            <w:tcW w:w="966" w:type="dxa"/>
            <w:tcBorders>
              <w:top w:val="nil"/>
              <w:left w:val="nil"/>
              <w:bottom w:val="nil"/>
              <w:right w:val="nil"/>
            </w:tcBorders>
            <w:shd w:val="clear" w:color="auto" w:fill="auto"/>
            <w:vAlign w:val="center"/>
          </w:tcPr>
          <w:p w14:paraId="365ECB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CAD2A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C2D7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需要重新计算时</w:t>
            </w:r>
          </w:p>
        </w:tc>
        <w:tc>
          <w:tcPr>
            <w:tcW w:w="1406" w:type="dxa"/>
            <w:tcBorders>
              <w:top w:val="nil"/>
              <w:left w:val="nil"/>
              <w:bottom w:val="nil"/>
              <w:right w:val="nil"/>
            </w:tcBorders>
            <w:shd w:val="clear" w:color="auto" w:fill="auto"/>
            <w:vAlign w:val="center"/>
          </w:tcPr>
          <w:p w14:paraId="2E3CA0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仅对受影响成品和时间范围重新计算；新策略受容量限制或仍无法满足目标服务水平时，明确标记不可完全消除的风险。</w:t>
            </w:r>
          </w:p>
        </w:tc>
        <w:tc>
          <w:tcPr>
            <w:tcW w:w="1088" w:type="dxa"/>
            <w:tcBorders>
              <w:top w:val="nil"/>
              <w:left w:val="nil"/>
              <w:bottom w:val="nil"/>
              <w:right w:val="nil"/>
            </w:tcBorders>
            <w:shd w:val="clear" w:color="auto" w:fill="auto"/>
            <w:vAlign w:val="center"/>
          </w:tcPr>
          <w:p w14:paraId="647AF2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调整后的安全库存、再订货点、目标库存、补充建议及调整前后差异</w:t>
            </w:r>
          </w:p>
        </w:tc>
        <w:tc>
          <w:tcPr>
            <w:tcW w:w="1460" w:type="dxa"/>
            <w:tcBorders>
              <w:top w:val="nil"/>
              <w:left w:val="nil"/>
              <w:bottom w:val="nil"/>
              <w:right w:val="nil"/>
            </w:tcBorders>
            <w:shd w:val="clear" w:color="auto" w:fill="auto"/>
            <w:vAlign w:val="center"/>
          </w:tcPr>
          <w:p w14:paraId="41D4F2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7E7F6E">
        <w:trPr>
          <w:cantSplit/>
          <w:trHeight w:val="0" w:hRule="atLeast"/>
          <w:jc w:val="center"/>
        </w:trPr>
        <w:tc>
          <w:tcPr>
            <w:tcW w:w="2944" w:type="dxa"/>
            <w:tcBorders>
              <w:top w:val="nil"/>
              <w:left w:val="nil"/>
              <w:bottom w:val="nil"/>
              <w:right w:val="nil"/>
            </w:tcBorders>
            <w:shd w:val="clear" w:color="auto" w:fill="auto"/>
            <w:vAlign w:val="center"/>
          </w:tcPr>
          <w:p w14:paraId="493A77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P-ZLTC-SCOS-KCYH-004-50-001</w:t>
            </w:r>
          </w:p>
        </w:tc>
        <w:tc>
          <w:tcPr>
            <w:tcW w:w="945" w:type="dxa"/>
            <w:tcBorders>
              <w:top w:val="nil"/>
              <w:left w:val="nil"/>
              <w:bottom w:val="nil"/>
              <w:right w:val="nil"/>
            </w:tcBorders>
            <w:shd w:val="clear" w:color="auto" w:fill="auto"/>
            <w:vAlign w:val="center"/>
          </w:tcPr>
          <w:p w14:paraId="1649D7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评审库存策略异常调整方案规则</w:t>
            </w:r>
          </w:p>
        </w:tc>
        <w:tc>
          <w:tcPr>
            <w:tcW w:w="966" w:type="dxa"/>
            <w:tcBorders>
              <w:top w:val="nil"/>
              <w:left w:val="nil"/>
              <w:bottom w:val="nil"/>
              <w:right w:val="nil"/>
            </w:tcBorders>
            <w:shd w:val="clear" w:color="auto" w:fill="auto"/>
            <w:vAlign w:val="center"/>
          </w:tcPr>
          <w:p w14:paraId="10D7A5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2B1BB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EF27B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调整后的安全库存、再订货点、目标库存、补充建议及调整前后差异形成并具备评审条件后</w:t>
            </w:r>
          </w:p>
        </w:tc>
        <w:tc>
          <w:tcPr>
            <w:tcW w:w="1406" w:type="dxa"/>
            <w:tcBorders>
              <w:top w:val="nil"/>
              <w:left w:val="nil"/>
              <w:bottom w:val="nil"/>
              <w:right w:val="nil"/>
            </w:tcBorders>
            <w:shd w:val="clear" w:color="auto" w:fill="auto"/>
            <w:vAlign w:val="center"/>
          </w:tcPr>
          <w:p w14:paraId="4C3213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确认调整原因、生效时间、影响范围及生产补货影响；依据不足时补充或保留当前策略。</w:t>
            </w:r>
          </w:p>
        </w:tc>
        <w:tc>
          <w:tcPr>
            <w:tcW w:w="1088" w:type="dxa"/>
            <w:tcBorders>
              <w:top w:val="nil"/>
              <w:left w:val="nil"/>
              <w:bottom w:val="nil"/>
              <w:right w:val="nil"/>
            </w:tcBorders>
            <w:shd w:val="clear" w:color="auto" w:fill="auto"/>
            <w:vAlign w:val="center"/>
          </w:tcPr>
          <w:p w14:paraId="3DF36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拟定策略调整方案</w:t>
            </w:r>
          </w:p>
        </w:tc>
        <w:tc>
          <w:tcPr>
            <w:tcW w:w="1460" w:type="dxa"/>
            <w:tcBorders>
              <w:top w:val="nil"/>
              <w:left w:val="nil"/>
              <w:bottom w:val="nil"/>
              <w:right w:val="nil"/>
            </w:tcBorders>
            <w:shd w:val="clear" w:color="auto" w:fill="auto"/>
            <w:vAlign w:val="center"/>
          </w:tcPr>
          <w:p w14:paraId="6CF11D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DF5FCA">
        <w:trPr>
          <w:cantSplit/>
          <w:trHeight w:val="0" w:hRule="atLeast"/>
          <w:jc w:val="center"/>
        </w:trPr>
        <w:tc>
          <w:tcPr>
            <w:tcW w:w="2944" w:type="dxa"/>
            <w:tcBorders>
              <w:top w:val="nil"/>
              <w:left w:val="nil"/>
              <w:bottom w:val="nil"/>
              <w:right w:val="nil"/>
            </w:tcBorders>
            <w:shd w:val="clear" w:color="auto" w:fill="auto"/>
            <w:vAlign w:val="center"/>
          </w:tcPr>
          <w:p w14:paraId="288643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P-ZLTC-SCOS-KCYH-004-60-001</w:t>
            </w:r>
          </w:p>
        </w:tc>
        <w:tc>
          <w:tcPr>
            <w:tcW w:w="945" w:type="dxa"/>
            <w:tcBorders>
              <w:top w:val="nil"/>
              <w:left w:val="nil"/>
              <w:bottom w:val="nil"/>
              <w:right w:val="nil"/>
            </w:tcBorders>
            <w:shd w:val="clear" w:color="auto" w:fill="auto"/>
            <w:vAlign w:val="center"/>
          </w:tcPr>
          <w:p w14:paraId="46DCF2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审批策略异常调整规则</w:t>
            </w:r>
          </w:p>
        </w:tc>
        <w:tc>
          <w:tcPr>
            <w:tcW w:w="966" w:type="dxa"/>
            <w:tcBorders>
              <w:top w:val="nil"/>
              <w:left w:val="nil"/>
              <w:bottom w:val="nil"/>
              <w:right w:val="nil"/>
            </w:tcBorders>
            <w:shd w:val="clear" w:color="auto" w:fill="auto"/>
            <w:vAlign w:val="center"/>
          </w:tcPr>
          <w:p w14:paraId="1F2977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46B24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3257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相关方案完成业务确认并提交审批后</w:t>
            </w:r>
          </w:p>
        </w:tc>
        <w:tc>
          <w:tcPr>
            <w:tcW w:w="1406" w:type="dxa"/>
            <w:tcBorders>
              <w:top w:val="nil"/>
              <w:left w:val="nil"/>
              <w:bottom w:val="nil"/>
              <w:right w:val="nil"/>
            </w:tcBorders>
            <w:shd w:val="clear" w:color="auto" w:fill="auto"/>
            <w:vAlign w:val="center"/>
          </w:tcPr>
          <w:p w14:paraId="4203F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审批月中改变库存策略的必要性、影响和生效范围；审批未通过时退回补充说明；审批通过后继续处理。</w:t>
            </w:r>
          </w:p>
        </w:tc>
        <w:tc>
          <w:tcPr>
            <w:tcW w:w="1088" w:type="dxa"/>
            <w:tcBorders>
              <w:top w:val="nil"/>
              <w:left w:val="nil"/>
              <w:bottom w:val="nil"/>
              <w:right w:val="nil"/>
            </w:tcBorders>
            <w:shd w:val="clear" w:color="auto" w:fill="auto"/>
            <w:vAlign w:val="center"/>
          </w:tcPr>
          <w:p w14:paraId="3C8895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2A1CFD6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6CAC4E">
        <w:trPr>
          <w:cantSplit/>
          <w:trHeight w:val="0" w:hRule="atLeast"/>
          <w:jc w:val="center"/>
        </w:trPr>
        <w:tc>
          <w:tcPr>
            <w:tcW w:w="2944" w:type="dxa"/>
            <w:tcBorders>
              <w:top w:val="nil"/>
              <w:left w:val="nil"/>
              <w:bottom w:val="nil"/>
              <w:right w:val="nil"/>
            </w:tcBorders>
            <w:shd w:val="clear" w:color="auto" w:fill="auto"/>
            <w:vAlign w:val="center"/>
          </w:tcPr>
          <w:p w14:paraId="5849C6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P-ZLTC-SCOS-KCYH-004-70-001</w:t>
            </w:r>
          </w:p>
        </w:tc>
        <w:tc>
          <w:tcPr>
            <w:tcW w:w="945" w:type="dxa"/>
            <w:tcBorders>
              <w:top w:val="nil"/>
              <w:left w:val="nil"/>
              <w:bottom w:val="nil"/>
              <w:right w:val="nil"/>
            </w:tcBorders>
            <w:shd w:val="clear" w:color="auto" w:fill="auto"/>
            <w:vAlign w:val="center"/>
          </w:tcPr>
          <w:p w14:paraId="7297F1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发布库存策略新版本规则</w:t>
            </w:r>
          </w:p>
        </w:tc>
        <w:tc>
          <w:tcPr>
            <w:tcW w:w="966" w:type="dxa"/>
            <w:tcBorders>
              <w:top w:val="nil"/>
              <w:left w:val="nil"/>
              <w:bottom w:val="nil"/>
              <w:right w:val="nil"/>
            </w:tcBorders>
            <w:shd w:val="clear" w:color="auto" w:fill="auto"/>
            <w:vAlign w:val="center"/>
          </w:tcPr>
          <w:p w14:paraId="19FA89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7AF8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1E934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审批策略异常调整通过时</w:t>
            </w:r>
          </w:p>
        </w:tc>
        <w:tc>
          <w:tcPr>
            <w:tcW w:w="1406" w:type="dxa"/>
            <w:tcBorders>
              <w:top w:val="nil"/>
              <w:left w:val="nil"/>
              <w:bottom w:val="nil"/>
              <w:right w:val="nil"/>
            </w:tcBorders>
            <w:shd w:val="clear" w:color="auto" w:fill="auto"/>
            <w:vAlign w:val="center"/>
          </w:tcPr>
          <w:p w14:paraId="11D40A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发布新版本，并保留原策略、输入、参数、结果和审批记录；发布失败时保留待发布状态，原有效版本继续生效。</w:t>
            </w:r>
          </w:p>
        </w:tc>
        <w:tc>
          <w:tcPr>
            <w:tcW w:w="1088" w:type="dxa"/>
            <w:tcBorders>
              <w:top w:val="nil"/>
              <w:left w:val="nil"/>
              <w:bottom w:val="nil"/>
              <w:right w:val="nil"/>
            </w:tcBorders>
            <w:shd w:val="clear" w:color="auto" w:fill="auto"/>
            <w:vAlign w:val="center"/>
          </w:tcPr>
          <w:p w14:paraId="4DF58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库存策略新版本、调整记录及相关生产补充影响</w:t>
            </w:r>
          </w:p>
        </w:tc>
        <w:tc>
          <w:tcPr>
            <w:tcW w:w="1460" w:type="dxa"/>
            <w:tcBorders>
              <w:top w:val="nil"/>
              <w:left w:val="nil"/>
              <w:bottom w:val="nil"/>
              <w:right w:val="nil"/>
            </w:tcBorders>
            <w:shd w:val="clear" w:color="auto" w:fill="auto"/>
            <w:vAlign w:val="center"/>
          </w:tcPr>
          <w:p w14:paraId="27053C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312928">
        <w:trPr>
          <w:cantSplit/>
          <w:trHeight w:val="0" w:hRule="atLeast"/>
          <w:jc w:val="center"/>
        </w:trPr>
        <w:tc>
          <w:tcPr>
            <w:tcW w:w="2944" w:type="dxa"/>
            <w:tcBorders>
              <w:top w:val="nil"/>
              <w:left w:val="nil"/>
              <w:bottom w:val="nil"/>
              <w:right w:val="nil"/>
            </w:tcBorders>
            <w:shd w:val="clear" w:color="auto" w:fill="auto"/>
            <w:vAlign w:val="center"/>
          </w:tcPr>
          <w:p w14:paraId="56FEE11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P-ZLTC-SCOS-KCYH-005-10-001</w:t>
            </w:r>
          </w:p>
        </w:tc>
        <w:tc>
          <w:tcPr>
            <w:tcW w:w="945" w:type="dxa"/>
            <w:tcBorders>
              <w:top w:val="nil"/>
              <w:left w:val="nil"/>
              <w:bottom w:val="nil"/>
              <w:right w:val="nil"/>
            </w:tcBorders>
            <w:shd w:val="clear" w:color="auto" w:fill="auto"/>
            <w:vAlign w:val="center"/>
          </w:tcPr>
          <w:p w14:paraId="714696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提供策略与实际库存执行数据规则</w:t>
            </w:r>
          </w:p>
        </w:tc>
        <w:tc>
          <w:tcPr>
            <w:tcW w:w="966" w:type="dxa"/>
            <w:tcBorders>
              <w:top w:val="nil"/>
              <w:left w:val="nil"/>
              <w:bottom w:val="nil"/>
              <w:right w:val="nil"/>
            </w:tcBorders>
            <w:shd w:val="clear" w:color="auto" w:fill="auto"/>
            <w:vAlign w:val="center"/>
          </w:tcPr>
          <w:p w14:paraId="220154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26493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6EEB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系统按月或按管理周期发起库存健康度和策略有效性评价时</w:t>
            </w:r>
          </w:p>
        </w:tc>
        <w:tc>
          <w:tcPr>
            <w:tcW w:w="1406" w:type="dxa"/>
            <w:tcBorders>
              <w:top w:val="nil"/>
              <w:left w:val="nil"/>
              <w:bottom w:val="nil"/>
              <w:right w:val="nil"/>
            </w:tcBorders>
            <w:shd w:val="clear" w:color="auto" w:fill="auto"/>
            <w:vAlign w:val="center"/>
          </w:tcPr>
          <w:p w14:paraId="18C9CA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汇总已发布的策略目标和对应周期的实际库存数据；数据不完整时标记本期评价口径和不可评价指标。</w:t>
            </w:r>
          </w:p>
        </w:tc>
        <w:tc>
          <w:tcPr>
            <w:tcW w:w="1088" w:type="dxa"/>
            <w:tcBorders>
              <w:top w:val="nil"/>
              <w:left w:val="nil"/>
              <w:bottom w:val="nil"/>
              <w:right w:val="nil"/>
            </w:tcBorders>
            <w:shd w:val="clear" w:color="auto" w:fill="auto"/>
            <w:vAlign w:val="center"/>
          </w:tcPr>
          <w:p w14:paraId="6D1AEB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库存绩效分析数据集</w:t>
            </w:r>
          </w:p>
        </w:tc>
        <w:tc>
          <w:tcPr>
            <w:tcW w:w="1460" w:type="dxa"/>
            <w:tcBorders>
              <w:top w:val="nil"/>
              <w:left w:val="nil"/>
              <w:bottom w:val="nil"/>
              <w:right w:val="nil"/>
            </w:tcBorders>
            <w:shd w:val="clear" w:color="auto" w:fill="auto"/>
            <w:vAlign w:val="center"/>
          </w:tcPr>
          <w:p w14:paraId="145768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50F5B4">
        <w:trPr>
          <w:cantSplit/>
          <w:trHeight w:val="0" w:hRule="atLeast"/>
          <w:jc w:val="center"/>
        </w:trPr>
        <w:tc>
          <w:tcPr>
            <w:tcW w:w="2944" w:type="dxa"/>
            <w:tcBorders>
              <w:top w:val="nil"/>
              <w:left w:val="nil"/>
              <w:bottom w:val="nil"/>
              <w:right w:val="nil"/>
            </w:tcBorders>
            <w:shd w:val="clear" w:color="auto" w:fill="auto"/>
            <w:vAlign w:val="center"/>
          </w:tcPr>
          <w:p w14:paraId="64B58D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P-ZLTC-SCOS-KCYH-005-20-001</w:t>
            </w:r>
          </w:p>
        </w:tc>
        <w:tc>
          <w:tcPr>
            <w:tcW w:w="945" w:type="dxa"/>
            <w:tcBorders>
              <w:top w:val="nil"/>
              <w:left w:val="nil"/>
              <w:bottom w:val="nil"/>
              <w:right w:val="nil"/>
            </w:tcBorders>
            <w:shd w:val="clear" w:color="auto" w:fill="auto"/>
            <w:vAlign w:val="center"/>
          </w:tcPr>
          <w:p w14:paraId="7DD92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生成库存健康度评价规则</w:t>
            </w:r>
          </w:p>
        </w:tc>
        <w:tc>
          <w:tcPr>
            <w:tcW w:w="966" w:type="dxa"/>
            <w:tcBorders>
              <w:top w:val="nil"/>
              <w:left w:val="nil"/>
              <w:bottom w:val="nil"/>
              <w:right w:val="nil"/>
            </w:tcBorders>
            <w:shd w:val="clear" w:color="auto" w:fill="auto"/>
            <w:vAlign w:val="center"/>
          </w:tcPr>
          <w:p w14:paraId="53B79F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E1E3E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4E64B5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库存绩效分析数据集形成后</w:t>
            </w:r>
          </w:p>
        </w:tc>
        <w:tc>
          <w:tcPr>
            <w:tcW w:w="1406" w:type="dxa"/>
            <w:tcBorders>
              <w:top w:val="nil"/>
              <w:left w:val="nil"/>
              <w:bottom w:val="nil"/>
              <w:right w:val="nil"/>
            </w:tcBorders>
            <w:shd w:val="clear" w:color="auto" w:fill="auto"/>
            <w:vAlign w:val="center"/>
          </w:tcPr>
          <w:p w14:paraId="3A3CDC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统计库存周转、订单满足、服务水平及缺货等指标；口径或数据周期不可比时，不输出误导性趋势结论。</w:t>
            </w:r>
          </w:p>
        </w:tc>
        <w:tc>
          <w:tcPr>
            <w:tcW w:w="1088" w:type="dxa"/>
            <w:tcBorders>
              <w:top w:val="nil"/>
              <w:left w:val="nil"/>
              <w:bottom w:val="nil"/>
              <w:right w:val="nil"/>
            </w:tcBorders>
            <w:shd w:val="clear" w:color="auto" w:fill="auto"/>
            <w:vAlign w:val="center"/>
          </w:tcPr>
          <w:p w14:paraId="04E6A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库存健康度报告和策略有效性分析</w:t>
            </w:r>
          </w:p>
        </w:tc>
        <w:tc>
          <w:tcPr>
            <w:tcW w:w="1460" w:type="dxa"/>
            <w:tcBorders>
              <w:top w:val="nil"/>
              <w:left w:val="nil"/>
              <w:bottom w:val="nil"/>
              <w:right w:val="nil"/>
            </w:tcBorders>
            <w:shd w:val="clear" w:color="auto" w:fill="auto"/>
            <w:vAlign w:val="center"/>
          </w:tcPr>
          <w:p w14:paraId="38C3D7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3FB2F5">
        <w:trPr>
          <w:cantSplit/>
          <w:trHeight w:val="0" w:hRule="atLeast"/>
          <w:jc w:val="center"/>
        </w:trPr>
        <w:tc>
          <w:tcPr>
            <w:tcW w:w="2944" w:type="dxa"/>
            <w:tcBorders>
              <w:top w:val="nil"/>
              <w:left w:val="nil"/>
              <w:bottom w:val="nil"/>
              <w:right w:val="nil"/>
            </w:tcBorders>
            <w:shd w:val="clear" w:color="auto" w:fill="auto"/>
            <w:vAlign w:val="center"/>
          </w:tcPr>
          <w:p w14:paraId="01E982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P-ZLTC-SCOS-KCYH-005-30-001</w:t>
            </w:r>
          </w:p>
        </w:tc>
        <w:tc>
          <w:tcPr>
            <w:tcW w:w="945" w:type="dxa"/>
            <w:tcBorders>
              <w:top w:val="nil"/>
              <w:left w:val="nil"/>
              <w:bottom w:val="nil"/>
              <w:right w:val="nil"/>
            </w:tcBorders>
            <w:shd w:val="clear" w:color="auto" w:fill="auto"/>
            <w:vAlign w:val="center"/>
          </w:tcPr>
          <w:p w14:paraId="7687B8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复核库存健康度与策略有效性规则</w:t>
            </w:r>
          </w:p>
        </w:tc>
        <w:tc>
          <w:tcPr>
            <w:tcW w:w="966" w:type="dxa"/>
            <w:tcBorders>
              <w:top w:val="nil"/>
              <w:left w:val="nil"/>
              <w:bottom w:val="nil"/>
              <w:right w:val="nil"/>
            </w:tcBorders>
            <w:shd w:val="clear" w:color="auto" w:fill="auto"/>
            <w:vAlign w:val="center"/>
          </w:tcPr>
          <w:p w14:paraId="47CC633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90814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A650A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库存健康度报告和策略有效性分析形成并具备评审条件后</w:t>
            </w:r>
          </w:p>
        </w:tc>
        <w:tc>
          <w:tcPr>
            <w:tcW w:w="1406" w:type="dxa"/>
            <w:tcBorders>
              <w:top w:val="nil"/>
              <w:left w:val="nil"/>
              <w:bottom w:val="nil"/>
              <w:right w:val="nil"/>
            </w:tcBorders>
            <w:shd w:val="clear" w:color="auto" w:fill="auto"/>
            <w:vAlign w:val="center"/>
          </w:tcPr>
          <w:p w14:paraId="4E1E4D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分析库存参数、需求、生产补充执行和质量状态等差异原因；数据异常时返回源系统核实；执行问题转相应业务流程处理。</w:t>
            </w:r>
          </w:p>
        </w:tc>
        <w:tc>
          <w:tcPr>
            <w:tcW w:w="1088" w:type="dxa"/>
            <w:tcBorders>
              <w:top w:val="nil"/>
              <w:left w:val="nil"/>
              <w:bottom w:val="nil"/>
              <w:right w:val="nil"/>
            </w:tcBorders>
            <w:shd w:val="clear" w:color="auto" w:fill="auto"/>
            <w:vAlign w:val="center"/>
          </w:tcPr>
          <w:p w14:paraId="152FA3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复核结论</w:t>
            </w:r>
          </w:p>
        </w:tc>
        <w:tc>
          <w:tcPr>
            <w:tcW w:w="1460" w:type="dxa"/>
            <w:tcBorders>
              <w:top w:val="nil"/>
              <w:left w:val="nil"/>
              <w:bottom w:val="nil"/>
              <w:right w:val="nil"/>
            </w:tcBorders>
            <w:shd w:val="clear" w:color="auto" w:fill="auto"/>
            <w:vAlign w:val="center"/>
          </w:tcPr>
          <w:p w14:paraId="304F03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645DC8">
        <w:trPr>
          <w:cantSplit/>
          <w:trHeight w:val="0" w:hRule="atLeast"/>
          <w:jc w:val="center"/>
        </w:trPr>
        <w:tc>
          <w:tcPr>
            <w:tcW w:w="2944" w:type="dxa"/>
            <w:tcBorders>
              <w:top w:val="nil"/>
              <w:left w:val="nil"/>
              <w:bottom w:val="nil"/>
              <w:right w:val="nil"/>
            </w:tcBorders>
            <w:shd w:val="clear" w:color="auto" w:fill="auto"/>
            <w:vAlign w:val="center"/>
          </w:tcPr>
          <w:p w14:paraId="5AC0B9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P-ZLTC-SCOS-KCYH-005-40-001</w:t>
            </w:r>
          </w:p>
        </w:tc>
        <w:tc>
          <w:tcPr>
            <w:tcW w:w="945" w:type="dxa"/>
            <w:tcBorders>
              <w:top w:val="nil"/>
              <w:left w:val="nil"/>
              <w:bottom w:val="nil"/>
              <w:right w:val="nil"/>
            </w:tcBorders>
            <w:shd w:val="clear" w:color="auto" w:fill="auto"/>
            <w:vAlign w:val="center"/>
          </w:tcPr>
          <w:p w14:paraId="6429A0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判断是否需要改进策略规则</w:t>
            </w:r>
          </w:p>
        </w:tc>
        <w:tc>
          <w:tcPr>
            <w:tcW w:w="966" w:type="dxa"/>
            <w:tcBorders>
              <w:top w:val="nil"/>
              <w:left w:val="nil"/>
              <w:bottom w:val="nil"/>
              <w:right w:val="nil"/>
            </w:tcBorders>
            <w:shd w:val="clear" w:color="auto" w:fill="auto"/>
            <w:vAlign w:val="center"/>
          </w:tcPr>
          <w:p w14:paraId="182064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BC409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54CCC8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复核结论形成后</w:t>
            </w:r>
          </w:p>
        </w:tc>
        <w:tc>
          <w:tcPr>
            <w:tcW w:w="1406" w:type="dxa"/>
            <w:tcBorders>
              <w:top w:val="nil"/>
              <w:left w:val="nil"/>
              <w:bottom w:val="nil"/>
              <w:right w:val="nil"/>
            </w:tcBorders>
            <w:shd w:val="clear" w:color="auto" w:fill="auto"/>
            <w:vAlign w:val="center"/>
          </w:tcPr>
          <w:p w14:paraId="10AD9B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判断是否需要调整服务水平、安全系数或生产补充周期等参数；无参数改进建议时发布评价结论；需要改进策略时继续处理。</w:t>
            </w:r>
          </w:p>
        </w:tc>
        <w:tc>
          <w:tcPr>
            <w:tcW w:w="1088" w:type="dxa"/>
            <w:tcBorders>
              <w:top w:val="nil"/>
              <w:left w:val="nil"/>
              <w:bottom w:val="nil"/>
              <w:right w:val="nil"/>
            </w:tcBorders>
            <w:shd w:val="clear" w:color="auto" w:fill="auto"/>
            <w:vAlign w:val="center"/>
          </w:tcPr>
          <w:p w14:paraId="7C9E0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策略改进判断</w:t>
            </w:r>
          </w:p>
        </w:tc>
        <w:tc>
          <w:tcPr>
            <w:tcW w:w="1460" w:type="dxa"/>
            <w:tcBorders>
              <w:top w:val="nil"/>
              <w:left w:val="nil"/>
              <w:bottom w:val="nil"/>
              <w:right w:val="nil"/>
            </w:tcBorders>
            <w:shd w:val="clear" w:color="auto" w:fill="auto"/>
            <w:vAlign w:val="center"/>
          </w:tcPr>
          <w:p w14:paraId="78B807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2E5500">
        <w:trPr>
          <w:cantSplit/>
          <w:trHeight w:val="0" w:hRule="atLeast"/>
          <w:jc w:val="center"/>
        </w:trPr>
        <w:tc>
          <w:tcPr>
            <w:tcW w:w="2944" w:type="dxa"/>
            <w:tcBorders>
              <w:top w:val="nil"/>
              <w:left w:val="nil"/>
              <w:bottom w:val="nil"/>
              <w:right w:val="nil"/>
            </w:tcBorders>
            <w:shd w:val="clear" w:color="auto" w:fill="auto"/>
            <w:vAlign w:val="center"/>
          </w:tcPr>
          <w:p w14:paraId="7CA941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P-ZLTC-SCOS-KCYH-005-50-001</w:t>
            </w:r>
          </w:p>
        </w:tc>
        <w:tc>
          <w:tcPr>
            <w:tcW w:w="945" w:type="dxa"/>
            <w:tcBorders>
              <w:top w:val="nil"/>
              <w:left w:val="nil"/>
              <w:bottom w:val="nil"/>
              <w:right w:val="nil"/>
            </w:tcBorders>
            <w:shd w:val="clear" w:color="auto" w:fill="auto"/>
            <w:vAlign w:val="center"/>
          </w:tcPr>
          <w:p w14:paraId="0EE6F9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形成库存策略改进建议规则</w:t>
            </w:r>
          </w:p>
        </w:tc>
        <w:tc>
          <w:tcPr>
            <w:tcW w:w="966" w:type="dxa"/>
            <w:tcBorders>
              <w:top w:val="nil"/>
              <w:left w:val="nil"/>
              <w:bottom w:val="nil"/>
              <w:right w:val="nil"/>
            </w:tcBorders>
            <w:shd w:val="clear" w:color="auto" w:fill="auto"/>
            <w:vAlign w:val="center"/>
          </w:tcPr>
          <w:p w14:paraId="6327AE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E9FC2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BF16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需要改进策略时</w:t>
            </w:r>
          </w:p>
        </w:tc>
        <w:tc>
          <w:tcPr>
            <w:tcW w:w="1406" w:type="dxa"/>
            <w:tcBorders>
              <w:top w:val="nil"/>
              <w:left w:val="nil"/>
              <w:bottom w:val="nil"/>
              <w:right w:val="nil"/>
            </w:tcBorders>
            <w:shd w:val="clear" w:color="auto" w:fill="auto"/>
            <w:vAlign w:val="center"/>
          </w:tcPr>
          <w:p w14:paraId="3AF9F2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说明拟调整对象、参数、原因、预期影响及建议生效周期；无法确定建议参数时，只形成待进一步验证的问题清单。</w:t>
            </w:r>
          </w:p>
        </w:tc>
        <w:tc>
          <w:tcPr>
            <w:tcW w:w="1088" w:type="dxa"/>
            <w:tcBorders>
              <w:top w:val="nil"/>
              <w:left w:val="nil"/>
              <w:bottom w:val="nil"/>
              <w:right w:val="nil"/>
            </w:tcBorders>
            <w:shd w:val="clear" w:color="auto" w:fill="auto"/>
            <w:vAlign w:val="center"/>
          </w:tcPr>
          <w:p w14:paraId="1729854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参数或策略改进建议</w:t>
            </w:r>
          </w:p>
        </w:tc>
        <w:tc>
          <w:tcPr>
            <w:tcW w:w="1460" w:type="dxa"/>
            <w:tcBorders>
              <w:top w:val="nil"/>
              <w:left w:val="nil"/>
              <w:bottom w:val="nil"/>
              <w:right w:val="nil"/>
            </w:tcBorders>
            <w:shd w:val="clear" w:color="auto" w:fill="auto"/>
            <w:vAlign w:val="center"/>
          </w:tcPr>
          <w:p w14:paraId="0614BA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C42521">
        <w:trPr>
          <w:cantSplit/>
          <w:trHeight w:val="0" w:hRule="atLeast"/>
          <w:jc w:val="center"/>
        </w:trPr>
        <w:tc>
          <w:tcPr>
            <w:tcW w:w="2944" w:type="dxa"/>
            <w:tcBorders>
              <w:top w:val="nil"/>
              <w:left w:val="nil"/>
              <w:bottom w:val="nil"/>
              <w:right w:val="nil"/>
            </w:tcBorders>
            <w:shd w:val="clear" w:color="auto" w:fill="auto"/>
            <w:vAlign w:val="center"/>
          </w:tcPr>
          <w:p w14:paraId="5E12D0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P-ZLTC-SCOS-KCYH-005-60-001</w:t>
            </w:r>
          </w:p>
        </w:tc>
        <w:tc>
          <w:tcPr>
            <w:tcW w:w="945" w:type="dxa"/>
            <w:tcBorders>
              <w:top w:val="nil"/>
              <w:left w:val="nil"/>
              <w:bottom w:val="nil"/>
              <w:right w:val="nil"/>
            </w:tcBorders>
            <w:shd w:val="clear" w:color="auto" w:fill="auto"/>
            <w:vAlign w:val="center"/>
          </w:tcPr>
          <w:p w14:paraId="6410E5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判断是否纳入策略调整规则</w:t>
            </w:r>
          </w:p>
        </w:tc>
        <w:tc>
          <w:tcPr>
            <w:tcW w:w="966" w:type="dxa"/>
            <w:tcBorders>
              <w:top w:val="nil"/>
              <w:left w:val="nil"/>
              <w:bottom w:val="nil"/>
              <w:right w:val="nil"/>
            </w:tcBorders>
            <w:shd w:val="clear" w:color="auto" w:fill="auto"/>
            <w:vAlign w:val="center"/>
          </w:tcPr>
          <w:p w14:paraId="4DE711A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CF672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02677D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参数或策略改进建议形成后</w:t>
            </w:r>
          </w:p>
        </w:tc>
        <w:tc>
          <w:tcPr>
            <w:tcW w:w="1406" w:type="dxa"/>
            <w:tcBorders>
              <w:top w:val="nil"/>
              <w:left w:val="nil"/>
              <w:bottom w:val="nil"/>
              <w:right w:val="nil"/>
            </w:tcBorders>
            <w:shd w:val="clear" w:color="auto" w:fill="auto"/>
            <w:vAlign w:val="center"/>
          </w:tcPr>
          <w:p w14:paraId="551CA8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确认建议是否在下一月度策略制定中吸收；不纳入策略调整时保留改进建议待后续复核；纳入策略调整时形成策略调整任务。</w:t>
            </w:r>
          </w:p>
        </w:tc>
        <w:tc>
          <w:tcPr>
            <w:tcW w:w="1088" w:type="dxa"/>
            <w:tcBorders>
              <w:top w:val="nil"/>
              <w:left w:val="nil"/>
              <w:bottom w:val="nil"/>
              <w:right w:val="nil"/>
            </w:tcBorders>
            <w:shd w:val="clear" w:color="auto" w:fill="auto"/>
            <w:vAlign w:val="center"/>
          </w:tcPr>
          <w:p w14:paraId="2A28B9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改进处理意见</w:t>
            </w:r>
          </w:p>
        </w:tc>
        <w:tc>
          <w:tcPr>
            <w:tcW w:w="1460" w:type="dxa"/>
            <w:tcBorders>
              <w:top w:val="nil"/>
              <w:left w:val="nil"/>
              <w:bottom w:val="nil"/>
              <w:right w:val="nil"/>
            </w:tcBorders>
            <w:shd w:val="clear" w:color="auto" w:fill="auto"/>
            <w:vAlign w:val="center"/>
          </w:tcPr>
          <w:p w14:paraId="4A7E65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C92ECF9">
        <w:trPr>
          <w:cantSplit/>
          <w:trHeight w:val="0" w:hRule="atLeast"/>
          <w:jc w:val="center"/>
        </w:trPr>
        <w:tc>
          <w:tcPr>
            <w:tcW w:w="2944" w:type="dxa"/>
            <w:tcBorders>
              <w:top w:val="nil"/>
              <w:left w:val="nil"/>
              <w:bottom w:val="nil"/>
              <w:right w:val="nil"/>
            </w:tcBorders>
            <w:shd w:val="clear" w:color="auto" w:fill="auto"/>
            <w:vAlign w:val="center"/>
          </w:tcPr>
          <w:p w14:paraId="4E11FA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P-ZLTC-SCOS-KCYH-005-70-001</w:t>
            </w:r>
          </w:p>
        </w:tc>
        <w:tc>
          <w:tcPr>
            <w:tcW w:w="945" w:type="dxa"/>
            <w:tcBorders>
              <w:top w:val="nil"/>
              <w:left w:val="nil"/>
              <w:bottom w:val="nil"/>
              <w:right w:val="nil"/>
            </w:tcBorders>
            <w:shd w:val="clear" w:color="auto" w:fill="auto"/>
            <w:vAlign w:val="center"/>
          </w:tcPr>
          <w:p w14:paraId="095699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发布库存健康度报告与改进结论规则</w:t>
            </w:r>
          </w:p>
        </w:tc>
        <w:tc>
          <w:tcPr>
            <w:tcW w:w="966" w:type="dxa"/>
            <w:tcBorders>
              <w:top w:val="nil"/>
              <w:left w:val="nil"/>
              <w:bottom w:val="nil"/>
              <w:right w:val="nil"/>
            </w:tcBorders>
            <w:shd w:val="clear" w:color="auto" w:fill="auto"/>
            <w:vAlign w:val="center"/>
          </w:tcPr>
          <w:p w14:paraId="38DA3F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D738D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6AE62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无参数改进建议时</w:t>
            </w:r>
          </w:p>
        </w:tc>
        <w:tc>
          <w:tcPr>
            <w:tcW w:w="1406" w:type="dxa"/>
            <w:tcBorders>
              <w:top w:val="nil"/>
              <w:left w:val="nil"/>
              <w:bottom w:val="nil"/>
              <w:right w:val="nil"/>
            </w:tcBorders>
            <w:shd w:val="clear" w:color="auto" w:fill="auto"/>
            <w:vAlign w:val="center"/>
          </w:tcPr>
          <w:p w14:paraId="5BFF83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发布本期评价结果，并向供应链驾驶舱提供库存健康度指标；发布失败时保留待发布状态并支持重试。</w:t>
            </w:r>
          </w:p>
        </w:tc>
        <w:tc>
          <w:tcPr>
            <w:tcW w:w="1088" w:type="dxa"/>
            <w:tcBorders>
              <w:top w:val="nil"/>
              <w:left w:val="nil"/>
              <w:bottom w:val="nil"/>
              <w:right w:val="nil"/>
            </w:tcBorders>
            <w:shd w:val="clear" w:color="auto" w:fill="auto"/>
            <w:vAlign w:val="center"/>
          </w:tcPr>
          <w:p w14:paraId="1AB3B6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已发布库存健康度报告、改进结论和待跟踪任务</w:t>
            </w:r>
          </w:p>
        </w:tc>
        <w:tc>
          <w:tcPr>
            <w:tcW w:w="1460" w:type="dxa"/>
            <w:tcBorders>
              <w:top w:val="nil"/>
              <w:left w:val="nil"/>
              <w:bottom w:val="nil"/>
              <w:right w:val="nil"/>
            </w:tcBorders>
            <w:shd w:val="clear" w:color="auto" w:fill="auto"/>
            <w:vAlign w:val="center"/>
          </w:tcPr>
          <w:p w14:paraId="2C6C281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0E5898">
        <w:trPr>
          <w:cantSplit/>
          <w:trHeight w:val="0" w:hRule="atLeast"/>
          <w:jc w:val="center"/>
        </w:trPr>
        <w:tc>
          <w:tcPr>
            <w:tcW w:w="2944" w:type="dxa"/>
            <w:tcBorders>
              <w:top w:val="nil"/>
              <w:left w:val="nil"/>
              <w:bottom w:val="nil"/>
              <w:right w:val="nil"/>
            </w:tcBorders>
            <w:shd w:val="clear" w:color="auto" w:fill="auto"/>
            <w:vAlign w:val="center"/>
          </w:tcPr>
          <w:p w14:paraId="2E59892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P-ZLTC-SCOS-CGYH-001-10-001</w:t>
            </w:r>
          </w:p>
        </w:tc>
        <w:tc>
          <w:tcPr>
            <w:tcW w:w="945" w:type="dxa"/>
            <w:tcBorders>
              <w:top w:val="nil"/>
              <w:left w:val="nil"/>
              <w:bottom w:val="nil"/>
              <w:right w:val="nil"/>
            </w:tcBorders>
            <w:shd w:val="clear" w:color="auto" w:fill="auto"/>
            <w:vAlign w:val="center"/>
          </w:tcPr>
          <w:p w14:paraId="19B91B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形成待采购需求规则</w:t>
            </w:r>
          </w:p>
        </w:tc>
        <w:tc>
          <w:tcPr>
            <w:tcW w:w="966" w:type="dxa"/>
            <w:tcBorders>
              <w:top w:val="nil"/>
              <w:left w:val="nil"/>
              <w:bottom w:val="nil"/>
              <w:right w:val="nil"/>
            </w:tcBorders>
            <w:shd w:val="clear" w:color="auto" w:fill="auto"/>
            <w:vAlign w:val="center"/>
          </w:tcPr>
          <w:p w14:paraId="7E473F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D1ACC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61B553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月度采购方案编制周期开始时</w:t>
            </w:r>
          </w:p>
        </w:tc>
        <w:tc>
          <w:tcPr>
            <w:tcW w:w="1406" w:type="dxa"/>
            <w:tcBorders>
              <w:top w:val="nil"/>
              <w:left w:val="nil"/>
              <w:bottom w:val="nil"/>
              <w:right w:val="nil"/>
            </w:tcBorders>
            <w:shd w:val="clear" w:color="auto" w:fill="auto"/>
            <w:vAlign w:val="center"/>
          </w:tcPr>
          <w:p w14:paraId="5D46F6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系统按需求日期扣减可按时到货的有效采购承诺；数据异常时提示采购计划员处理；待采购需求为0时相应物料不进入后续优化。</w:t>
            </w:r>
          </w:p>
        </w:tc>
        <w:tc>
          <w:tcPr>
            <w:tcW w:w="1088" w:type="dxa"/>
            <w:tcBorders>
              <w:top w:val="nil"/>
              <w:left w:val="nil"/>
              <w:bottom w:val="nil"/>
              <w:right w:val="nil"/>
            </w:tcBorders>
            <w:shd w:val="clear" w:color="auto" w:fill="auto"/>
            <w:vAlign w:val="center"/>
          </w:tcPr>
          <w:p w14:paraId="5B864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分物料、分期待采购需求及要求到货日期</w:t>
            </w:r>
          </w:p>
        </w:tc>
        <w:tc>
          <w:tcPr>
            <w:tcW w:w="1460" w:type="dxa"/>
            <w:tcBorders>
              <w:top w:val="nil"/>
              <w:left w:val="nil"/>
              <w:bottom w:val="nil"/>
              <w:right w:val="nil"/>
            </w:tcBorders>
            <w:shd w:val="clear" w:color="auto" w:fill="auto"/>
            <w:vAlign w:val="center"/>
          </w:tcPr>
          <w:p w14:paraId="0390073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037A7F">
        <w:trPr>
          <w:cantSplit/>
          <w:trHeight w:val="0" w:hRule="atLeast"/>
          <w:jc w:val="center"/>
        </w:trPr>
        <w:tc>
          <w:tcPr>
            <w:tcW w:w="2944" w:type="dxa"/>
            <w:tcBorders>
              <w:top w:val="nil"/>
              <w:left w:val="nil"/>
              <w:bottom w:val="nil"/>
              <w:right w:val="nil"/>
            </w:tcBorders>
            <w:shd w:val="clear" w:color="auto" w:fill="auto"/>
            <w:vAlign w:val="center"/>
          </w:tcPr>
          <w:p w14:paraId="03E09A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P-ZLTC-SCOS-CGYH-001-20-001</w:t>
            </w:r>
          </w:p>
        </w:tc>
        <w:tc>
          <w:tcPr>
            <w:tcW w:w="945" w:type="dxa"/>
            <w:tcBorders>
              <w:top w:val="nil"/>
              <w:left w:val="nil"/>
              <w:bottom w:val="nil"/>
              <w:right w:val="nil"/>
            </w:tcBorders>
            <w:shd w:val="clear" w:color="auto" w:fill="auto"/>
            <w:vAlign w:val="center"/>
          </w:tcPr>
          <w:p w14:paraId="59F7BB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生成月度采购建议规则</w:t>
            </w:r>
          </w:p>
        </w:tc>
        <w:tc>
          <w:tcPr>
            <w:tcW w:w="966" w:type="dxa"/>
            <w:tcBorders>
              <w:top w:val="nil"/>
              <w:left w:val="nil"/>
              <w:bottom w:val="nil"/>
              <w:right w:val="nil"/>
            </w:tcBorders>
            <w:shd w:val="clear" w:color="auto" w:fill="auto"/>
            <w:vAlign w:val="center"/>
          </w:tcPr>
          <w:p w14:paraId="3561CE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D0427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35A94B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分物料、分期待采购需求及要求到货日期形成后</w:t>
            </w:r>
          </w:p>
        </w:tc>
        <w:tc>
          <w:tcPr>
            <w:tcW w:w="1406" w:type="dxa"/>
            <w:tcBorders>
              <w:top w:val="nil"/>
              <w:left w:val="nil"/>
              <w:bottom w:val="nil"/>
              <w:right w:val="nil"/>
            </w:tcBorders>
            <w:shd w:val="clear" w:color="auto" w:fill="auto"/>
            <w:vAlign w:val="center"/>
          </w:tcPr>
          <w:p w14:paraId="630313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按综合成本较低原则生成供应商推荐数量、建议到货日期；供货能力不足或到货时间不可达时输出缺口和原因。</w:t>
            </w:r>
          </w:p>
        </w:tc>
        <w:tc>
          <w:tcPr>
            <w:tcW w:w="1088" w:type="dxa"/>
            <w:tcBorders>
              <w:top w:val="nil"/>
              <w:left w:val="nil"/>
              <w:bottom w:val="nil"/>
              <w:right w:val="nil"/>
            </w:tcBorders>
            <w:shd w:val="clear" w:color="auto" w:fill="auto"/>
            <w:vAlign w:val="center"/>
          </w:tcPr>
          <w:p w14:paraId="244FBD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推荐方案、备选方案及锁价建议</w:t>
            </w:r>
          </w:p>
        </w:tc>
        <w:tc>
          <w:tcPr>
            <w:tcW w:w="1460" w:type="dxa"/>
            <w:tcBorders>
              <w:top w:val="nil"/>
              <w:left w:val="nil"/>
              <w:bottom w:val="nil"/>
              <w:right w:val="nil"/>
            </w:tcBorders>
            <w:shd w:val="clear" w:color="auto" w:fill="auto"/>
            <w:vAlign w:val="center"/>
          </w:tcPr>
          <w:p w14:paraId="088575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8DCD7F">
        <w:trPr>
          <w:cantSplit/>
          <w:trHeight w:val="0" w:hRule="atLeast"/>
          <w:jc w:val="center"/>
        </w:trPr>
        <w:tc>
          <w:tcPr>
            <w:tcW w:w="2944" w:type="dxa"/>
            <w:tcBorders>
              <w:top w:val="nil"/>
              <w:left w:val="nil"/>
              <w:bottom w:val="nil"/>
              <w:right w:val="nil"/>
            </w:tcBorders>
            <w:shd w:val="clear" w:color="auto" w:fill="auto"/>
            <w:vAlign w:val="center"/>
          </w:tcPr>
          <w:p w14:paraId="7BF4FD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P-ZLTC-SCOS-CGYH-001-30-001</w:t>
            </w:r>
          </w:p>
        </w:tc>
        <w:tc>
          <w:tcPr>
            <w:tcW w:w="945" w:type="dxa"/>
            <w:tcBorders>
              <w:top w:val="nil"/>
              <w:left w:val="nil"/>
              <w:bottom w:val="nil"/>
              <w:right w:val="nil"/>
            </w:tcBorders>
            <w:shd w:val="clear" w:color="auto" w:fill="auto"/>
            <w:vAlign w:val="center"/>
          </w:tcPr>
          <w:p w14:paraId="2E8A28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评审并调整采购方案规则</w:t>
            </w:r>
          </w:p>
        </w:tc>
        <w:tc>
          <w:tcPr>
            <w:tcW w:w="966" w:type="dxa"/>
            <w:tcBorders>
              <w:top w:val="nil"/>
              <w:left w:val="nil"/>
              <w:bottom w:val="nil"/>
              <w:right w:val="nil"/>
            </w:tcBorders>
            <w:shd w:val="clear" w:color="auto" w:fill="auto"/>
            <w:vAlign w:val="center"/>
          </w:tcPr>
          <w:p w14:paraId="3A5C6F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D759C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月度采购方案评审与调整</w:t>
            </w:r>
          </w:p>
        </w:tc>
        <w:tc>
          <w:tcPr>
            <w:tcW w:w="1098" w:type="dxa"/>
            <w:tcBorders>
              <w:top w:val="nil"/>
              <w:left w:val="nil"/>
              <w:bottom w:val="nil"/>
              <w:right w:val="nil"/>
            </w:tcBorders>
            <w:shd w:val="clear" w:color="auto" w:fill="auto"/>
            <w:vAlign w:val="center"/>
          </w:tcPr>
          <w:p w14:paraId="01A81D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推荐方案、备选方案及锁价建议形成并具备评审条件后</w:t>
            </w:r>
          </w:p>
        </w:tc>
        <w:tc>
          <w:tcPr>
            <w:tcW w:w="1406" w:type="dxa"/>
            <w:tcBorders>
              <w:top w:val="nil"/>
              <w:left w:val="nil"/>
              <w:bottom w:val="nil"/>
              <w:right w:val="nil"/>
            </w:tcBorders>
            <w:shd w:val="clear" w:color="auto" w:fill="auto"/>
            <w:vAlign w:val="center"/>
          </w:tcPr>
          <w:p w14:paraId="2509BB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比较方案并调整供应商及采购数量；可修改采购条件后重新生成建议。</w:t>
            </w:r>
          </w:p>
        </w:tc>
        <w:tc>
          <w:tcPr>
            <w:tcW w:w="1088" w:type="dxa"/>
            <w:tcBorders>
              <w:top w:val="nil"/>
              <w:left w:val="nil"/>
              <w:bottom w:val="nil"/>
              <w:right w:val="nil"/>
            </w:tcBorders>
            <w:shd w:val="clear" w:color="auto" w:fill="auto"/>
            <w:vAlign w:val="center"/>
          </w:tcPr>
          <w:p w14:paraId="0824BE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拟定月度采购方案</w:t>
            </w:r>
          </w:p>
        </w:tc>
        <w:tc>
          <w:tcPr>
            <w:tcW w:w="1460" w:type="dxa"/>
            <w:tcBorders>
              <w:top w:val="nil"/>
              <w:left w:val="nil"/>
              <w:bottom w:val="nil"/>
              <w:right w:val="nil"/>
            </w:tcBorders>
            <w:shd w:val="clear" w:color="auto" w:fill="auto"/>
            <w:vAlign w:val="center"/>
          </w:tcPr>
          <w:p w14:paraId="1959B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D847D">
        <w:trPr>
          <w:cantSplit/>
          <w:trHeight w:val="0" w:hRule="atLeast"/>
          <w:jc w:val="center"/>
        </w:trPr>
        <w:tc>
          <w:tcPr>
            <w:tcW w:w="2944" w:type="dxa"/>
            <w:tcBorders>
              <w:top w:val="nil"/>
              <w:left w:val="nil"/>
              <w:bottom w:val="nil"/>
              <w:right w:val="nil"/>
            </w:tcBorders>
            <w:shd w:val="clear" w:color="auto" w:fill="auto"/>
            <w:vAlign w:val="center"/>
          </w:tcPr>
          <w:p w14:paraId="61756A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P-ZLTC-SCOS-CGYH-001-40-001</w:t>
            </w:r>
          </w:p>
        </w:tc>
        <w:tc>
          <w:tcPr>
            <w:tcW w:w="945" w:type="dxa"/>
            <w:tcBorders>
              <w:top w:val="nil"/>
              <w:left w:val="nil"/>
              <w:bottom w:val="nil"/>
              <w:right w:val="nil"/>
            </w:tcBorders>
            <w:shd w:val="clear" w:color="auto" w:fill="auto"/>
            <w:vAlign w:val="center"/>
          </w:tcPr>
          <w:p w14:paraId="5C5177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确认采购方案规则</w:t>
            </w:r>
          </w:p>
        </w:tc>
        <w:tc>
          <w:tcPr>
            <w:tcW w:w="966" w:type="dxa"/>
            <w:tcBorders>
              <w:top w:val="nil"/>
              <w:left w:val="nil"/>
              <w:bottom w:val="nil"/>
              <w:right w:val="nil"/>
            </w:tcBorders>
            <w:shd w:val="clear" w:color="auto" w:fill="auto"/>
            <w:vAlign w:val="center"/>
          </w:tcPr>
          <w:p w14:paraId="151F04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552D1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9B90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月度采购方案形成并具备评审条件后</w:t>
            </w:r>
          </w:p>
        </w:tc>
        <w:tc>
          <w:tcPr>
            <w:tcW w:w="1406" w:type="dxa"/>
            <w:tcBorders>
              <w:top w:val="nil"/>
              <w:left w:val="nil"/>
              <w:bottom w:val="nil"/>
              <w:right w:val="nil"/>
            </w:tcBorders>
            <w:shd w:val="clear" w:color="auto" w:fill="auto"/>
            <w:vAlign w:val="center"/>
          </w:tcPr>
          <w:p w14:paraId="7156B8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校验供应商可供量、采购数量合计及其他方案约束；未确认时退回调整；确认通过后继续处理。</w:t>
            </w:r>
          </w:p>
        </w:tc>
        <w:tc>
          <w:tcPr>
            <w:tcW w:w="1088" w:type="dxa"/>
            <w:tcBorders>
              <w:top w:val="nil"/>
              <w:left w:val="nil"/>
              <w:bottom w:val="nil"/>
              <w:right w:val="nil"/>
            </w:tcBorders>
            <w:shd w:val="clear" w:color="auto" w:fill="auto"/>
            <w:vAlign w:val="center"/>
          </w:tcPr>
          <w:p w14:paraId="096087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B5E62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ED8890">
        <w:trPr>
          <w:cantSplit/>
          <w:trHeight w:val="0" w:hRule="atLeast"/>
          <w:jc w:val="center"/>
        </w:trPr>
        <w:tc>
          <w:tcPr>
            <w:tcW w:w="2944" w:type="dxa"/>
            <w:tcBorders>
              <w:top w:val="nil"/>
              <w:left w:val="nil"/>
              <w:bottom w:val="nil"/>
              <w:right w:val="nil"/>
            </w:tcBorders>
            <w:shd w:val="clear" w:color="auto" w:fill="auto"/>
            <w:vAlign w:val="center"/>
          </w:tcPr>
          <w:p w14:paraId="736EDC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P-ZLTC-SCOS-CGYH-001-50-001</w:t>
            </w:r>
          </w:p>
        </w:tc>
        <w:tc>
          <w:tcPr>
            <w:tcW w:w="945" w:type="dxa"/>
            <w:tcBorders>
              <w:top w:val="nil"/>
              <w:left w:val="nil"/>
              <w:bottom w:val="nil"/>
              <w:right w:val="nil"/>
            </w:tcBorders>
            <w:shd w:val="clear" w:color="auto" w:fill="auto"/>
            <w:vAlign w:val="center"/>
          </w:tcPr>
          <w:p w14:paraId="0FD966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审批月度采购方案规则</w:t>
            </w:r>
          </w:p>
        </w:tc>
        <w:tc>
          <w:tcPr>
            <w:tcW w:w="966" w:type="dxa"/>
            <w:tcBorders>
              <w:top w:val="nil"/>
              <w:left w:val="nil"/>
              <w:bottom w:val="nil"/>
              <w:right w:val="nil"/>
            </w:tcBorders>
            <w:shd w:val="clear" w:color="auto" w:fill="auto"/>
            <w:vAlign w:val="center"/>
          </w:tcPr>
          <w:p w14:paraId="40CD00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6824E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08F5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确认采购方案通过时</w:t>
            </w:r>
          </w:p>
        </w:tc>
        <w:tc>
          <w:tcPr>
            <w:tcW w:w="1406" w:type="dxa"/>
            <w:tcBorders>
              <w:top w:val="nil"/>
              <w:left w:val="nil"/>
              <w:bottom w:val="nil"/>
              <w:right w:val="nil"/>
            </w:tcBorders>
            <w:shd w:val="clear" w:color="auto" w:fill="auto"/>
            <w:vAlign w:val="center"/>
          </w:tcPr>
          <w:p w14:paraId="7B9F9B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审核需求依据、供应商选择、数量分配、成本及合同和锁价约束；审批未通过时退回修改；审批通过后继续处理。</w:t>
            </w:r>
          </w:p>
        </w:tc>
        <w:tc>
          <w:tcPr>
            <w:tcW w:w="1088" w:type="dxa"/>
            <w:tcBorders>
              <w:top w:val="nil"/>
              <w:left w:val="nil"/>
              <w:bottom w:val="nil"/>
              <w:right w:val="nil"/>
            </w:tcBorders>
            <w:shd w:val="clear" w:color="auto" w:fill="auto"/>
            <w:vAlign w:val="center"/>
          </w:tcPr>
          <w:p w14:paraId="2D767E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C7EF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634E8">
        <w:trPr>
          <w:cantSplit/>
          <w:trHeight w:val="0" w:hRule="atLeast"/>
          <w:jc w:val="center"/>
        </w:trPr>
        <w:tc>
          <w:tcPr>
            <w:tcW w:w="2944" w:type="dxa"/>
            <w:tcBorders>
              <w:top w:val="nil"/>
              <w:left w:val="nil"/>
              <w:bottom w:val="nil"/>
              <w:right w:val="nil"/>
            </w:tcBorders>
            <w:shd w:val="clear" w:color="auto" w:fill="auto"/>
            <w:vAlign w:val="center"/>
          </w:tcPr>
          <w:p w14:paraId="248CE97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P-ZLTC-SCOS-CGYH-001-60-001</w:t>
            </w:r>
          </w:p>
        </w:tc>
        <w:tc>
          <w:tcPr>
            <w:tcW w:w="945" w:type="dxa"/>
            <w:tcBorders>
              <w:top w:val="nil"/>
              <w:left w:val="nil"/>
              <w:bottom w:val="nil"/>
              <w:right w:val="nil"/>
            </w:tcBorders>
            <w:shd w:val="clear" w:color="auto" w:fill="auto"/>
            <w:vAlign w:val="center"/>
          </w:tcPr>
          <w:p w14:paraId="69A25A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发布已确认采购方案规则</w:t>
            </w:r>
          </w:p>
        </w:tc>
        <w:tc>
          <w:tcPr>
            <w:tcW w:w="966" w:type="dxa"/>
            <w:tcBorders>
              <w:top w:val="nil"/>
              <w:left w:val="nil"/>
              <w:bottom w:val="nil"/>
              <w:right w:val="nil"/>
            </w:tcBorders>
            <w:shd w:val="clear" w:color="auto" w:fill="auto"/>
            <w:vAlign w:val="center"/>
          </w:tcPr>
          <w:p w14:paraId="0CB410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46EF4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1839BE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审批月度采购方案通过时</w:t>
            </w:r>
          </w:p>
        </w:tc>
        <w:tc>
          <w:tcPr>
            <w:tcW w:w="1406" w:type="dxa"/>
            <w:tcBorders>
              <w:top w:val="nil"/>
              <w:left w:val="nil"/>
              <w:bottom w:val="nil"/>
              <w:right w:val="nil"/>
            </w:tcBorders>
            <w:shd w:val="clear" w:color="auto" w:fill="auto"/>
            <w:vAlign w:val="center"/>
          </w:tcPr>
          <w:p w14:paraId="0A60F8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发布方案并留存关键结果和审批依据；发布失败时保留待发布状态并支持重试。</w:t>
            </w:r>
          </w:p>
        </w:tc>
        <w:tc>
          <w:tcPr>
            <w:tcW w:w="1088" w:type="dxa"/>
            <w:tcBorders>
              <w:top w:val="nil"/>
              <w:left w:val="nil"/>
              <w:bottom w:val="nil"/>
              <w:right w:val="nil"/>
            </w:tcBorders>
            <w:shd w:val="clear" w:color="auto" w:fill="auto"/>
            <w:vAlign w:val="center"/>
          </w:tcPr>
          <w:p w14:paraId="35C75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已确认月度采购方案及版本</w:t>
            </w:r>
          </w:p>
        </w:tc>
        <w:tc>
          <w:tcPr>
            <w:tcW w:w="1460" w:type="dxa"/>
            <w:tcBorders>
              <w:top w:val="nil"/>
              <w:left w:val="nil"/>
              <w:bottom w:val="nil"/>
              <w:right w:val="nil"/>
            </w:tcBorders>
            <w:shd w:val="clear" w:color="auto" w:fill="auto"/>
            <w:vAlign w:val="center"/>
          </w:tcPr>
          <w:p w14:paraId="16B0DB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182CCE">
        <w:trPr>
          <w:cantSplit/>
          <w:trHeight w:val="0" w:hRule="atLeast"/>
          <w:jc w:val="center"/>
        </w:trPr>
        <w:tc>
          <w:tcPr>
            <w:tcW w:w="2944" w:type="dxa"/>
            <w:tcBorders>
              <w:top w:val="nil"/>
              <w:left w:val="nil"/>
              <w:bottom w:val="nil"/>
              <w:right w:val="nil"/>
            </w:tcBorders>
            <w:shd w:val="clear" w:color="auto" w:fill="auto"/>
            <w:vAlign w:val="center"/>
          </w:tcPr>
          <w:p w14:paraId="4CFA10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P-ZLTC-SCOS-CGYH-001-70-001</w:t>
            </w:r>
          </w:p>
        </w:tc>
        <w:tc>
          <w:tcPr>
            <w:tcW w:w="945" w:type="dxa"/>
            <w:tcBorders>
              <w:top w:val="nil"/>
              <w:left w:val="nil"/>
              <w:bottom w:val="nil"/>
              <w:right w:val="nil"/>
            </w:tcBorders>
            <w:shd w:val="clear" w:color="auto" w:fill="auto"/>
            <w:vAlign w:val="center"/>
          </w:tcPr>
          <w:p w14:paraId="4741715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进入采购执行规则</w:t>
            </w:r>
          </w:p>
        </w:tc>
        <w:tc>
          <w:tcPr>
            <w:tcW w:w="966" w:type="dxa"/>
            <w:tcBorders>
              <w:top w:val="nil"/>
              <w:left w:val="nil"/>
              <w:bottom w:val="nil"/>
              <w:right w:val="nil"/>
            </w:tcBorders>
            <w:shd w:val="clear" w:color="auto" w:fill="auto"/>
            <w:vAlign w:val="center"/>
          </w:tcPr>
          <w:p w14:paraId="51FB7B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41458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C1FAA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月度采购方案及版本形成后</w:t>
            </w:r>
          </w:p>
        </w:tc>
        <w:tc>
          <w:tcPr>
            <w:tcW w:w="1406" w:type="dxa"/>
            <w:tcBorders>
              <w:top w:val="nil"/>
              <w:left w:val="nil"/>
              <w:bottom w:val="nil"/>
              <w:right w:val="nil"/>
            </w:tcBorders>
            <w:shd w:val="clear" w:color="auto" w:fill="auto"/>
            <w:vAlign w:val="center"/>
          </w:tcPr>
          <w:p w14:paraId="50765B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向E采/SAP提供已确认的供应商、采购数量、采购时点；接口失败时保留待下发状态并支持重推。</w:t>
            </w:r>
          </w:p>
        </w:tc>
        <w:tc>
          <w:tcPr>
            <w:tcW w:w="1088" w:type="dxa"/>
            <w:tcBorders>
              <w:top w:val="nil"/>
              <w:left w:val="nil"/>
              <w:bottom w:val="nil"/>
              <w:right w:val="nil"/>
            </w:tcBorders>
            <w:shd w:val="clear" w:color="auto" w:fill="auto"/>
            <w:vAlign w:val="center"/>
          </w:tcPr>
          <w:p w14:paraId="1BEC8B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采购执行依据</w:t>
            </w:r>
          </w:p>
        </w:tc>
        <w:tc>
          <w:tcPr>
            <w:tcW w:w="1460" w:type="dxa"/>
            <w:tcBorders>
              <w:top w:val="nil"/>
              <w:left w:val="nil"/>
              <w:bottom w:val="nil"/>
              <w:right w:val="nil"/>
            </w:tcBorders>
            <w:shd w:val="clear" w:color="auto" w:fill="auto"/>
            <w:vAlign w:val="center"/>
          </w:tcPr>
          <w:p w14:paraId="658E01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3A4133A8">
        <w:trPr>
          <w:cantSplit/>
          <w:trHeight w:val="0" w:hRule="atLeast"/>
          <w:jc w:val="center"/>
        </w:trPr>
        <w:tc>
          <w:tcPr>
            <w:tcW w:w="2944" w:type="dxa"/>
            <w:tcBorders>
              <w:top w:val="nil"/>
              <w:left w:val="nil"/>
              <w:bottom w:val="nil"/>
              <w:right w:val="nil"/>
            </w:tcBorders>
            <w:shd w:val="clear" w:color="auto" w:fill="auto"/>
            <w:vAlign w:val="center"/>
          </w:tcPr>
          <w:p w14:paraId="393D2D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P-ZLTC-SCOS-CGYH-002-10-001</w:t>
            </w:r>
          </w:p>
        </w:tc>
        <w:tc>
          <w:tcPr>
            <w:tcW w:w="945" w:type="dxa"/>
            <w:tcBorders>
              <w:top w:val="nil"/>
              <w:left w:val="nil"/>
              <w:bottom w:val="nil"/>
              <w:right w:val="nil"/>
            </w:tcBorders>
            <w:shd w:val="clear" w:color="auto" w:fill="auto"/>
            <w:vAlign w:val="center"/>
          </w:tcPr>
          <w:p w14:paraId="314B20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提供供应商评价与资质数据规则</w:t>
            </w:r>
          </w:p>
        </w:tc>
        <w:tc>
          <w:tcPr>
            <w:tcW w:w="966" w:type="dxa"/>
            <w:tcBorders>
              <w:top w:val="nil"/>
              <w:left w:val="nil"/>
              <w:bottom w:val="nil"/>
              <w:right w:val="nil"/>
            </w:tcBorders>
            <w:shd w:val="clear" w:color="auto" w:fill="auto"/>
            <w:vAlign w:val="center"/>
          </w:tcPr>
          <w:p w14:paraId="4F285C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F9C9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467B1D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系统按评价周期运行，或在采购订单执行、质量结果及供应商资质发生变化时</w:t>
            </w:r>
          </w:p>
        </w:tc>
        <w:tc>
          <w:tcPr>
            <w:tcW w:w="1406" w:type="dxa"/>
            <w:tcBorders>
              <w:top w:val="nil"/>
              <w:left w:val="nil"/>
              <w:bottom w:val="nil"/>
              <w:right w:val="nil"/>
            </w:tcBorders>
            <w:shd w:val="clear" w:color="auto" w:fill="auto"/>
            <w:vAlign w:val="center"/>
          </w:tcPr>
          <w:p w14:paraId="2E0307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通过统一数据服务层汇集供应商评价所需数据；数据缺失或接口异常时保留最近有效数据并标记数据时间。</w:t>
            </w:r>
          </w:p>
        </w:tc>
        <w:tc>
          <w:tcPr>
            <w:tcW w:w="1088" w:type="dxa"/>
            <w:tcBorders>
              <w:top w:val="nil"/>
              <w:left w:val="nil"/>
              <w:bottom w:val="nil"/>
              <w:right w:val="nil"/>
            </w:tcBorders>
            <w:shd w:val="clear" w:color="auto" w:fill="auto"/>
            <w:vAlign w:val="center"/>
          </w:tcPr>
          <w:p w14:paraId="58AB0F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供应商评价数据集</w:t>
            </w:r>
          </w:p>
        </w:tc>
        <w:tc>
          <w:tcPr>
            <w:tcW w:w="1460" w:type="dxa"/>
            <w:tcBorders>
              <w:top w:val="nil"/>
              <w:left w:val="nil"/>
              <w:bottom w:val="nil"/>
              <w:right w:val="nil"/>
            </w:tcBorders>
            <w:shd w:val="clear" w:color="auto" w:fill="auto"/>
            <w:vAlign w:val="center"/>
          </w:tcPr>
          <w:p w14:paraId="3AE052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33008AF">
        <w:trPr>
          <w:cantSplit/>
          <w:trHeight w:val="0" w:hRule="atLeast"/>
          <w:jc w:val="center"/>
        </w:trPr>
        <w:tc>
          <w:tcPr>
            <w:tcW w:w="2944" w:type="dxa"/>
            <w:tcBorders>
              <w:top w:val="nil"/>
              <w:left w:val="nil"/>
              <w:bottom w:val="nil"/>
              <w:right w:val="nil"/>
            </w:tcBorders>
            <w:shd w:val="clear" w:color="auto" w:fill="auto"/>
            <w:vAlign w:val="center"/>
          </w:tcPr>
          <w:p w14:paraId="0F3285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P-ZLTC-SCOS-CGYH-002-20-001</w:t>
            </w:r>
          </w:p>
        </w:tc>
        <w:tc>
          <w:tcPr>
            <w:tcW w:w="945" w:type="dxa"/>
            <w:tcBorders>
              <w:top w:val="nil"/>
              <w:left w:val="nil"/>
              <w:bottom w:val="nil"/>
              <w:right w:val="nil"/>
            </w:tcBorders>
            <w:shd w:val="clear" w:color="auto" w:fill="auto"/>
            <w:vAlign w:val="center"/>
          </w:tcPr>
          <w:p w14:paraId="082EE2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生成供应商画像与预警规则</w:t>
            </w:r>
          </w:p>
        </w:tc>
        <w:tc>
          <w:tcPr>
            <w:tcW w:w="966" w:type="dxa"/>
            <w:tcBorders>
              <w:top w:val="nil"/>
              <w:left w:val="nil"/>
              <w:bottom w:val="nil"/>
              <w:right w:val="nil"/>
            </w:tcBorders>
            <w:shd w:val="clear" w:color="auto" w:fill="auto"/>
            <w:vAlign w:val="center"/>
          </w:tcPr>
          <w:p w14:paraId="6DA119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B56FE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16111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供应商评价数据集形成后</w:t>
            </w:r>
          </w:p>
        </w:tc>
        <w:tc>
          <w:tcPr>
            <w:tcW w:w="1406" w:type="dxa"/>
            <w:tcBorders>
              <w:top w:val="nil"/>
              <w:left w:val="nil"/>
              <w:bottom w:val="nil"/>
              <w:right w:val="nil"/>
            </w:tcBorders>
            <w:shd w:val="clear" w:color="auto" w:fill="auto"/>
            <w:vAlign w:val="center"/>
          </w:tcPr>
          <w:p w14:paraId="1F5563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更新历史价格、交付、质量、财务和风险指标；评分所需数据不足时标记“待补充”，不得给出误导性完整评分。</w:t>
            </w:r>
          </w:p>
        </w:tc>
        <w:tc>
          <w:tcPr>
            <w:tcW w:w="1088" w:type="dxa"/>
            <w:tcBorders>
              <w:top w:val="nil"/>
              <w:left w:val="nil"/>
              <w:bottom w:val="nil"/>
              <w:right w:val="nil"/>
            </w:tcBorders>
            <w:shd w:val="clear" w:color="auto" w:fill="auto"/>
            <w:vAlign w:val="center"/>
          </w:tcPr>
          <w:p w14:paraId="69FD66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供应商画像、绩效评分、资质及风险预警</w:t>
            </w:r>
          </w:p>
        </w:tc>
        <w:tc>
          <w:tcPr>
            <w:tcW w:w="1460" w:type="dxa"/>
            <w:tcBorders>
              <w:top w:val="nil"/>
              <w:left w:val="nil"/>
              <w:bottom w:val="nil"/>
              <w:right w:val="nil"/>
            </w:tcBorders>
            <w:shd w:val="clear" w:color="auto" w:fill="auto"/>
            <w:vAlign w:val="center"/>
          </w:tcPr>
          <w:p w14:paraId="65D5E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951FB8">
        <w:trPr>
          <w:cantSplit/>
          <w:trHeight w:val="0" w:hRule="atLeast"/>
          <w:jc w:val="center"/>
        </w:trPr>
        <w:tc>
          <w:tcPr>
            <w:tcW w:w="2944" w:type="dxa"/>
            <w:tcBorders>
              <w:top w:val="nil"/>
              <w:left w:val="nil"/>
              <w:bottom w:val="nil"/>
              <w:right w:val="nil"/>
            </w:tcBorders>
            <w:shd w:val="clear" w:color="auto" w:fill="auto"/>
            <w:vAlign w:val="center"/>
          </w:tcPr>
          <w:p w14:paraId="547818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P-ZLTC-SCOS-CGYH-002-30-001</w:t>
            </w:r>
          </w:p>
        </w:tc>
        <w:tc>
          <w:tcPr>
            <w:tcW w:w="945" w:type="dxa"/>
            <w:tcBorders>
              <w:top w:val="nil"/>
              <w:left w:val="nil"/>
              <w:bottom w:val="nil"/>
              <w:right w:val="nil"/>
            </w:tcBorders>
            <w:shd w:val="clear" w:color="auto" w:fill="auto"/>
            <w:vAlign w:val="center"/>
          </w:tcPr>
          <w:p w14:paraId="421B2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判断是否存在异常或预警规则</w:t>
            </w:r>
          </w:p>
        </w:tc>
        <w:tc>
          <w:tcPr>
            <w:tcW w:w="966" w:type="dxa"/>
            <w:tcBorders>
              <w:top w:val="nil"/>
              <w:left w:val="nil"/>
              <w:bottom w:val="nil"/>
              <w:right w:val="nil"/>
            </w:tcBorders>
            <w:shd w:val="clear" w:color="auto" w:fill="auto"/>
            <w:vAlign w:val="center"/>
          </w:tcPr>
          <w:p w14:paraId="1D4D31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C25FE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5C5413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供应商画像、绩效评分、资质及风险预警形成后</w:t>
            </w:r>
          </w:p>
        </w:tc>
        <w:tc>
          <w:tcPr>
            <w:tcW w:w="1406" w:type="dxa"/>
            <w:tcBorders>
              <w:top w:val="nil"/>
              <w:left w:val="nil"/>
              <w:bottom w:val="nil"/>
              <w:right w:val="nil"/>
            </w:tcBorders>
            <w:shd w:val="clear" w:color="auto" w:fill="auto"/>
            <w:vAlign w:val="center"/>
          </w:tcPr>
          <w:p w14:paraId="64F060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判断是否存在资质到期、绩效明显下降、质量或交付异常；不存在异常或预警时发布正常评价结果；存在异常或预警时继续处理。</w:t>
            </w:r>
          </w:p>
        </w:tc>
        <w:tc>
          <w:tcPr>
            <w:tcW w:w="1088" w:type="dxa"/>
            <w:tcBorders>
              <w:top w:val="nil"/>
              <w:left w:val="nil"/>
              <w:bottom w:val="nil"/>
              <w:right w:val="nil"/>
            </w:tcBorders>
            <w:shd w:val="clear" w:color="auto" w:fill="auto"/>
            <w:vAlign w:val="center"/>
          </w:tcPr>
          <w:p w14:paraId="54ABB7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判断结论</w:t>
            </w:r>
          </w:p>
        </w:tc>
        <w:tc>
          <w:tcPr>
            <w:tcW w:w="1460" w:type="dxa"/>
            <w:tcBorders>
              <w:top w:val="nil"/>
              <w:left w:val="nil"/>
              <w:bottom w:val="nil"/>
              <w:right w:val="nil"/>
            </w:tcBorders>
            <w:shd w:val="clear" w:color="auto" w:fill="auto"/>
            <w:vAlign w:val="center"/>
          </w:tcPr>
          <w:p w14:paraId="3DDB08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D3033B">
        <w:trPr>
          <w:cantSplit/>
          <w:trHeight w:val="0" w:hRule="atLeast"/>
          <w:jc w:val="center"/>
        </w:trPr>
        <w:tc>
          <w:tcPr>
            <w:tcW w:w="2944" w:type="dxa"/>
            <w:tcBorders>
              <w:top w:val="nil"/>
              <w:left w:val="nil"/>
              <w:bottom w:val="nil"/>
              <w:right w:val="nil"/>
            </w:tcBorders>
            <w:shd w:val="clear" w:color="auto" w:fill="auto"/>
            <w:vAlign w:val="center"/>
          </w:tcPr>
          <w:p w14:paraId="012B5C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P-ZLTC-SCOS-CGYH-002-40-001</w:t>
            </w:r>
          </w:p>
        </w:tc>
        <w:tc>
          <w:tcPr>
            <w:tcW w:w="945" w:type="dxa"/>
            <w:tcBorders>
              <w:top w:val="nil"/>
              <w:left w:val="nil"/>
              <w:bottom w:val="nil"/>
              <w:right w:val="nil"/>
            </w:tcBorders>
            <w:shd w:val="clear" w:color="auto" w:fill="auto"/>
            <w:vAlign w:val="center"/>
          </w:tcPr>
          <w:p w14:paraId="3BEE3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复核评价结果规则</w:t>
            </w:r>
          </w:p>
        </w:tc>
        <w:tc>
          <w:tcPr>
            <w:tcW w:w="966" w:type="dxa"/>
            <w:tcBorders>
              <w:top w:val="nil"/>
              <w:left w:val="nil"/>
              <w:bottom w:val="nil"/>
              <w:right w:val="nil"/>
            </w:tcBorders>
            <w:shd w:val="clear" w:color="auto" w:fill="auto"/>
            <w:vAlign w:val="center"/>
          </w:tcPr>
          <w:p w14:paraId="324B16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BE6D3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314237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存在异常或预警时</w:t>
            </w:r>
          </w:p>
        </w:tc>
        <w:tc>
          <w:tcPr>
            <w:tcW w:w="1406" w:type="dxa"/>
            <w:tcBorders>
              <w:top w:val="nil"/>
              <w:left w:val="nil"/>
              <w:bottom w:val="nil"/>
              <w:right w:val="nil"/>
            </w:tcBorders>
            <w:shd w:val="clear" w:color="auto" w:fill="auto"/>
            <w:vAlign w:val="center"/>
          </w:tcPr>
          <w:p w14:paraId="348045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核实异常数据、资质文件和风险信息；数据有误时返回数据源修正后重新评价。</w:t>
            </w:r>
          </w:p>
        </w:tc>
        <w:tc>
          <w:tcPr>
            <w:tcW w:w="1088" w:type="dxa"/>
            <w:tcBorders>
              <w:top w:val="nil"/>
              <w:left w:val="nil"/>
              <w:bottom w:val="nil"/>
              <w:right w:val="nil"/>
            </w:tcBorders>
            <w:shd w:val="clear" w:color="auto" w:fill="auto"/>
            <w:vAlign w:val="center"/>
          </w:tcPr>
          <w:p w14:paraId="133B1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4AE79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640AB4">
        <w:trPr>
          <w:cantSplit/>
          <w:trHeight w:val="0" w:hRule="atLeast"/>
          <w:jc w:val="center"/>
        </w:trPr>
        <w:tc>
          <w:tcPr>
            <w:tcW w:w="2944" w:type="dxa"/>
            <w:tcBorders>
              <w:top w:val="nil"/>
              <w:left w:val="nil"/>
              <w:bottom w:val="nil"/>
              <w:right w:val="nil"/>
            </w:tcBorders>
            <w:shd w:val="clear" w:color="auto" w:fill="auto"/>
            <w:vAlign w:val="center"/>
          </w:tcPr>
          <w:p w14:paraId="07BE72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P-ZLTC-SCOS-CGYH-002-50-001</w:t>
            </w:r>
          </w:p>
        </w:tc>
        <w:tc>
          <w:tcPr>
            <w:tcW w:w="945" w:type="dxa"/>
            <w:tcBorders>
              <w:top w:val="nil"/>
              <w:left w:val="nil"/>
              <w:bottom w:val="nil"/>
              <w:right w:val="nil"/>
            </w:tcBorders>
            <w:shd w:val="clear" w:color="auto" w:fill="auto"/>
            <w:vAlign w:val="center"/>
          </w:tcPr>
          <w:p w14:paraId="291725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判断是否调整供应商状态规则</w:t>
            </w:r>
          </w:p>
        </w:tc>
        <w:tc>
          <w:tcPr>
            <w:tcW w:w="966" w:type="dxa"/>
            <w:tcBorders>
              <w:top w:val="nil"/>
              <w:left w:val="nil"/>
              <w:bottom w:val="nil"/>
              <w:right w:val="nil"/>
            </w:tcBorders>
            <w:shd w:val="clear" w:color="auto" w:fill="auto"/>
            <w:vAlign w:val="center"/>
          </w:tcPr>
          <w:p w14:paraId="64690C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A763C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7CC8F2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4E668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判断是否限制选择、暂停合作、恢复合作或维持现状；需要调整时提出状态变更建议，无需调整时保留现状。</w:t>
            </w:r>
          </w:p>
        </w:tc>
        <w:tc>
          <w:tcPr>
            <w:tcW w:w="1088" w:type="dxa"/>
            <w:tcBorders>
              <w:top w:val="nil"/>
              <w:left w:val="nil"/>
              <w:bottom w:val="nil"/>
              <w:right w:val="nil"/>
            </w:tcBorders>
            <w:shd w:val="clear" w:color="auto" w:fill="auto"/>
            <w:vAlign w:val="center"/>
          </w:tcPr>
          <w:p w14:paraId="0E88A5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供应商状态调整建议</w:t>
            </w:r>
          </w:p>
        </w:tc>
        <w:tc>
          <w:tcPr>
            <w:tcW w:w="1460" w:type="dxa"/>
            <w:tcBorders>
              <w:top w:val="nil"/>
              <w:left w:val="nil"/>
              <w:bottom w:val="nil"/>
              <w:right w:val="nil"/>
            </w:tcBorders>
            <w:shd w:val="clear" w:color="auto" w:fill="auto"/>
            <w:vAlign w:val="center"/>
          </w:tcPr>
          <w:p w14:paraId="29A860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F97543">
        <w:trPr>
          <w:cantSplit/>
          <w:trHeight w:val="0" w:hRule="atLeast"/>
          <w:jc w:val="center"/>
        </w:trPr>
        <w:tc>
          <w:tcPr>
            <w:tcW w:w="2944" w:type="dxa"/>
            <w:tcBorders>
              <w:top w:val="nil"/>
              <w:left w:val="nil"/>
              <w:bottom w:val="nil"/>
              <w:right w:val="nil"/>
            </w:tcBorders>
            <w:shd w:val="clear" w:color="auto" w:fill="auto"/>
            <w:vAlign w:val="center"/>
          </w:tcPr>
          <w:p w14:paraId="412909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P-ZLTC-SCOS-CGYH-002-60-001</w:t>
            </w:r>
          </w:p>
        </w:tc>
        <w:tc>
          <w:tcPr>
            <w:tcW w:w="945" w:type="dxa"/>
            <w:tcBorders>
              <w:top w:val="nil"/>
              <w:left w:val="nil"/>
              <w:bottom w:val="nil"/>
              <w:right w:val="nil"/>
            </w:tcBorders>
            <w:shd w:val="clear" w:color="auto" w:fill="auto"/>
            <w:vAlign w:val="center"/>
          </w:tcPr>
          <w:p w14:paraId="211342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审批状态调整规则</w:t>
            </w:r>
          </w:p>
        </w:tc>
        <w:tc>
          <w:tcPr>
            <w:tcW w:w="966" w:type="dxa"/>
            <w:tcBorders>
              <w:top w:val="nil"/>
              <w:left w:val="nil"/>
              <w:bottom w:val="nil"/>
              <w:right w:val="nil"/>
            </w:tcBorders>
            <w:shd w:val="clear" w:color="auto" w:fill="auto"/>
            <w:vAlign w:val="center"/>
          </w:tcPr>
          <w:p w14:paraId="06A34F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356C0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28947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需要调整供应商状态时</w:t>
            </w:r>
          </w:p>
        </w:tc>
        <w:tc>
          <w:tcPr>
            <w:tcW w:w="1406" w:type="dxa"/>
            <w:tcBorders>
              <w:top w:val="nil"/>
              <w:left w:val="nil"/>
              <w:bottom w:val="nil"/>
              <w:right w:val="nil"/>
            </w:tcBorders>
            <w:shd w:val="clear" w:color="auto" w:fill="auto"/>
            <w:vAlign w:val="center"/>
          </w:tcPr>
          <w:p w14:paraId="59B415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审批供应商状态调整和处置意见；审批未通过时退回补充说明；审批通过后继续处理。</w:t>
            </w:r>
          </w:p>
        </w:tc>
        <w:tc>
          <w:tcPr>
            <w:tcW w:w="1088" w:type="dxa"/>
            <w:tcBorders>
              <w:top w:val="nil"/>
              <w:left w:val="nil"/>
              <w:bottom w:val="nil"/>
              <w:right w:val="nil"/>
            </w:tcBorders>
            <w:shd w:val="clear" w:color="auto" w:fill="auto"/>
            <w:vAlign w:val="center"/>
          </w:tcPr>
          <w:p w14:paraId="5A1B8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769DCB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FBC5E2">
        <w:trPr>
          <w:cantSplit/>
          <w:trHeight w:val="0" w:hRule="atLeast"/>
          <w:jc w:val="center"/>
        </w:trPr>
        <w:tc>
          <w:tcPr>
            <w:tcW w:w="2944" w:type="dxa"/>
            <w:tcBorders>
              <w:top w:val="nil"/>
              <w:left w:val="nil"/>
              <w:bottom w:val="nil"/>
              <w:right w:val="nil"/>
            </w:tcBorders>
            <w:shd w:val="clear" w:color="auto" w:fill="auto"/>
            <w:vAlign w:val="center"/>
          </w:tcPr>
          <w:p w14:paraId="178717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P-ZLTC-SCOS-CGYH-002-70-001</w:t>
            </w:r>
          </w:p>
        </w:tc>
        <w:tc>
          <w:tcPr>
            <w:tcW w:w="945" w:type="dxa"/>
            <w:tcBorders>
              <w:top w:val="nil"/>
              <w:left w:val="nil"/>
              <w:bottom w:val="nil"/>
              <w:right w:val="nil"/>
            </w:tcBorders>
            <w:shd w:val="clear" w:color="auto" w:fill="auto"/>
            <w:vAlign w:val="center"/>
          </w:tcPr>
          <w:p w14:paraId="628DEE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发布供应商评价结果规则</w:t>
            </w:r>
          </w:p>
        </w:tc>
        <w:tc>
          <w:tcPr>
            <w:tcW w:w="966" w:type="dxa"/>
            <w:tcBorders>
              <w:top w:val="nil"/>
              <w:left w:val="nil"/>
              <w:bottom w:val="nil"/>
              <w:right w:val="nil"/>
            </w:tcBorders>
            <w:shd w:val="clear" w:color="auto" w:fill="auto"/>
            <w:vAlign w:val="center"/>
          </w:tcPr>
          <w:p w14:paraId="5FC38D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AE2C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00933D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审批状态调整通过时</w:t>
            </w:r>
          </w:p>
        </w:tc>
        <w:tc>
          <w:tcPr>
            <w:tcW w:w="1406" w:type="dxa"/>
            <w:tcBorders>
              <w:top w:val="nil"/>
              <w:left w:val="nil"/>
              <w:bottom w:val="nil"/>
              <w:right w:val="nil"/>
            </w:tcBorders>
            <w:shd w:val="clear" w:color="auto" w:fill="auto"/>
            <w:vAlign w:val="center"/>
          </w:tcPr>
          <w:p w14:paraId="1DF3D1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发布评价结果，供月度采购方案制定时查询和决策参考；发布失败时保留待发布状态并支持重试。</w:t>
            </w:r>
          </w:p>
        </w:tc>
        <w:tc>
          <w:tcPr>
            <w:tcW w:w="1088" w:type="dxa"/>
            <w:tcBorders>
              <w:top w:val="nil"/>
              <w:left w:val="nil"/>
              <w:bottom w:val="nil"/>
              <w:right w:val="nil"/>
            </w:tcBorders>
            <w:shd w:val="clear" w:color="auto" w:fill="auto"/>
            <w:vAlign w:val="center"/>
          </w:tcPr>
          <w:p w14:paraId="0B9FC1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有效供应商评价和状态</w:t>
            </w:r>
          </w:p>
        </w:tc>
        <w:tc>
          <w:tcPr>
            <w:tcW w:w="1460" w:type="dxa"/>
            <w:tcBorders>
              <w:top w:val="nil"/>
              <w:left w:val="nil"/>
              <w:bottom w:val="nil"/>
              <w:right w:val="nil"/>
            </w:tcBorders>
            <w:shd w:val="clear" w:color="auto" w:fill="auto"/>
            <w:vAlign w:val="center"/>
          </w:tcPr>
          <w:p w14:paraId="265E3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1ABD8E">
        <w:trPr>
          <w:cantSplit/>
          <w:trHeight w:val="0" w:hRule="atLeast"/>
          <w:jc w:val="center"/>
        </w:trPr>
        <w:tc>
          <w:tcPr>
            <w:tcW w:w="2944" w:type="dxa"/>
            <w:tcBorders>
              <w:top w:val="nil"/>
              <w:left w:val="nil"/>
              <w:bottom w:val="nil"/>
              <w:right w:val="nil"/>
            </w:tcBorders>
            <w:shd w:val="clear" w:color="auto" w:fill="auto"/>
            <w:vAlign w:val="center"/>
          </w:tcPr>
          <w:p w14:paraId="0C8320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P-ZLTC-SCOS-CGYH-003-10-001</w:t>
            </w:r>
          </w:p>
        </w:tc>
        <w:tc>
          <w:tcPr>
            <w:tcW w:w="945" w:type="dxa"/>
            <w:tcBorders>
              <w:top w:val="nil"/>
              <w:left w:val="nil"/>
              <w:bottom w:val="nil"/>
              <w:right w:val="nil"/>
            </w:tcBorders>
            <w:shd w:val="clear" w:color="auto" w:fill="auto"/>
            <w:vAlign w:val="center"/>
          </w:tcPr>
          <w:p w14:paraId="04D045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63F2DE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B209C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11D12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系统每周定时</w:t>
            </w:r>
          </w:p>
        </w:tc>
        <w:tc>
          <w:tcPr>
            <w:tcW w:w="1406" w:type="dxa"/>
            <w:tcBorders>
              <w:top w:val="nil"/>
              <w:left w:val="nil"/>
              <w:bottom w:val="nil"/>
              <w:right w:val="nil"/>
            </w:tcBorders>
            <w:shd w:val="clear" w:color="auto" w:fill="auto"/>
            <w:vAlign w:val="center"/>
          </w:tcPr>
          <w:p w14:paraId="1A517C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系统自动比较需求数量、日期和采购执行变化；未执行安排不受影响时保留当前方案并结束；未执行安排受影响时继续处理。</w:t>
            </w:r>
          </w:p>
        </w:tc>
        <w:tc>
          <w:tcPr>
            <w:tcW w:w="1088" w:type="dxa"/>
            <w:tcBorders>
              <w:top w:val="nil"/>
              <w:left w:val="nil"/>
              <w:bottom w:val="nil"/>
              <w:right w:val="nil"/>
            </w:tcBorders>
            <w:shd w:val="clear" w:color="auto" w:fill="auto"/>
            <w:vAlign w:val="center"/>
          </w:tcPr>
          <w:p w14:paraId="736FA3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w:t>
            </w:r>
          </w:p>
        </w:tc>
        <w:tc>
          <w:tcPr>
            <w:tcW w:w="1460" w:type="dxa"/>
            <w:tcBorders>
              <w:top w:val="nil"/>
              <w:left w:val="nil"/>
              <w:bottom w:val="nil"/>
              <w:right w:val="nil"/>
            </w:tcBorders>
            <w:shd w:val="clear" w:color="auto" w:fill="auto"/>
            <w:vAlign w:val="center"/>
          </w:tcPr>
          <w:p w14:paraId="5E24F02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3D4222">
        <w:trPr>
          <w:cantSplit/>
          <w:trHeight w:val="0" w:hRule="atLeast"/>
          <w:jc w:val="center"/>
        </w:trPr>
        <w:tc>
          <w:tcPr>
            <w:tcW w:w="2944" w:type="dxa"/>
            <w:tcBorders>
              <w:top w:val="nil"/>
              <w:left w:val="nil"/>
              <w:bottom w:val="nil"/>
              <w:right w:val="nil"/>
            </w:tcBorders>
            <w:shd w:val="clear" w:color="auto" w:fill="auto"/>
            <w:vAlign w:val="center"/>
          </w:tcPr>
          <w:p w14:paraId="6B7010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P-ZLTC-SCOS-CGYH-003-20-001</w:t>
            </w:r>
          </w:p>
        </w:tc>
        <w:tc>
          <w:tcPr>
            <w:tcW w:w="945" w:type="dxa"/>
            <w:tcBorders>
              <w:top w:val="nil"/>
              <w:left w:val="nil"/>
              <w:bottom w:val="nil"/>
              <w:right w:val="nil"/>
            </w:tcBorders>
            <w:shd w:val="clear" w:color="auto" w:fill="auto"/>
            <w:vAlign w:val="center"/>
          </w:tcPr>
          <w:p w14:paraId="183A73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生成滚动调整建议规则</w:t>
            </w:r>
          </w:p>
        </w:tc>
        <w:tc>
          <w:tcPr>
            <w:tcW w:w="966" w:type="dxa"/>
            <w:tcBorders>
              <w:top w:val="nil"/>
              <w:left w:val="nil"/>
              <w:bottom w:val="nil"/>
              <w:right w:val="nil"/>
            </w:tcBorders>
            <w:shd w:val="clear" w:color="auto" w:fill="auto"/>
            <w:vAlign w:val="center"/>
          </w:tcPr>
          <w:p w14:paraId="24460A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3E19F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38AA42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48CAC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仅重新计算受影响的未执行部分；已执行部分保持不变；不可行时输出缺口和原因。</w:t>
            </w:r>
          </w:p>
        </w:tc>
        <w:tc>
          <w:tcPr>
            <w:tcW w:w="1088" w:type="dxa"/>
            <w:tcBorders>
              <w:top w:val="nil"/>
              <w:left w:val="nil"/>
              <w:bottom w:val="nil"/>
              <w:right w:val="nil"/>
            </w:tcBorders>
            <w:shd w:val="clear" w:color="auto" w:fill="auto"/>
            <w:vAlign w:val="center"/>
          </w:tcPr>
          <w:p w14:paraId="212AE9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调整建议及调整前后差异</w:t>
            </w:r>
          </w:p>
        </w:tc>
        <w:tc>
          <w:tcPr>
            <w:tcW w:w="1460" w:type="dxa"/>
            <w:tcBorders>
              <w:top w:val="nil"/>
              <w:left w:val="nil"/>
              <w:bottom w:val="nil"/>
              <w:right w:val="nil"/>
            </w:tcBorders>
            <w:shd w:val="clear" w:color="auto" w:fill="auto"/>
            <w:vAlign w:val="center"/>
          </w:tcPr>
          <w:p w14:paraId="75145A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3B69DA">
        <w:trPr>
          <w:cantSplit/>
          <w:trHeight w:val="0" w:hRule="atLeast"/>
          <w:jc w:val="center"/>
        </w:trPr>
        <w:tc>
          <w:tcPr>
            <w:tcW w:w="2944" w:type="dxa"/>
            <w:tcBorders>
              <w:top w:val="nil"/>
              <w:left w:val="nil"/>
              <w:bottom w:val="nil"/>
              <w:right w:val="nil"/>
            </w:tcBorders>
            <w:shd w:val="clear" w:color="auto" w:fill="auto"/>
            <w:vAlign w:val="center"/>
          </w:tcPr>
          <w:p w14:paraId="647CFB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P-ZLTC-SCOS-CGYH-003-30-001</w:t>
            </w:r>
          </w:p>
        </w:tc>
        <w:tc>
          <w:tcPr>
            <w:tcW w:w="945" w:type="dxa"/>
            <w:tcBorders>
              <w:top w:val="nil"/>
              <w:left w:val="nil"/>
              <w:bottom w:val="nil"/>
              <w:right w:val="nil"/>
            </w:tcBorders>
            <w:shd w:val="clear" w:color="auto" w:fill="auto"/>
            <w:vAlign w:val="center"/>
          </w:tcPr>
          <w:p w14:paraId="125A8E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评审调整建议规则</w:t>
            </w:r>
          </w:p>
        </w:tc>
        <w:tc>
          <w:tcPr>
            <w:tcW w:w="966" w:type="dxa"/>
            <w:tcBorders>
              <w:top w:val="nil"/>
              <w:left w:val="nil"/>
              <w:bottom w:val="nil"/>
              <w:right w:val="nil"/>
            </w:tcBorders>
            <w:shd w:val="clear" w:color="auto" w:fill="auto"/>
            <w:vAlign w:val="center"/>
          </w:tcPr>
          <w:p w14:paraId="727031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393AA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2E3E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调整建议及调整前后差异形成并具备评审条件后</w:t>
            </w:r>
          </w:p>
        </w:tc>
        <w:tc>
          <w:tcPr>
            <w:tcW w:w="1406" w:type="dxa"/>
            <w:tcBorders>
              <w:top w:val="nil"/>
              <w:left w:val="nil"/>
              <w:bottom w:val="nil"/>
              <w:right w:val="nil"/>
            </w:tcBorders>
            <w:shd w:val="clear" w:color="auto" w:fill="auto"/>
            <w:vAlign w:val="center"/>
          </w:tcPr>
          <w:p w14:paraId="32DFA4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查看需求、数量、日期、成本和供应商变化，确认调整范围；可拒绝调整并记录原因。</w:t>
            </w:r>
          </w:p>
        </w:tc>
        <w:tc>
          <w:tcPr>
            <w:tcW w:w="1088" w:type="dxa"/>
            <w:tcBorders>
              <w:top w:val="nil"/>
              <w:left w:val="nil"/>
              <w:bottom w:val="nil"/>
              <w:right w:val="nil"/>
            </w:tcBorders>
            <w:shd w:val="clear" w:color="auto" w:fill="auto"/>
            <w:vAlign w:val="center"/>
          </w:tcPr>
          <w:p w14:paraId="2D07F4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拟定调整方案</w:t>
            </w:r>
          </w:p>
        </w:tc>
        <w:tc>
          <w:tcPr>
            <w:tcW w:w="1460" w:type="dxa"/>
            <w:tcBorders>
              <w:top w:val="nil"/>
              <w:left w:val="nil"/>
              <w:bottom w:val="nil"/>
              <w:right w:val="nil"/>
            </w:tcBorders>
            <w:shd w:val="clear" w:color="auto" w:fill="auto"/>
            <w:vAlign w:val="center"/>
          </w:tcPr>
          <w:p w14:paraId="683B04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ACC1E5">
        <w:trPr>
          <w:cantSplit/>
          <w:trHeight w:val="0" w:hRule="atLeast"/>
          <w:jc w:val="center"/>
        </w:trPr>
        <w:tc>
          <w:tcPr>
            <w:tcW w:w="2944" w:type="dxa"/>
            <w:tcBorders>
              <w:top w:val="nil"/>
              <w:left w:val="nil"/>
              <w:bottom w:val="nil"/>
              <w:right w:val="nil"/>
            </w:tcBorders>
            <w:shd w:val="clear" w:color="auto" w:fill="auto"/>
            <w:vAlign w:val="center"/>
          </w:tcPr>
          <w:p w14:paraId="5341C2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P-ZLTC-SCOS-CGYH-003-40-001</w:t>
            </w:r>
          </w:p>
        </w:tc>
        <w:tc>
          <w:tcPr>
            <w:tcW w:w="945" w:type="dxa"/>
            <w:tcBorders>
              <w:top w:val="nil"/>
              <w:left w:val="nil"/>
              <w:bottom w:val="nil"/>
              <w:right w:val="nil"/>
            </w:tcBorders>
            <w:shd w:val="clear" w:color="auto" w:fill="auto"/>
            <w:vAlign w:val="center"/>
          </w:tcPr>
          <w:p w14:paraId="599D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确认计划调整规则</w:t>
            </w:r>
          </w:p>
        </w:tc>
        <w:tc>
          <w:tcPr>
            <w:tcW w:w="966" w:type="dxa"/>
            <w:tcBorders>
              <w:top w:val="nil"/>
              <w:left w:val="nil"/>
              <w:bottom w:val="nil"/>
              <w:right w:val="nil"/>
            </w:tcBorders>
            <w:shd w:val="clear" w:color="auto" w:fill="auto"/>
            <w:vAlign w:val="center"/>
          </w:tcPr>
          <w:p w14:paraId="32300B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B1876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EA5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调整方案形成并具备评审条件后</w:t>
            </w:r>
          </w:p>
        </w:tc>
        <w:tc>
          <w:tcPr>
            <w:tcW w:w="1406" w:type="dxa"/>
            <w:tcBorders>
              <w:top w:val="nil"/>
              <w:left w:val="nil"/>
              <w:bottom w:val="nil"/>
              <w:right w:val="nil"/>
            </w:tcBorders>
            <w:shd w:val="clear" w:color="auto" w:fill="auto"/>
            <w:vAlign w:val="center"/>
          </w:tcPr>
          <w:p w14:paraId="35AD09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确认是否采用调整建议；未确认时保留当前计划；确认通过后继续处理。</w:t>
            </w:r>
          </w:p>
        </w:tc>
        <w:tc>
          <w:tcPr>
            <w:tcW w:w="1088" w:type="dxa"/>
            <w:tcBorders>
              <w:top w:val="nil"/>
              <w:left w:val="nil"/>
              <w:bottom w:val="nil"/>
              <w:right w:val="nil"/>
            </w:tcBorders>
            <w:shd w:val="clear" w:color="auto" w:fill="auto"/>
            <w:vAlign w:val="center"/>
          </w:tcPr>
          <w:p w14:paraId="538C01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5C94F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E4081CD">
        <w:trPr>
          <w:cantSplit/>
          <w:trHeight w:val="0" w:hRule="atLeast"/>
          <w:jc w:val="center"/>
        </w:trPr>
        <w:tc>
          <w:tcPr>
            <w:tcW w:w="2944" w:type="dxa"/>
            <w:tcBorders>
              <w:top w:val="nil"/>
              <w:left w:val="nil"/>
              <w:bottom w:val="nil"/>
              <w:right w:val="nil"/>
            </w:tcBorders>
            <w:shd w:val="clear" w:color="auto" w:fill="auto"/>
            <w:vAlign w:val="center"/>
          </w:tcPr>
          <w:p w14:paraId="16606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P-ZLTC-SCOS-CGYH-003-50-001</w:t>
            </w:r>
          </w:p>
        </w:tc>
        <w:tc>
          <w:tcPr>
            <w:tcW w:w="945" w:type="dxa"/>
            <w:tcBorders>
              <w:top w:val="nil"/>
              <w:left w:val="nil"/>
              <w:bottom w:val="nil"/>
              <w:right w:val="nil"/>
            </w:tcBorders>
            <w:shd w:val="clear" w:color="auto" w:fill="auto"/>
            <w:vAlign w:val="center"/>
          </w:tcPr>
          <w:p w14:paraId="5592EC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发布采购方案新版本规则</w:t>
            </w:r>
          </w:p>
        </w:tc>
        <w:tc>
          <w:tcPr>
            <w:tcW w:w="966" w:type="dxa"/>
            <w:tcBorders>
              <w:top w:val="nil"/>
              <w:left w:val="nil"/>
              <w:bottom w:val="nil"/>
              <w:right w:val="nil"/>
            </w:tcBorders>
            <w:shd w:val="clear" w:color="auto" w:fill="auto"/>
            <w:vAlign w:val="center"/>
          </w:tcPr>
          <w:p w14:paraId="7B7D38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C76A0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0B05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确认计划调整通过时</w:t>
            </w:r>
          </w:p>
        </w:tc>
        <w:tc>
          <w:tcPr>
            <w:tcW w:w="1406" w:type="dxa"/>
            <w:tcBorders>
              <w:top w:val="nil"/>
              <w:left w:val="nil"/>
              <w:bottom w:val="nil"/>
              <w:right w:val="nil"/>
            </w:tcBorders>
            <w:shd w:val="clear" w:color="auto" w:fill="auto"/>
            <w:vAlign w:val="center"/>
          </w:tcPr>
          <w:p w14:paraId="49C533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发布新版本，并保留原方案、输入数据、计算参数及结果；发布失败时保留待发布状态。</w:t>
            </w:r>
          </w:p>
        </w:tc>
        <w:tc>
          <w:tcPr>
            <w:tcW w:w="1088" w:type="dxa"/>
            <w:tcBorders>
              <w:top w:val="nil"/>
              <w:left w:val="nil"/>
              <w:bottom w:val="nil"/>
              <w:right w:val="nil"/>
            </w:tcBorders>
            <w:shd w:val="clear" w:color="auto" w:fill="auto"/>
            <w:vAlign w:val="center"/>
          </w:tcPr>
          <w:p w14:paraId="5CD98C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新版采购方案及变更记录</w:t>
            </w:r>
          </w:p>
        </w:tc>
        <w:tc>
          <w:tcPr>
            <w:tcW w:w="1460" w:type="dxa"/>
            <w:tcBorders>
              <w:top w:val="nil"/>
              <w:left w:val="nil"/>
              <w:bottom w:val="nil"/>
              <w:right w:val="nil"/>
            </w:tcBorders>
            <w:shd w:val="clear" w:color="auto" w:fill="auto"/>
            <w:vAlign w:val="center"/>
          </w:tcPr>
          <w:p w14:paraId="1D93F42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26595C">
        <w:trPr>
          <w:cantSplit/>
          <w:trHeight w:val="0" w:hRule="atLeast"/>
          <w:jc w:val="center"/>
        </w:trPr>
        <w:tc>
          <w:tcPr>
            <w:tcW w:w="2944" w:type="dxa"/>
            <w:tcBorders>
              <w:top w:val="nil"/>
              <w:left w:val="nil"/>
              <w:bottom w:val="nil"/>
              <w:right w:val="nil"/>
            </w:tcBorders>
            <w:shd w:val="clear" w:color="auto" w:fill="auto"/>
            <w:vAlign w:val="center"/>
          </w:tcPr>
          <w:p w14:paraId="42D3E6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P-ZLTC-SCOS-CGYH-003-60-001</w:t>
            </w:r>
          </w:p>
        </w:tc>
        <w:tc>
          <w:tcPr>
            <w:tcW w:w="945" w:type="dxa"/>
            <w:tcBorders>
              <w:top w:val="nil"/>
              <w:left w:val="nil"/>
              <w:bottom w:val="nil"/>
              <w:right w:val="nil"/>
            </w:tcBorders>
            <w:shd w:val="clear" w:color="auto" w:fill="auto"/>
            <w:vAlign w:val="center"/>
          </w:tcPr>
          <w:p w14:paraId="406023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接收调整后的采购安排规则</w:t>
            </w:r>
          </w:p>
        </w:tc>
        <w:tc>
          <w:tcPr>
            <w:tcW w:w="966" w:type="dxa"/>
            <w:tcBorders>
              <w:top w:val="nil"/>
              <w:left w:val="nil"/>
              <w:bottom w:val="nil"/>
              <w:right w:val="nil"/>
            </w:tcBorders>
            <w:shd w:val="clear" w:color="auto" w:fill="auto"/>
            <w:vAlign w:val="center"/>
          </w:tcPr>
          <w:p w14:paraId="3A258A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8842E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20A2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新版采购方案及变更记录形成后</w:t>
            </w:r>
          </w:p>
        </w:tc>
        <w:tc>
          <w:tcPr>
            <w:tcW w:w="1406" w:type="dxa"/>
            <w:tcBorders>
              <w:top w:val="nil"/>
              <w:left w:val="nil"/>
              <w:bottom w:val="nil"/>
              <w:right w:val="nil"/>
            </w:tcBorders>
            <w:shd w:val="clear" w:color="auto" w:fill="auto"/>
            <w:vAlign w:val="center"/>
          </w:tcPr>
          <w:p w14:paraId="12780A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执行系统更新尚未执行的部分；接口失败时支持重推和人工核对。</w:t>
            </w:r>
          </w:p>
        </w:tc>
        <w:tc>
          <w:tcPr>
            <w:tcW w:w="1088" w:type="dxa"/>
            <w:tcBorders>
              <w:top w:val="nil"/>
              <w:left w:val="nil"/>
              <w:bottom w:val="nil"/>
              <w:right w:val="nil"/>
            </w:tcBorders>
            <w:shd w:val="clear" w:color="auto" w:fill="auto"/>
            <w:vAlign w:val="center"/>
          </w:tcPr>
          <w:p w14:paraId="3546BE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更新后的执行依据</w:t>
            </w:r>
          </w:p>
        </w:tc>
        <w:tc>
          <w:tcPr>
            <w:tcW w:w="1460" w:type="dxa"/>
            <w:tcBorders>
              <w:top w:val="nil"/>
              <w:left w:val="nil"/>
              <w:bottom w:val="nil"/>
              <w:right w:val="nil"/>
            </w:tcBorders>
            <w:shd w:val="clear" w:color="auto" w:fill="auto"/>
            <w:vAlign w:val="center"/>
          </w:tcPr>
          <w:p w14:paraId="460007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SCOS/SAP/TMS/E采</w:t>
            </w:r>
          </w:p>
        </w:tc>
      </w:tr>
      <w:tr w14:paraId="16833607">
        <w:trPr>
          <w:cantSplit/>
          <w:trHeight w:val="0" w:hRule="atLeast"/>
          <w:jc w:val="center"/>
        </w:trPr>
        <w:tc>
          <w:tcPr>
            <w:tcW w:w="2944" w:type="dxa"/>
            <w:tcBorders>
              <w:top w:val="nil"/>
              <w:left w:val="nil"/>
              <w:bottom w:val="nil"/>
              <w:right w:val="nil"/>
            </w:tcBorders>
            <w:shd w:val="clear" w:color="auto" w:fill="auto"/>
            <w:vAlign w:val="center"/>
          </w:tcPr>
          <w:p w14:paraId="77A092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P-ZLTC-SCOS-CGYH-004-10-001</w:t>
            </w:r>
          </w:p>
        </w:tc>
        <w:tc>
          <w:tcPr>
            <w:tcW w:w="945" w:type="dxa"/>
            <w:tcBorders>
              <w:top w:val="nil"/>
              <w:left w:val="nil"/>
              <w:bottom w:val="nil"/>
              <w:right w:val="nil"/>
            </w:tcBorders>
            <w:shd w:val="clear" w:color="auto" w:fill="auto"/>
            <w:vAlign w:val="center"/>
          </w:tcPr>
          <w:p w14:paraId="5560FD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执行采购订单或合同规则</w:t>
            </w:r>
          </w:p>
        </w:tc>
        <w:tc>
          <w:tcPr>
            <w:tcW w:w="966" w:type="dxa"/>
            <w:tcBorders>
              <w:top w:val="nil"/>
              <w:left w:val="nil"/>
              <w:bottom w:val="nil"/>
              <w:right w:val="nil"/>
            </w:tcBorders>
            <w:shd w:val="clear" w:color="auto" w:fill="auto"/>
            <w:vAlign w:val="center"/>
          </w:tcPr>
          <w:p w14:paraId="5446F3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3B550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6A704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采购计划进入执行阶段时</w:t>
            </w:r>
          </w:p>
        </w:tc>
        <w:tc>
          <w:tcPr>
            <w:tcW w:w="1406" w:type="dxa"/>
            <w:tcBorders>
              <w:top w:val="nil"/>
              <w:left w:val="nil"/>
              <w:bottom w:val="nil"/>
              <w:right w:val="nil"/>
            </w:tcBorders>
            <w:shd w:val="clear" w:color="auto" w:fill="auto"/>
            <w:vAlign w:val="center"/>
          </w:tcPr>
          <w:p w14:paraId="205401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按企业采购制度创建和执行采购订单或合同；正式订单和合同不得由SCOS自动创建。</w:t>
            </w:r>
          </w:p>
        </w:tc>
        <w:tc>
          <w:tcPr>
            <w:tcW w:w="1088" w:type="dxa"/>
            <w:tcBorders>
              <w:top w:val="nil"/>
              <w:left w:val="nil"/>
              <w:bottom w:val="nil"/>
              <w:right w:val="nil"/>
            </w:tcBorders>
            <w:shd w:val="clear" w:color="auto" w:fill="auto"/>
            <w:vAlign w:val="center"/>
          </w:tcPr>
          <w:p w14:paraId="61026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正式采购订单/合同及状态</w:t>
            </w:r>
          </w:p>
        </w:tc>
        <w:tc>
          <w:tcPr>
            <w:tcW w:w="1460" w:type="dxa"/>
            <w:tcBorders>
              <w:top w:val="nil"/>
              <w:left w:val="nil"/>
              <w:bottom w:val="nil"/>
              <w:right w:val="nil"/>
            </w:tcBorders>
            <w:shd w:val="clear" w:color="auto" w:fill="auto"/>
            <w:vAlign w:val="center"/>
          </w:tcPr>
          <w:p w14:paraId="156517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49B968F7">
        <w:trPr>
          <w:cantSplit/>
          <w:trHeight w:val="0" w:hRule="atLeast"/>
          <w:jc w:val="center"/>
        </w:trPr>
        <w:tc>
          <w:tcPr>
            <w:tcW w:w="2944" w:type="dxa"/>
            <w:tcBorders>
              <w:top w:val="nil"/>
              <w:left w:val="nil"/>
              <w:bottom w:val="nil"/>
              <w:right w:val="nil"/>
            </w:tcBorders>
            <w:shd w:val="clear" w:color="auto" w:fill="auto"/>
            <w:vAlign w:val="center"/>
          </w:tcPr>
          <w:p w14:paraId="05944B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P-ZLTC-SCOS-CGYH-004-20-001</w:t>
            </w:r>
          </w:p>
        </w:tc>
        <w:tc>
          <w:tcPr>
            <w:tcW w:w="945" w:type="dxa"/>
            <w:tcBorders>
              <w:top w:val="nil"/>
              <w:left w:val="nil"/>
              <w:bottom w:val="nil"/>
              <w:right w:val="nil"/>
            </w:tcBorders>
            <w:shd w:val="clear" w:color="auto" w:fill="auto"/>
            <w:vAlign w:val="center"/>
          </w:tcPr>
          <w:p w14:paraId="012CAE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发货与在途跟踪规则</w:t>
            </w:r>
          </w:p>
        </w:tc>
        <w:tc>
          <w:tcPr>
            <w:tcW w:w="966" w:type="dxa"/>
            <w:tcBorders>
              <w:top w:val="nil"/>
              <w:left w:val="nil"/>
              <w:bottom w:val="nil"/>
              <w:right w:val="nil"/>
            </w:tcBorders>
            <w:shd w:val="clear" w:color="auto" w:fill="auto"/>
            <w:vAlign w:val="center"/>
          </w:tcPr>
          <w:p w14:paraId="5AF6E5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5E876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730747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正式采购订单/合同及状态形成后</w:t>
            </w:r>
          </w:p>
        </w:tc>
        <w:tc>
          <w:tcPr>
            <w:tcW w:w="1406" w:type="dxa"/>
            <w:tcBorders>
              <w:top w:val="nil"/>
              <w:left w:val="nil"/>
              <w:bottom w:val="nil"/>
              <w:right w:val="nil"/>
            </w:tcBorders>
            <w:shd w:val="clear" w:color="auto" w:fill="auto"/>
            <w:vAlign w:val="center"/>
          </w:tcPr>
          <w:p w14:paraId="10C5E11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供应商按采购订单执行发货；延迟、数量差异或运输异常标记为执行偏差。</w:t>
            </w:r>
          </w:p>
        </w:tc>
        <w:tc>
          <w:tcPr>
            <w:tcW w:w="1088" w:type="dxa"/>
            <w:tcBorders>
              <w:top w:val="nil"/>
              <w:left w:val="nil"/>
              <w:bottom w:val="nil"/>
              <w:right w:val="nil"/>
            </w:tcBorders>
            <w:shd w:val="clear" w:color="auto" w:fill="auto"/>
            <w:vAlign w:val="center"/>
          </w:tcPr>
          <w:p w14:paraId="44551A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发货数量、时间及在途状态</w:t>
            </w:r>
          </w:p>
        </w:tc>
        <w:tc>
          <w:tcPr>
            <w:tcW w:w="1460" w:type="dxa"/>
            <w:tcBorders>
              <w:top w:val="nil"/>
              <w:left w:val="nil"/>
              <w:bottom w:val="nil"/>
              <w:right w:val="nil"/>
            </w:tcBorders>
            <w:shd w:val="clear" w:color="auto" w:fill="auto"/>
            <w:vAlign w:val="center"/>
          </w:tcPr>
          <w:p w14:paraId="4FA2EA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33465E25">
        <w:trPr>
          <w:cantSplit/>
          <w:trHeight w:val="0" w:hRule="atLeast"/>
          <w:jc w:val="center"/>
        </w:trPr>
        <w:tc>
          <w:tcPr>
            <w:tcW w:w="2944" w:type="dxa"/>
            <w:tcBorders>
              <w:top w:val="nil"/>
              <w:left w:val="nil"/>
              <w:bottom w:val="nil"/>
              <w:right w:val="nil"/>
            </w:tcBorders>
            <w:shd w:val="clear" w:color="auto" w:fill="auto"/>
            <w:vAlign w:val="center"/>
          </w:tcPr>
          <w:p w14:paraId="729860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P-ZLTC-SCOS-CGYH-004-30-001</w:t>
            </w:r>
          </w:p>
        </w:tc>
        <w:tc>
          <w:tcPr>
            <w:tcW w:w="945" w:type="dxa"/>
            <w:tcBorders>
              <w:top w:val="nil"/>
              <w:left w:val="nil"/>
              <w:bottom w:val="nil"/>
              <w:right w:val="nil"/>
            </w:tcBorders>
            <w:shd w:val="clear" w:color="auto" w:fill="auto"/>
            <w:vAlign w:val="center"/>
          </w:tcPr>
          <w:p w14:paraId="211D49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到厂收货与质检规则</w:t>
            </w:r>
          </w:p>
        </w:tc>
        <w:tc>
          <w:tcPr>
            <w:tcW w:w="966" w:type="dxa"/>
            <w:tcBorders>
              <w:top w:val="nil"/>
              <w:left w:val="nil"/>
              <w:bottom w:val="nil"/>
              <w:right w:val="nil"/>
            </w:tcBorders>
            <w:shd w:val="clear" w:color="auto" w:fill="auto"/>
            <w:vAlign w:val="center"/>
          </w:tcPr>
          <w:p w14:paraId="116054F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A38D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471E2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发货数量、时间及在途状态形成后</w:t>
            </w:r>
          </w:p>
        </w:tc>
        <w:tc>
          <w:tcPr>
            <w:tcW w:w="1406" w:type="dxa"/>
            <w:tcBorders>
              <w:top w:val="nil"/>
              <w:left w:val="nil"/>
              <w:bottom w:val="nil"/>
              <w:right w:val="nil"/>
            </w:tcBorders>
            <w:shd w:val="clear" w:color="auto" w:fill="auto"/>
            <w:vAlign w:val="center"/>
          </w:tcPr>
          <w:p w14:paraId="08B84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记录到厂和质检状态；到厂待检仍属于未完成采购承诺；质量异常转质量业务流程处理并反馈采购跟踪。</w:t>
            </w:r>
          </w:p>
        </w:tc>
        <w:tc>
          <w:tcPr>
            <w:tcW w:w="1088" w:type="dxa"/>
            <w:tcBorders>
              <w:top w:val="nil"/>
              <w:left w:val="nil"/>
              <w:bottom w:val="nil"/>
              <w:right w:val="nil"/>
            </w:tcBorders>
            <w:shd w:val="clear" w:color="auto" w:fill="auto"/>
            <w:vAlign w:val="center"/>
          </w:tcPr>
          <w:p w14:paraId="188555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到货数量、到货时间、待检及质检结果</w:t>
            </w:r>
          </w:p>
        </w:tc>
        <w:tc>
          <w:tcPr>
            <w:tcW w:w="1460" w:type="dxa"/>
            <w:tcBorders>
              <w:top w:val="nil"/>
              <w:left w:val="nil"/>
              <w:bottom w:val="nil"/>
              <w:right w:val="nil"/>
            </w:tcBorders>
            <w:shd w:val="clear" w:color="auto" w:fill="auto"/>
            <w:vAlign w:val="center"/>
          </w:tcPr>
          <w:p w14:paraId="4D608E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SCOS/QMS/LIMS</w:t>
            </w:r>
          </w:p>
        </w:tc>
      </w:tr>
      <w:tr w14:paraId="7A399840">
        <w:trPr>
          <w:cantSplit/>
          <w:trHeight w:val="0" w:hRule="atLeast"/>
          <w:jc w:val="center"/>
        </w:trPr>
        <w:tc>
          <w:tcPr>
            <w:tcW w:w="2944" w:type="dxa"/>
            <w:tcBorders>
              <w:top w:val="nil"/>
              <w:left w:val="nil"/>
              <w:bottom w:val="nil"/>
              <w:right w:val="nil"/>
            </w:tcBorders>
            <w:shd w:val="clear" w:color="auto" w:fill="auto"/>
            <w:vAlign w:val="center"/>
          </w:tcPr>
          <w:p w14:paraId="030B9C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P-ZLTC-SCOS-CGYH-004-40-001</w:t>
            </w:r>
          </w:p>
        </w:tc>
        <w:tc>
          <w:tcPr>
            <w:tcW w:w="945" w:type="dxa"/>
            <w:tcBorders>
              <w:top w:val="nil"/>
              <w:left w:val="nil"/>
              <w:bottom w:val="nil"/>
              <w:right w:val="nil"/>
            </w:tcBorders>
            <w:shd w:val="clear" w:color="auto" w:fill="auto"/>
            <w:vAlign w:val="center"/>
          </w:tcPr>
          <w:p w14:paraId="6EF483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更新执行状态规则</w:t>
            </w:r>
          </w:p>
        </w:tc>
        <w:tc>
          <w:tcPr>
            <w:tcW w:w="966" w:type="dxa"/>
            <w:tcBorders>
              <w:top w:val="nil"/>
              <w:left w:val="nil"/>
              <w:bottom w:val="nil"/>
              <w:right w:val="nil"/>
            </w:tcBorders>
            <w:shd w:val="clear" w:color="auto" w:fill="auto"/>
            <w:vAlign w:val="center"/>
          </w:tcPr>
          <w:p w14:paraId="4CC21F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A412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CE993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到货数量、到货时间、待检及质检结果形成后</w:t>
            </w:r>
          </w:p>
        </w:tc>
        <w:tc>
          <w:tcPr>
            <w:tcW w:w="1406" w:type="dxa"/>
            <w:tcBorders>
              <w:top w:val="nil"/>
              <w:left w:val="nil"/>
              <w:bottom w:val="nil"/>
              <w:right w:val="nil"/>
            </w:tcBorders>
            <w:shd w:val="clear" w:color="auto" w:fill="auto"/>
            <w:vAlign w:val="center"/>
          </w:tcPr>
          <w:p w14:paraId="411E2C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汇总采购全程状态，更新下一轮采购计算使用的采购承诺；多系统数据不一致时提示人工复核。</w:t>
            </w:r>
          </w:p>
        </w:tc>
        <w:tc>
          <w:tcPr>
            <w:tcW w:w="1088" w:type="dxa"/>
            <w:tcBorders>
              <w:top w:val="nil"/>
              <w:left w:val="nil"/>
              <w:bottom w:val="nil"/>
              <w:right w:val="nil"/>
            </w:tcBorders>
            <w:shd w:val="clear" w:color="auto" w:fill="auto"/>
            <w:vAlign w:val="center"/>
          </w:tcPr>
          <w:p w14:paraId="24DEF1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采购执行进度、未完成采购承诺及执行偏差</w:t>
            </w:r>
          </w:p>
        </w:tc>
        <w:tc>
          <w:tcPr>
            <w:tcW w:w="1460" w:type="dxa"/>
            <w:tcBorders>
              <w:top w:val="nil"/>
              <w:left w:val="nil"/>
              <w:bottom w:val="nil"/>
              <w:right w:val="nil"/>
            </w:tcBorders>
            <w:shd w:val="clear" w:color="auto" w:fill="auto"/>
            <w:vAlign w:val="center"/>
          </w:tcPr>
          <w:p w14:paraId="1D6449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870F96">
        <w:trPr>
          <w:cantSplit/>
          <w:trHeight w:val="0" w:hRule="atLeast"/>
          <w:jc w:val="center"/>
        </w:trPr>
        <w:tc>
          <w:tcPr>
            <w:tcW w:w="2944" w:type="dxa"/>
            <w:tcBorders>
              <w:top w:val="nil"/>
              <w:left w:val="nil"/>
              <w:bottom w:val="nil"/>
              <w:right w:val="nil"/>
            </w:tcBorders>
            <w:shd w:val="clear" w:color="auto" w:fill="auto"/>
            <w:vAlign w:val="center"/>
          </w:tcPr>
          <w:p w14:paraId="45AC8E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P-ZLTC-SCOS-CGYH-004-50-001</w:t>
            </w:r>
          </w:p>
        </w:tc>
        <w:tc>
          <w:tcPr>
            <w:tcW w:w="945" w:type="dxa"/>
            <w:tcBorders>
              <w:top w:val="nil"/>
              <w:left w:val="nil"/>
              <w:bottom w:val="nil"/>
              <w:right w:val="nil"/>
            </w:tcBorders>
            <w:shd w:val="clear" w:color="auto" w:fill="auto"/>
            <w:vAlign w:val="center"/>
          </w:tcPr>
          <w:p w14:paraId="6F676A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判断是否需要调整规则</w:t>
            </w:r>
          </w:p>
        </w:tc>
        <w:tc>
          <w:tcPr>
            <w:tcW w:w="966" w:type="dxa"/>
            <w:tcBorders>
              <w:top w:val="nil"/>
              <w:left w:val="nil"/>
              <w:bottom w:val="nil"/>
              <w:right w:val="nil"/>
            </w:tcBorders>
            <w:shd w:val="clear" w:color="auto" w:fill="auto"/>
            <w:vAlign w:val="center"/>
          </w:tcPr>
          <w:p w14:paraId="42F4DE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5C5FF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5CD6B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采购执行进度、未完成采购承诺及执行偏差形成后</w:t>
            </w:r>
          </w:p>
        </w:tc>
        <w:tc>
          <w:tcPr>
            <w:tcW w:w="1406" w:type="dxa"/>
            <w:tcBorders>
              <w:top w:val="nil"/>
              <w:left w:val="nil"/>
              <w:bottom w:val="nil"/>
              <w:right w:val="nil"/>
            </w:tcBorders>
            <w:shd w:val="clear" w:color="auto" w:fill="auto"/>
            <w:vAlign w:val="center"/>
          </w:tcPr>
          <w:p w14:paraId="01BB3F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判断需求变化、延期、到货不足或质检异常是否影响未执行安排；不需要调整时完成本次跟踪；需要调整时继续处理。</w:t>
            </w:r>
          </w:p>
        </w:tc>
        <w:tc>
          <w:tcPr>
            <w:tcW w:w="1088" w:type="dxa"/>
            <w:tcBorders>
              <w:top w:val="nil"/>
              <w:left w:val="nil"/>
              <w:bottom w:val="nil"/>
              <w:right w:val="nil"/>
            </w:tcBorders>
            <w:shd w:val="clear" w:color="auto" w:fill="auto"/>
            <w:vAlign w:val="center"/>
          </w:tcPr>
          <w:p w14:paraId="27BAF2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调整判断</w:t>
            </w:r>
          </w:p>
        </w:tc>
        <w:tc>
          <w:tcPr>
            <w:tcW w:w="1460" w:type="dxa"/>
            <w:tcBorders>
              <w:top w:val="nil"/>
              <w:left w:val="nil"/>
              <w:bottom w:val="nil"/>
              <w:right w:val="nil"/>
            </w:tcBorders>
            <w:shd w:val="clear" w:color="auto" w:fill="auto"/>
            <w:vAlign w:val="center"/>
          </w:tcPr>
          <w:p w14:paraId="1FCD2C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578F18">
        <w:trPr>
          <w:cantSplit/>
          <w:trHeight w:val="0" w:hRule="atLeast"/>
          <w:jc w:val="center"/>
        </w:trPr>
        <w:tc>
          <w:tcPr>
            <w:tcW w:w="2944" w:type="dxa"/>
            <w:tcBorders>
              <w:top w:val="nil"/>
              <w:left w:val="nil"/>
              <w:bottom w:val="nil"/>
              <w:right w:val="nil"/>
            </w:tcBorders>
            <w:shd w:val="clear" w:color="auto" w:fill="auto"/>
            <w:vAlign w:val="center"/>
          </w:tcPr>
          <w:p w14:paraId="58D892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P-ZLTC-SCOS-CGYH-004-60-001</w:t>
            </w:r>
          </w:p>
        </w:tc>
        <w:tc>
          <w:tcPr>
            <w:tcW w:w="945" w:type="dxa"/>
            <w:tcBorders>
              <w:top w:val="nil"/>
              <w:left w:val="nil"/>
              <w:bottom w:val="nil"/>
              <w:right w:val="nil"/>
            </w:tcBorders>
            <w:shd w:val="clear" w:color="auto" w:fill="auto"/>
            <w:vAlign w:val="center"/>
          </w:tcPr>
          <w:p w14:paraId="417D3A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发起滚动调整或异常处理规则</w:t>
            </w:r>
          </w:p>
        </w:tc>
        <w:tc>
          <w:tcPr>
            <w:tcW w:w="966" w:type="dxa"/>
            <w:tcBorders>
              <w:top w:val="nil"/>
              <w:left w:val="nil"/>
              <w:bottom w:val="nil"/>
              <w:right w:val="nil"/>
            </w:tcBorders>
            <w:shd w:val="clear" w:color="auto" w:fill="auto"/>
            <w:vAlign w:val="center"/>
          </w:tcPr>
          <w:p w14:paraId="74B241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397A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3BD08E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需要调整时</w:t>
            </w:r>
          </w:p>
        </w:tc>
        <w:tc>
          <w:tcPr>
            <w:tcW w:w="1406" w:type="dxa"/>
            <w:tcBorders>
              <w:top w:val="nil"/>
              <w:left w:val="nil"/>
              <w:bottom w:val="nil"/>
              <w:right w:val="nil"/>
            </w:tcBorders>
            <w:shd w:val="clear" w:color="auto" w:fill="auto"/>
            <w:vAlign w:val="center"/>
          </w:tcPr>
          <w:p w14:paraId="01D488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影响采购计划时进入滚动调整流程；异常未关闭前持续跟踪。</w:t>
            </w:r>
          </w:p>
        </w:tc>
        <w:tc>
          <w:tcPr>
            <w:tcW w:w="1088" w:type="dxa"/>
            <w:tcBorders>
              <w:top w:val="nil"/>
              <w:left w:val="nil"/>
              <w:bottom w:val="nil"/>
              <w:right w:val="nil"/>
            </w:tcBorders>
            <w:shd w:val="clear" w:color="auto" w:fill="auto"/>
            <w:vAlign w:val="center"/>
          </w:tcPr>
          <w:p w14:paraId="40149EC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滚动调整任务或异常处理记录</w:t>
            </w:r>
          </w:p>
        </w:tc>
        <w:tc>
          <w:tcPr>
            <w:tcW w:w="1460" w:type="dxa"/>
            <w:tcBorders>
              <w:top w:val="nil"/>
              <w:left w:val="nil"/>
              <w:bottom w:val="nil"/>
              <w:right w:val="nil"/>
            </w:tcBorders>
            <w:shd w:val="clear" w:color="auto" w:fill="auto"/>
            <w:vAlign w:val="center"/>
          </w:tcPr>
          <w:p w14:paraId="6A6DF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0B8B84">
        <w:trPr>
          <w:cantSplit/>
          <w:trHeight w:val="0" w:hRule="atLeast"/>
          <w:jc w:val="center"/>
        </w:trPr>
        <w:tc>
          <w:tcPr>
            <w:tcW w:w="2944" w:type="dxa"/>
            <w:tcBorders>
              <w:top w:val="nil"/>
              <w:left w:val="nil"/>
              <w:bottom w:val="nil"/>
              <w:right w:val="nil"/>
            </w:tcBorders>
            <w:shd w:val="clear" w:color="auto" w:fill="auto"/>
            <w:vAlign w:val="center"/>
          </w:tcPr>
          <w:p w14:paraId="796B2F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P-ZLTC-SCOS-YHJH-001-10-001</w:t>
            </w:r>
          </w:p>
        </w:tc>
        <w:tc>
          <w:tcPr>
            <w:tcW w:w="945" w:type="dxa"/>
            <w:tcBorders>
              <w:top w:val="nil"/>
              <w:left w:val="nil"/>
              <w:bottom w:val="nil"/>
              <w:right w:val="nil"/>
            </w:tcBorders>
            <w:shd w:val="clear" w:color="auto" w:fill="auto"/>
            <w:vAlign w:val="center"/>
          </w:tcPr>
          <w:p w14:paraId="629E50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提供有效合同及未执行数量规则</w:t>
            </w:r>
          </w:p>
        </w:tc>
        <w:tc>
          <w:tcPr>
            <w:tcW w:w="966" w:type="dxa"/>
            <w:tcBorders>
              <w:top w:val="nil"/>
              <w:left w:val="nil"/>
              <w:bottom w:val="nil"/>
              <w:right w:val="nil"/>
            </w:tcBorders>
            <w:shd w:val="clear" w:color="auto" w:fill="auto"/>
            <w:vAlign w:val="center"/>
          </w:tcPr>
          <w:p w14:paraId="585A99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405F0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611FB3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有效采购合同新增、合同剩余量变化、供应商送货条件变化或业务人员发起维护时</w:t>
            </w:r>
          </w:p>
        </w:tc>
        <w:tc>
          <w:tcPr>
            <w:tcW w:w="1406" w:type="dxa"/>
            <w:tcBorders>
              <w:top w:val="nil"/>
              <w:left w:val="nil"/>
              <w:bottom w:val="nil"/>
              <w:right w:val="nil"/>
            </w:tcBorders>
            <w:shd w:val="clear" w:color="auto" w:fill="auto"/>
            <w:vAlign w:val="center"/>
          </w:tcPr>
          <w:p w14:paraId="6EC300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仅提供已签订且处于有效状态的合同和订单；合同失效、暂停或无可安排余量时，不进入新增要货范围。</w:t>
            </w:r>
          </w:p>
        </w:tc>
        <w:tc>
          <w:tcPr>
            <w:tcW w:w="1088" w:type="dxa"/>
            <w:tcBorders>
              <w:top w:val="nil"/>
              <w:left w:val="nil"/>
              <w:bottom w:val="nil"/>
              <w:right w:val="nil"/>
            </w:tcBorders>
            <w:shd w:val="clear" w:color="auto" w:fill="auto"/>
            <w:vAlign w:val="center"/>
          </w:tcPr>
          <w:p w14:paraId="56BB2F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有效合同、关联订单、签订日期、有效期、最晚交期及可安排余量</w:t>
            </w:r>
          </w:p>
        </w:tc>
        <w:tc>
          <w:tcPr>
            <w:tcW w:w="1460" w:type="dxa"/>
            <w:tcBorders>
              <w:top w:val="nil"/>
              <w:left w:val="nil"/>
              <w:bottom w:val="nil"/>
              <w:right w:val="nil"/>
            </w:tcBorders>
            <w:shd w:val="clear" w:color="auto" w:fill="auto"/>
            <w:vAlign w:val="center"/>
          </w:tcPr>
          <w:p w14:paraId="0C9AF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SCOS/SAP/E采/合同管理系统</w:t>
            </w:r>
          </w:p>
        </w:tc>
      </w:tr>
      <w:tr w14:paraId="4727A2FC">
        <w:trPr>
          <w:cantSplit/>
          <w:trHeight w:val="0" w:hRule="atLeast"/>
          <w:jc w:val="center"/>
        </w:trPr>
        <w:tc>
          <w:tcPr>
            <w:tcW w:w="2944" w:type="dxa"/>
            <w:tcBorders>
              <w:top w:val="nil"/>
              <w:left w:val="nil"/>
              <w:bottom w:val="nil"/>
              <w:right w:val="nil"/>
            </w:tcBorders>
            <w:shd w:val="clear" w:color="auto" w:fill="auto"/>
            <w:vAlign w:val="center"/>
          </w:tcPr>
          <w:p w14:paraId="42BC07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P-ZLTC-SCOS-YHJH-001-20-001</w:t>
            </w:r>
          </w:p>
        </w:tc>
        <w:tc>
          <w:tcPr>
            <w:tcW w:w="945" w:type="dxa"/>
            <w:tcBorders>
              <w:top w:val="nil"/>
              <w:left w:val="nil"/>
              <w:bottom w:val="nil"/>
              <w:right w:val="nil"/>
            </w:tcBorders>
            <w:shd w:val="clear" w:color="auto" w:fill="auto"/>
            <w:vAlign w:val="center"/>
          </w:tcPr>
          <w:p w14:paraId="38E5E5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补充送货条件与可供信息规则</w:t>
            </w:r>
          </w:p>
        </w:tc>
        <w:tc>
          <w:tcPr>
            <w:tcW w:w="966" w:type="dxa"/>
            <w:tcBorders>
              <w:top w:val="nil"/>
              <w:left w:val="nil"/>
              <w:bottom w:val="nil"/>
              <w:right w:val="nil"/>
            </w:tcBorders>
            <w:shd w:val="clear" w:color="auto" w:fill="auto"/>
            <w:vAlign w:val="center"/>
          </w:tcPr>
          <w:p w14:paraId="104C42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037A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CD0DD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有效合同、关联订单、签订日期、有效期、最晚交期及可安排余量形成后</w:t>
            </w:r>
          </w:p>
        </w:tc>
        <w:tc>
          <w:tcPr>
            <w:tcW w:w="1406" w:type="dxa"/>
            <w:tcBorders>
              <w:top w:val="nil"/>
              <w:left w:val="nil"/>
              <w:bottom w:val="nil"/>
              <w:right w:val="nil"/>
            </w:tcBorders>
            <w:shd w:val="clear" w:color="auto" w:fill="auto"/>
            <w:vAlign w:val="center"/>
          </w:tcPr>
          <w:p w14:paraId="4748FF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对暂无稳定系统来源的送货条件进行维护；必要信息缺失时标记“待补充”，不得形成缺乏依据的确定性安排。</w:t>
            </w:r>
          </w:p>
        </w:tc>
        <w:tc>
          <w:tcPr>
            <w:tcW w:w="1088" w:type="dxa"/>
            <w:tcBorders>
              <w:top w:val="nil"/>
              <w:left w:val="nil"/>
              <w:bottom w:val="nil"/>
              <w:right w:val="nil"/>
            </w:tcBorders>
            <w:shd w:val="clear" w:color="auto" w:fill="auto"/>
            <w:vAlign w:val="center"/>
          </w:tcPr>
          <w:p w14:paraId="373CD6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供应商存放地点、运输提前期、最早可到货日、日期可供量、合同执行顺序等</w:t>
            </w:r>
          </w:p>
        </w:tc>
        <w:tc>
          <w:tcPr>
            <w:tcW w:w="1460" w:type="dxa"/>
            <w:tcBorders>
              <w:top w:val="nil"/>
              <w:left w:val="nil"/>
              <w:bottom w:val="nil"/>
              <w:right w:val="nil"/>
            </w:tcBorders>
            <w:shd w:val="clear" w:color="auto" w:fill="auto"/>
            <w:vAlign w:val="center"/>
          </w:tcPr>
          <w:p w14:paraId="0C33AC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1603282">
        <w:trPr>
          <w:cantSplit/>
          <w:trHeight w:val="0" w:hRule="atLeast"/>
          <w:jc w:val="center"/>
        </w:trPr>
        <w:tc>
          <w:tcPr>
            <w:tcW w:w="2944" w:type="dxa"/>
            <w:tcBorders>
              <w:top w:val="nil"/>
              <w:left w:val="nil"/>
              <w:bottom w:val="nil"/>
              <w:right w:val="nil"/>
            </w:tcBorders>
            <w:shd w:val="clear" w:color="auto" w:fill="auto"/>
            <w:vAlign w:val="center"/>
          </w:tcPr>
          <w:p w14:paraId="0A1DED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P-ZLTC-SCOS-YHJH-001-30-001</w:t>
            </w:r>
          </w:p>
        </w:tc>
        <w:tc>
          <w:tcPr>
            <w:tcW w:w="945" w:type="dxa"/>
            <w:tcBorders>
              <w:top w:val="nil"/>
              <w:left w:val="nil"/>
              <w:bottom w:val="nil"/>
              <w:right w:val="nil"/>
            </w:tcBorders>
            <w:shd w:val="clear" w:color="auto" w:fill="auto"/>
            <w:vAlign w:val="center"/>
          </w:tcPr>
          <w:p w14:paraId="161F07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形成默认供应商及合同顺序规则</w:t>
            </w:r>
          </w:p>
        </w:tc>
        <w:tc>
          <w:tcPr>
            <w:tcW w:w="966" w:type="dxa"/>
            <w:tcBorders>
              <w:top w:val="nil"/>
              <w:left w:val="nil"/>
              <w:bottom w:val="nil"/>
              <w:right w:val="nil"/>
            </w:tcBorders>
            <w:shd w:val="clear" w:color="auto" w:fill="auto"/>
            <w:vAlign w:val="center"/>
          </w:tcPr>
          <w:p w14:paraId="448E5C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C95F4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12A14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供应商存放地点、运输提前期、最早可到货日、日期可供量、合同执行顺序等形成后</w:t>
            </w:r>
          </w:p>
        </w:tc>
        <w:tc>
          <w:tcPr>
            <w:tcW w:w="1406" w:type="dxa"/>
            <w:tcBorders>
              <w:top w:val="nil"/>
              <w:left w:val="nil"/>
              <w:bottom w:val="nil"/>
              <w:right w:val="nil"/>
            </w:tcBorders>
            <w:shd w:val="clear" w:color="auto" w:fill="auto"/>
            <w:vAlign w:val="center"/>
          </w:tcPr>
          <w:p w14:paraId="73EEF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默认按合同签订时间先后排序，先签合同优先；同一签订时间或顺序无法确定时提示采购计划员确认。</w:t>
            </w:r>
          </w:p>
        </w:tc>
        <w:tc>
          <w:tcPr>
            <w:tcW w:w="1088" w:type="dxa"/>
            <w:tcBorders>
              <w:top w:val="nil"/>
              <w:left w:val="nil"/>
              <w:bottom w:val="nil"/>
              <w:right w:val="nil"/>
            </w:tcBorders>
            <w:shd w:val="clear" w:color="auto" w:fill="auto"/>
            <w:vAlign w:val="center"/>
          </w:tcPr>
          <w:p w14:paraId="405136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默认要货优先顺序</w:t>
            </w:r>
          </w:p>
        </w:tc>
        <w:tc>
          <w:tcPr>
            <w:tcW w:w="1460" w:type="dxa"/>
            <w:tcBorders>
              <w:top w:val="nil"/>
              <w:left w:val="nil"/>
              <w:bottom w:val="nil"/>
              <w:right w:val="nil"/>
            </w:tcBorders>
            <w:shd w:val="clear" w:color="auto" w:fill="auto"/>
            <w:vAlign w:val="center"/>
          </w:tcPr>
          <w:p w14:paraId="2D930B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2B6829">
        <w:trPr>
          <w:cantSplit/>
          <w:trHeight w:val="0" w:hRule="atLeast"/>
          <w:jc w:val="center"/>
        </w:trPr>
        <w:tc>
          <w:tcPr>
            <w:tcW w:w="2944" w:type="dxa"/>
            <w:tcBorders>
              <w:top w:val="nil"/>
              <w:left w:val="nil"/>
              <w:bottom w:val="nil"/>
              <w:right w:val="nil"/>
            </w:tcBorders>
            <w:shd w:val="clear" w:color="auto" w:fill="auto"/>
            <w:vAlign w:val="center"/>
          </w:tcPr>
          <w:p w14:paraId="3F84A2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P-ZLTC-SCOS-YHJH-001-40-001</w:t>
            </w:r>
          </w:p>
        </w:tc>
        <w:tc>
          <w:tcPr>
            <w:tcW w:w="945" w:type="dxa"/>
            <w:tcBorders>
              <w:top w:val="nil"/>
              <w:left w:val="nil"/>
              <w:bottom w:val="nil"/>
              <w:right w:val="nil"/>
            </w:tcBorders>
            <w:shd w:val="clear" w:color="auto" w:fill="auto"/>
            <w:vAlign w:val="center"/>
          </w:tcPr>
          <w:p w14:paraId="257404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评审并调整要货优先顺序规则</w:t>
            </w:r>
          </w:p>
        </w:tc>
        <w:tc>
          <w:tcPr>
            <w:tcW w:w="966" w:type="dxa"/>
            <w:tcBorders>
              <w:top w:val="nil"/>
              <w:left w:val="nil"/>
              <w:bottom w:val="nil"/>
              <w:right w:val="nil"/>
            </w:tcBorders>
            <w:shd w:val="clear" w:color="auto" w:fill="auto"/>
            <w:vAlign w:val="center"/>
          </w:tcPr>
          <w:p w14:paraId="046B86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9CA37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4700E8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默认要货优先顺序形成并具备评审条件后</w:t>
            </w:r>
          </w:p>
        </w:tc>
        <w:tc>
          <w:tcPr>
            <w:tcW w:w="1406" w:type="dxa"/>
            <w:tcBorders>
              <w:top w:val="nil"/>
              <w:left w:val="nil"/>
              <w:bottom w:val="nil"/>
              <w:right w:val="nil"/>
            </w:tcBorders>
            <w:shd w:val="clear" w:color="auto" w:fill="auto"/>
            <w:vAlign w:val="center"/>
          </w:tcPr>
          <w:p w14:paraId="787E7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采购计划员可依据成本和实际协商结果调整顺序；未填写调整理由时不允许提交人工调整顺序。</w:t>
            </w:r>
          </w:p>
        </w:tc>
        <w:tc>
          <w:tcPr>
            <w:tcW w:w="1088" w:type="dxa"/>
            <w:tcBorders>
              <w:top w:val="nil"/>
              <w:left w:val="nil"/>
              <w:bottom w:val="nil"/>
              <w:right w:val="nil"/>
            </w:tcBorders>
            <w:shd w:val="clear" w:color="auto" w:fill="auto"/>
            <w:vAlign w:val="center"/>
          </w:tcPr>
          <w:p w14:paraId="52F653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业务确认的供应商及合同顺序、调整理由</w:t>
            </w:r>
          </w:p>
        </w:tc>
        <w:tc>
          <w:tcPr>
            <w:tcW w:w="1460" w:type="dxa"/>
            <w:tcBorders>
              <w:top w:val="nil"/>
              <w:left w:val="nil"/>
              <w:bottom w:val="nil"/>
              <w:right w:val="nil"/>
            </w:tcBorders>
            <w:shd w:val="clear" w:color="auto" w:fill="auto"/>
            <w:vAlign w:val="center"/>
          </w:tcPr>
          <w:p w14:paraId="3027ED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B4BA3C">
        <w:trPr>
          <w:cantSplit/>
          <w:trHeight w:val="0" w:hRule="atLeast"/>
          <w:jc w:val="center"/>
        </w:trPr>
        <w:tc>
          <w:tcPr>
            <w:tcW w:w="2944" w:type="dxa"/>
            <w:tcBorders>
              <w:top w:val="nil"/>
              <w:left w:val="nil"/>
              <w:bottom w:val="nil"/>
              <w:right w:val="nil"/>
            </w:tcBorders>
            <w:shd w:val="clear" w:color="auto" w:fill="auto"/>
            <w:vAlign w:val="center"/>
          </w:tcPr>
          <w:p w14:paraId="56A4B2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P-ZLTC-SCOS-YHJH-001-50-001</w:t>
            </w:r>
          </w:p>
        </w:tc>
        <w:tc>
          <w:tcPr>
            <w:tcW w:w="945" w:type="dxa"/>
            <w:tcBorders>
              <w:top w:val="nil"/>
              <w:left w:val="nil"/>
              <w:bottom w:val="nil"/>
              <w:right w:val="nil"/>
            </w:tcBorders>
            <w:shd w:val="clear" w:color="auto" w:fill="auto"/>
            <w:vAlign w:val="center"/>
          </w:tcPr>
          <w:p w14:paraId="24AB04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判断条件是否完整可用规则</w:t>
            </w:r>
          </w:p>
        </w:tc>
        <w:tc>
          <w:tcPr>
            <w:tcW w:w="966" w:type="dxa"/>
            <w:tcBorders>
              <w:top w:val="nil"/>
              <w:left w:val="nil"/>
              <w:bottom w:val="nil"/>
              <w:right w:val="nil"/>
            </w:tcBorders>
            <w:shd w:val="clear" w:color="auto" w:fill="auto"/>
            <w:vAlign w:val="center"/>
          </w:tcPr>
          <w:p w14:paraId="0CDE8F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1BE6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18458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业务确认的供应商及合同顺序、调整理由形成后</w:t>
            </w:r>
          </w:p>
        </w:tc>
        <w:tc>
          <w:tcPr>
            <w:tcW w:w="1406" w:type="dxa"/>
            <w:tcBorders>
              <w:top w:val="nil"/>
              <w:left w:val="nil"/>
              <w:bottom w:val="nil"/>
              <w:right w:val="nil"/>
            </w:tcBorders>
            <w:shd w:val="clear" w:color="auto" w:fill="auto"/>
            <w:vAlign w:val="center"/>
          </w:tcPr>
          <w:p w14:paraId="1CB564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核对合同有效性、可安排余量、交期及运输提前期等条件；条件不完整可用时退回补充或调整；条件完整可用时继续处理。</w:t>
            </w:r>
          </w:p>
        </w:tc>
        <w:tc>
          <w:tcPr>
            <w:tcW w:w="1088" w:type="dxa"/>
            <w:tcBorders>
              <w:top w:val="nil"/>
              <w:left w:val="nil"/>
              <w:bottom w:val="nil"/>
              <w:right w:val="nil"/>
            </w:tcBorders>
            <w:shd w:val="clear" w:color="auto" w:fill="auto"/>
            <w:vAlign w:val="center"/>
          </w:tcPr>
          <w:p w14:paraId="022FB0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完整性与可用性校验结果</w:t>
            </w:r>
          </w:p>
        </w:tc>
        <w:tc>
          <w:tcPr>
            <w:tcW w:w="1460" w:type="dxa"/>
            <w:tcBorders>
              <w:top w:val="nil"/>
              <w:left w:val="nil"/>
              <w:bottom w:val="nil"/>
              <w:right w:val="nil"/>
            </w:tcBorders>
            <w:shd w:val="clear" w:color="auto" w:fill="auto"/>
            <w:vAlign w:val="center"/>
          </w:tcPr>
          <w:p w14:paraId="0D7DA6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41A3A6">
        <w:trPr>
          <w:cantSplit/>
          <w:trHeight w:val="0" w:hRule="atLeast"/>
          <w:jc w:val="center"/>
        </w:trPr>
        <w:tc>
          <w:tcPr>
            <w:tcW w:w="2944" w:type="dxa"/>
            <w:tcBorders>
              <w:top w:val="nil"/>
              <w:left w:val="nil"/>
              <w:bottom w:val="nil"/>
              <w:right w:val="nil"/>
            </w:tcBorders>
            <w:shd w:val="clear" w:color="auto" w:fill="auto"/>
            <w:vAlign w:val="center"/>
          </w:tcPr>
          <w:p w14:paraId="423883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P-ZLTC-SCOS-YHJH-001-60-001</w:t>
            </w:r>
          </w:p>
        </w:tc>
        <w:tc>
          <w:tcPr>
            <w:tcW w:w="945" w:type="dxa"/>
            <w:tcBorders>
              <w:top w:val="nil"/>
              <w:left w:val="nil"/>
              <w:bottom w:val="nil"/>
              <w:right w:val="nil"/>
            </w:tcBorders>
            <w:shd w:val="clear" w:color="auto" w:fill="auto"/>
            <w:vAlign w:val="center"/>
          </w:tcPr>
          <w:p w14:paraId="2FA2D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确认并发布要货条件版本规则</w:t>
            </w:r>
          </w:p>
        </w:tc>
        <w:tc>
          <w:tcPr>
            <w:tcW w:w="966" w:type="dxa"/>
            <w:tcBorders>
              <w:top w:val="nil"/>
              <w:left w:val="nil"/>
              <w:bottom w:val="nil"/>
              <w:right w:val="nil"/>
            </w:tcBorders>
            <w:shd w:val="clear" w:color="auto" w:fill="auto"/>
            <w:vAlign w:val="center"/>
          </w:tcPr>
          <w:p w14:paraId="1821DB6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63F3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BD0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条件完整可用时</w:t>
            </w:r>
          </w:p>
        </w:tc>
        <w:tc>
          <w:tcPr>
            <w:tcW w:w="1406" w:type="dxa"/>
            <w:tcBorders>
              <w:top w:val="nil"/>
              <w:left w:val="nil"/>
              <w:bottom w:val="nil"/>
              <w:right w:val="nil"/>
            </w:tcBorders>
            <w:shd w:val="clear" w:color="auto" w:fill="auto"/>
            <w:vAlign w:val="center"/>
          </w:tcPr>
          <w:p w14:paraId="0F1A7A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对要货基础条件和人工调整顺序进行业务确认；不确认时补充完善。</w:t>
            </w:r>
          </w:p>
        </w:tc>
        <w:tc>
          <w:tcPr>
            <w:tcW w:w="1088" w:type="dxa"/>
            <w:tcBorders>
              <w:top w:val="nil"/>
              <w:left w:val="nil"/>
              <w:bottom w:val="nil"/>
              <w:right w:val="nil"/>
            </w:tcBorders>
            <w:shd w:val="clear" w:color="auto" w:fill="auto"/>
            <w:vAlign w:val="center"/>
          </w:tcPr>
          <w:p w14:paraId="7BF36D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确认结论及条件版本</w:t>
            </w:r>
          </w:p>
        </w:tc>
        <w:tc>
          <w:tcPr>
            <w:tcW w:w="1460" w:type="dxa"/>
            <w:tcBorders>
              <w:top w:val="nil"/>
              <w:left w:val="nil"/>
              <w:bottom w:val="nil"/>
              <w:right w:val="nil"/>
            </w:tcBorders>
            <w:shd w:val="clear" w:color="auto" w:fill="auto"/>
            <w:vAlign w:val="center"/>
          </w:tcPr>
          <w:p w14:paraId="60F27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8B77DFA">
        <w:trPr>
          <w:cantSplit/>
          <w:trHeight w:val="0" w:hRule="atLeast"/>
          <w:jc w:val="center"/>
        </w:trPr>
        <w:tc>
          <w:tcPr>
            <w:tcW w:w="2944" w:type="dxa"/>
            <w:tcBorders>
              <w:top w:val="nil"/>
              <w:left w:val="nil"/>
              <w:bottom w:val="nil"/>
              <w:right w:val="nil"/>
            </w:tcBorders>
            <w:shd w:val="clear" w:color="auto" w:fill="auto"/>
            <w:vAlign w:val="center"/>
          </w:tcPr>
          <w:p w14:paraId="3330B1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P-ZLTC-SCOS-YHJH-001-70-001</w:t>
            </w:r>
          </w:p>
        </w:tc>
        <w:tc>
          <w:tcPr>
            <w:tcW w:w="945" w:type="dxa"/>
            <w:tcBorders>
              <w:top w:val="nil"/>
              <w:left w:val="nil"/>
              <w:bottom w:val="nil"/>
              <w:right w:val="nil"/>
            </w:tcBorders>
            <w:shd w:val="clear" w:color="auto" w:fill="auto"/>
            <w:vAlign w:val="center"/>
          </w:tcPr>
          <w:p w14:paraId="626EC7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条件生效用于计划规则</w:t>
            </w:r>
          </w:p>
        </w:tc>
        <w:tc>
          <w:tcPr>
            <w:tcW w:w="966" w:type="dxa"/>
            <w:tcBorders>
              <w:top w:val="nil"/>
              <w:left w:val="nil"/>
              <w:bottom w:val="nil"/>
              <w:right w:val="nil"/>
            </w:tcBorders>
            <w:shd w:val="clear" w:color="auto" w:fill="auto"/>
            <w:vAlign w:val="center"/>
          </w:tcPr>
          <w:p w14:paraId="2A17AC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1B92D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6E40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确认结论及条件版本形成后</w:t>
            </w:r>
          </w:p>
        </w:tc>
        <w:tc>
          <w:tcPr>
            <w:tcW w:w="1406" w:type="dxa"/>
            <w:tcBorders>
              <w:top w:val="nil"/>
              <w:left w:val="nil"/>
              <w:bottom w:val="nil"/>
              <w:right w:val="nil"/>
            </w:tcBorders>
            <w:shd w:val="clear" w:color="auto" w:fill="auto"/>
            <w:vAlign w:val="center"/>
          </w:tcPr>
          <w:p w14:paraId="3CF719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生效版本供日度要货计划制定和滚动调整使用；发布失败时保留待发布状态并支持重试。</w:t>
            </w:r>
          </w:p>
        </w:tc>
        <w:tc>
          <w:tcPr>
            <w:tcW w:w="1088" w:type="dxa"/>
            <w:tcBorders>
              <w:top w:val="nil"/>
              <w:left w:val="nil"/>
              <w:bottom w:val="nil"/>
              <w:right w:val="nil"/>
            </w:tcBorders>
            <w:shd w:val="clear" w:color="auto" w:fill="auto"/>
            <w:vAlign w:val="center"/>
          </w:tcPr>
          <w:p w14:paraId="45B354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生效的要货计算条件</w:t>
            </w:r>
          </w:p>
        </w:tc>
        <w:tc>
          <w:tcPr>
            <w:tcW w:w="1460" w:type="dxa"/>
            <w:tcBorders>
              <w:top w:val="nil"/>
              <w:left w:val="nil"/>
              <w:bottom w:val="nil"/>
              <w:right w:val="nil"/>
            </w:tcBorders>
            <w:shd w:val="clear" w:color="auto" w:fill="auto"/>
            <w:vAlign w:val="center"/>
          </w:tcPr>
          <w:p w14:paraId="27014B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CC3483">
        <w:trPr>
          <w:cantSplit/>
          <w:trHeight w:val="0" w:hRule="atLeast"/>
          <w:jc w:val="center"/>
        </w:trPr>
        <w:tc>
          <w:tcPr>
            <w:tcW w:w="2944" w:type="dxa"/>
            <w:tcBorders>
              <w:top w:val="nil"/>
              <w:left w:val="nil"/>
              <w:bottom w:val="nil"/>
              <w:right w:val="nil"/>
            </w:tcBorders>
            <w:shd w:val="clear" w:color="auto" w:fill="auto"/>
            <w:vAlign w:val="center"/>
          </w:tcPr>
          <w:p w14:paraId="1F0431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P-ZLTC-SCOS-YHJH-002-10-001</w:t>
            </w:r>
          </w:p>
        </w:tc>
        <w:tc>
          <w:tcPr>
            <w:tcW w:w="945" w:type="dxa"/>
            <w:tcBorders>
              <w:top w:val="nil"/>
              <w:left w:val="nil"/>
              <w:bottom w:val="nil"/>
              <w:right w:val="nil"/>
            </w:tcBorders>
            <w:shd w:val="clear" w:color="auto" w:fill="auto"/>
            <w:vAlign w:val="center"/>
          </w:tcPr>
          <w:p w14:paraId="121E06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汇集生产耗用、库存与已有在途规则</w:t>
            </w:r>
          </w:p>
        </w:tc>
        <w:tc>
          <w:tcPr>
            <w:tcW w:w="966" w:type="dxa"/>
            <w:tcBorders>
              <w:top w:val="nil"/>
              <w:left w:val="nil"/>
              <w:bottom w:val="nil"/>
              <w:right w:val="nil"/>
            </w:tcBorders>
            <w:shd w:val="clear" w:color="auto" w:fill="auto"/>
            <w:vAlign w:val="center"/>
          </w:tcPr>
          <w:p w14:paraId="7B4A5A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E5244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1C5A5F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系统每日定时运行，采购计划员也可按业务需要人工发起时</w:t>
            </w:r>
          </w:p>
        </w:tc>
        <w:tc>
          <w:tcPr>
            <w:tcW w:w="1406" w:type="dxa"/>
            <w:tcBorders>
              <w:top w:val="nil"/>
              <w:left w:val="nil"/>
              <w:bottom w:val="nil"/>
              <w:right w:val="nil"/>
            </w:tcBorders>
            <w:shd w:val="clear" w:color="auto" w:fill="auto"/>
            <w:vAlign w:val="center"/>
          </w:tcPr>
          <w:p w14:paraId="263C99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优先使用已发布的日度原材料需求；需求、必要BOM、库存时间或在途日期缺失时提示补充，不将缺失数据直接按零处理。</w:t>
            </w:r>
          </w:p>
        </w:tc>
        <w:tc>
          <w:tcPr>
            <w:tcW w:w="1088" w:type="dxa"/>
            <w:tcBorders>
              <w:top w:val="nil"/>
              <w:left w:val="nil"/>
              <w:bottom w:val="nil"/>
              <w:right w:val="nil"/>
            </w:tcBorders>
            <w:shd w:val="clear" w:color="auto" w:fill="auto"/>
            <w:vAlign w:val="center"/>
          </w:tcPr>
          <w:p w14:paraId="54668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要货计算数据集</w:t>
            </w:r>
          </w:p>
        </w:tc>
        <w:tc>
          <w:tcPr>
            <w:tcW w:w="1460" w:type="dxa"/>
            <w:tcBorders>
              <w:top w:val="nil"/>
              <w:left w:val="nil"/>
              <w:bottom w:val="nil"/>
              <w:right w:val="nil"/>
            </w:tcBorders>
            <w:shd w:val="clear" w:color="auto" w:fill="auto"/>
            <w:vAlign w:val="center"/>
          </w:tcPr>
          <w:p w14:paraId="60C961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1959E417">
        <w:trPr>
          <w:cantSplit/>
          <w:trHeight w:val="0" w:hRule="atLeast"/>
          <w:jc w:val="center"/>
        </w:trPr>
        <w:tc>
          <w:tcPr>
            <w:tcW w:w="2944" w:type="dxa"/>
            <w:tcBorders>
              <w:top w:val="nil"/>
              <w:left w:val="nil"/>
              <w:bottom w:val="nil"/>
              <w:right w:val="nil"/>
            </w:tcBorders>
            <w:shd w:val="clear" w:color="auto" w:fill="auto"/>
            <w:vAlign w:val="center"/>
          </w:tcPr>
          <w:p w14:paraId="090019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P-ZLTC-SCOS-YHJH-002-20-001</w:t>
            </w:r>
          </w:p>
        </w:tc>
        <w:tc>
          <w:tcPr>
            <w:tcW w:w="945" w:type="dxa"/>
            <w:tcBorders>
              <w:top w:val="nil"/>
              <w:left w:val="nil"/>
              <w:bottom w:val="nil"/>
              <w:right w:val="nil"/>
            </w:tcBorders>
            <w:shd w:val="clear" w:color="auto" w:fill="auto"/>
            <w:vAlign w:val="center"/>
          </w:tcPr>
          <w:p w14:paraId="560A56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形成需到货日期与数量规则</w:t>
            </w:r>
          </w:p>
        </w:tc>
        <w:tc>
          <w:tcPr>
            <w:tcW w:w="966" w:type="dxa"/>
            <w:tcBorders>
              <w:top w:val="nil"/>
              <w:left w:val="nil"/>
              <w:bottom w:val="nil"/>
              <w:right w:val="nil"/>
            </w:tcBorders>
            <w:shd w:val="clear" w:color="auto" w:fill="auto"/>
            <w:vAlign w:val="center"/>
          </w:tcPr>
          <w:p w14:paraId="6D3872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C38EF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1FE1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要货计算数据集形成后</w:t>
            </w:r>
          </w:p>
        </w:tc>
        <w:tc>
          <w:tcPr>
            <w:tcW w:w="1406" w:type="dxa"/>
            <w:tcBorders>
              <w:top w:val="nil"/>
              <w:left w:val="nil"/>
              <w:bottom w:val="nil"/>
              <w:right w:val="nil"/>
            </w:tcBorders>
            <w:shd w:val="clear" w:color="auto" w:fill="auto"/>
            <w:vAlign w:val="center"/>
          </w:tcPr>
          <w:p w14:paraId="135D54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按日投影库存；计划期末继续读取缓冲天数内的耗用；现有已确定的到货安排已满足需求时，该日期不新增要货。</w:t>
            </w:r>
          </w:p>
        </w:tc>
        <w:tc>
          <w:tcPr>
            <w:tcW w:w="1088" w:type="dxa"/>
            <w:tcBorders>
              <w:top w:val="nil"/>
              <w:left w:val="nil"/>
              <w:bottom w:val="nil"/>
              <w:right w:val="nil"/>
            </w:tcBorders>
            <w:shd w:val="clear" w:color="auto" w:fill="auto"/>
            <w:vAlign w:val="center"/>
          </w:tcPr>
          <w:p w14:paraId="31E1DB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分日需到货量及风险日期</w:t>
            </w:r>
          </w:p>
        </w:tc>
        <w:tc>
          <w:tcPr>
            <w:tcW w:w="1460" w:type="dxa"/>
            <w:tcBorders>
              <w:top w:val="nil"/>
              <w:left w:val="nil"/>
              <w:bottom w:val="nil"/>
              <w:right w:val="nil"/>
            </w:tcBorders>
            <w:shd w:val="clear" w:color="auto" w:fill="auto"/>
            <w:vAlign w:val="center"/>
          </w:tcPr>
          <w:p w14:paraId="11A299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AC747">
        <w:trPr>
          <w:cantSplit/>
          <w:trHeight w:val="0" w:hRule="atLeast"/>
          <w:jc w:val="center"/>
        </w:trPr>
        <w:tc>
          <w:tcPr>
            <w:tcW w:w="2944" w:type="dxa"/>
            <w:tcBorders>
              <w:top w:val="nil"/>
              <w:left w:val="nil"/>
              <w:bottom w:val="nil"/>
              <w:right w:val="nil"/>
            </w:tcBorders>
            <w:shd w:val="clear" w:color="auto" w:fill="auto"/>
            <w:vAlign w:val="center"/>
          </w:tcPr>
          <w:p w14:paraId="233743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P-ZLTC-SCOS-YHJH-002-30-001</w:t>
            </w:r>
          </w:p>
        </w:tc>
        <w:tc>
          <w:tcPr>
            <w:tcW w:w="945" w:type="dxa"/>
            <w:tcBorders>
              <w:top w:val="nil"/>
              <w:left w:val="nil"/>
              <w:bottom w:val="nil"/>
              <w:right w:val="nil"/>
            </w:tcBorders>
            <w:shd w:val="clear" w:color="auto" w:fill="auto"/>
            <w:vAlign w:val="center"/>
          </w:tcPr>
          <w:p w14:paraId="60B61C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按顺序生成要货建议规则</w:t>
            </w:r>
          </w:p>
        </w:tc>
        <w:tc>
          <w:tcPr>
            <w:tcW w:w="966" w:type="dxa"/>
            <w:tcBorders>
              <w:top w:val="nil"/>
              <w:left w:val="nil"/>
              <w:bottom w:val="nil"/>
              <w:right w:val="nil"/>
            </w:tcBorders>
            <w:shd w:val="clear" w:color="auto" w:fill="auto"/>
            <w:vAlign w:val="center"/>
          </w:tcPr>
          <w:p w14:paraId="2DE045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EEC3C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31AE4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分日需到货量及风险日期形成后</w:t>
            </w:r>
          </w:p>
        </w:tc>
        <w:tc>
          <w:tcPr>
            <w:tcW w:w="1406" w:type="dxa"/>
            <w:tcBorders>
              <w:top w:val="nil"/>
              <w:left w:val="nil"/>
              <w:bottom w:val="nil"/>
              <w:right w:val="nil"/>
            </w:tcBorders>
            <w:shd w:val="clear" w:color="auto" w:fill="auto"/>
            <w:vAlign w:val="center"/>
          </w:tcPr>
          <w:p w14:paraId="22252E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按当前顺序优先安排前序供应商；不能满足时不强行生成虚假可执行计划，输出风险日期、缺口数量和原因。</w:t>
            </w:r>
          </w:p>
        </w:tc>
        <w:tc>
          <w:tcPr>
            <w:tcW w:w="1088" w:type="dxa"/>
            <w:tcBorders>
              <w:top w:val="nil"/>
              <w:left w:val="nil"/>
              <w:bottom w:val="nil"/>
              <w:right w:val="nil"/>
            </w:tcBorders>
            <w:shd w:val="clear" w:color="auto" w:fill="auto"/>
            <w:vAlign w:val="center"/>
          </w:tcPr>
          <w:p w14:paraId="492440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供应商、合同、到货日、到货数量及必要补位原因</w:t>
            </w:r>
          </w:p>
        </w:tc>
        <w:tc>
          <w:tcPr>
            <w:tcW w:w="1460" w:type="dxa"/>
            <w:tcBorders>
              <w:top w:val="nil"/>
              <w:left w:val="nil"/>
              <w:bottom w:val="nil"/>
              <w:right w:val="nil"/>
            </w:tcBorders>
            <w:shd w:val="clear" w:color="auto" w:fill="auto"/>
            <w:vAlign w:val="center"/>
          </w:tcPr>
          <w:p w14:paraId="2BA3E6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D96BD6">
        <w:trPr>
          <w:cantSplit/>
          <w:trHeight w:val="0" w:hRule="atLeast"/>
          <w:jc w:val="center"/>
        </w:trPr>
        <w:tc>
          <w:tcPr>
            <w:tcW w:w="2944" w:type="dxa"/>
            <w:tcBorders>
              <w:top w:val="nil"/>
              <w:left w:val="nil"/>
              <w:bottom w:val="nil"/>
              <w:right w:val="nil"/>
            </w:tcBorders>
            <w:shd w:val="clear" w:color="auto" w:fill="auto"/>
            <w:vAlign w:val="center"/>
          </w:tcPr>
          <w:p w14:paraId="15F6AF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P-ZLTC-SCOS-YHJH-002-40-001</w:t>
            </w:r>
          </w:p>
        </w:tc>
        <w:tc>
          <w:tcPr>
            <w:tcW w:w="945" w:type="dxa"/>
            <w:tcBorders>
              <w:top w:val="nil"/>
              <w:left w:val="nil"/>
              <w:bottom w:val="nil"/>
              <w:right w:val="nil"/>
            </w:tcBorders>
            <w:shd w:val="clear" w:color="auto" w:fill="auto"/>
            <w:vAlign w:val="center"/>
          </w:tcPr>
          <w:p w14:paraId="622933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评审并调整日期、数量与供应商规则</w:t>
            </w:r>
          </w:p>
        </w:tc>
        <w:tc>
          <w:tcPr>
            <w:tcW w:w="966" w:type="dxa"/>
            <w:tcBorders>
              <w:top w:val="nil"/>
              <w:left w:val="nil"/>
              <w:bottom w:val="nil"/>
              <w:right w:val="nil"/>
            </w:tcBorders>
            <w:shd w:val="clear" w:color="auto" w:fill="auto"/>
            <w:vAlign w:val="center"/>
          </w:tcPr>
          <w:p w14:paraId="0131888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57749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2F6843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供应商、合同、到货日、到货数量及必要补位原因形成并具备评审条件后</w:t>
            </w:r>
          </w:p>
        </w:tc>
        <w:tc>
          <w:tcPr>
            <w:tcW w:w="1406" w:type="dxa"/>
            <w:tcBorders>
              <w:top w:val="nil"/>
              <w:left w:val="nil"/>
              <w:bottom w:val="nil"/>
              <w:right w:val="nil"/>
            </w:tcBorders>
            <w:shd w:val="clear" w:color="auto" w:fill="auto"/>
            <w:vAlign w:val="center"/>
          </w:tcPr>
          <w:p w14:paraId="337057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根据供应商协商结果调整优先顺序、合同、到货日期和数量；可重新生成系统方案；人工调整和移除均保留记录。</w:t>
            </w:r>
          </w:p>
        </w:tc>
        <w:tc>
          <w:tcPr>
            <w:tcW w:w="1088" w:type="dxa"/>
            <w:tcBorders>
              <w:top w:val="nil"/>
              <w:left w:val="nil"/>
              <w:bottom w:val="nil"/>
              <w:right w:val="nil"/>
            </w:tcBorders>
            <w:shd w:val="clear" w:color="auto" w:fill="auto"/>
            <w:vAlign w:val="center"/>
          </w:tcPr>
          <w:p w14:paraId="5AD571D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拟确认要货计划</w:t>
            </w:r>
          </w:p>
        </w:tc>
        <w:tc>
          <w:tcPr>
            <w:tcW w:w="1460" w:type="dxa"/>
            <w:tcBorders>
              <w:top w:val="nil"/>
              <w:left w:val="nil"/>
              <w:bottom w:val="nil"/>
              <w:right w:val="nil"/>
            </w:tcBorders>
            <w:shd w:val="clear" w:color="auto" w:fill="auto"/>
            <w:vAlign w:val="center"/>
          </w:tcPr>
          <w:p w14:paraId="4EEAB4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F35DFF">
        <w:trPr>
          <w:cantSplit/>
          <w:trHeight w:val="0" w:hRule="atLeast"/>
          <w:jc w:val="center"/>
        </w:trPr>
        <w:tc>
          <w:tcPr>
            <w:tcW w:w="2944" w:type="dxa"/>
            <w:tcBorders>
              <w:top w:val="nil"/>
              <w:left w:val="nil"/>
              <w:bottom w:val="nil"/>
              <w:right w:val="nil"/>
            </w:tcBorders>
            <w:shd w:val="clear" w:color="auto" w:fill="auto"/>
            <w:vAlign w:val="center"/>
          </w:tcPr>
          <w:p w14:paraId="6D9850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P-ZLTC-SCOS-YHJH-002-50-001</w:t>
            </w:r>
          </w:p>
        </w:tc>
        <w:tc>
          <w:tcPr>
            <w:tcW w:w="945" w:type="dxa"/>
            <w:tcBorders>
              <w:top w:val="nil"/>
              <w:left w:val="nil"/>
              <w:bottom w:val="nil"/>
              <w:right w:val="nil"/>
            </w:tcBorders>
            <w:shd w:val="clear" w:color="auto" w:fill="auto"/>
            <w:vAlign w:val="center"/>
          </w:tcPr>
          <w:p w14:paraId="0D18A5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重新计算库存并校验可执行性规则</w:t>
            </w:r>
          </w:p>
        </w:tc>
        <w:tc>
          <w:tcPr>
            <w:tcW w:w="966" w:type="dxa"/>
            <w:tcBorders>
              <w:top w:val="nil"/>
              <w:left w:val="nil"/>
              <w:bottom w:val="nil"/>
              <w:right w:val="nil"/>
            </w:tcBorders>
            <w:shd w:val="clear" w:color="auto" w:fill="auto"/>
            <w:vAlign w:val="center"/>
          </w:tcPr>
          <w:p w14:paraId="671F0F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FC6BD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67ED4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拟确认要货计划形成后</w:t>
            </w:r>
          </w:p>
        </w:tc>
        <w:tc>
          <w:tcPr>
            <w:tcW w:w="1406" w:type="dxa"/>
            <w:tcBorders>
              <w:top w:val="nil"/>
              <w:left w:val="nil"/>
              <w:bottom w:val="nil"/>
              <w:right w:val="nil"/>
            </w:tcBorders>
            <w:shd w:val="clear" w:color="auto" w:fill="auto"/>
            <w:vAlign w:val="center"/>
          </w:tcPr>
          <w:p w14:paraId="4E3E4C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调整后即时重算预计库存和合同余额；库存低于安全缓冲、合同超量、禁运或到货不可行等阻断性冲突必须处理，不允许下达。</w:t>
            </w:r>
          </w:p>
        </w:tc>
        <w:tc>
          <w:tcPr>
            <w:tcW w:w="1088" w:type="dxa"/>
            <w:tcBorders>
              <w:top w:val="nil"/>
              <w:left w:val="nil"/>
              <w:bottom w:val="nil"/>
              <w:right w:val="nil"/>
            </w:tcBorders>
            <w:shd w:val="clear" w:color="auto" w:fill="auto"/>
            <w:vAlign w:val="center"/>
          </w:tcPr>
          <w:p w14:paraId="615F09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库存投影、合同余额及校验结果</w:t>
            </w:r>
          </w:p>
        </w:tc>
        <w:tc>
          <w:tcPr>
            <w:tcW w:w="1460" w:type="dxa"/>
            <w:tcBorders>
              <w:top w:val="nil"/>
              <w:left w:val="nil"/>
              <w:bottom w:val="nil"/>
              <w:right w:val="nil"/>
            </w:tcBorders>
            <w:shd w:val="clear" w:color="auto" w:fill="auto"/>
            <w:vAlign w:val="center"/>
          </w:tcPr>
          <w:p w14:paraId="1367D4B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262774">
        <w:trPr>
          <w:cantSplit/>
          <w:trHeight w:val="0" w:hRule="atLeast"/>
          <w:jc w:val="center"/>
        </w:trPr>
        <w:tc>
          <w:tcPr>
            <w:tcW w:w="2944" w:type="dxa"/>
            <w:tcBorders>
              <w:top w:val="nil"/>
              <w:left w:val="nil"/>
              <w:bottom w:val="nil"/>
              <w:right w:val="nil"/>
            </w:tcBorders>
            <w:shd w:val="clear" w:color="auto" w:fill="auto"/>
            <w:vAlign w:val="center"/>
          </w:tcPr>
          <w:p w14:paraId="1FE750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P-ZLTC-SCOS-YHJH-002-60-001</w:t>
            </w:r>
          </w:p>
        </w:tc>
        <w:tc>
          <w:tcPr>
            <w:tcW w:w="945" w:type="dxa"/>
            <w:tcBorders>
              <w:top w:val="nil"/>
              <w:left w:val="nil"/>
              <w:bottom w:val="nil"/>
              <w:right w:val="nil"/>
            </w:tcBorders>
            <w:shd w:val="clear" w:color="auto" w:fill="auto"/>
            <w:vAlign w:val="center"/>
          </w:tcPr>
          <w:p w14:paraId="10F0DC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判断是否确认当前计划规则</w:t>
            </w:r>
          </w:p>
        </w:tc>
        <w:tc>
          <w:tcPr>
            <w:tcW w:w="966" w:type="dxa"/>
            <w:tcBorders>
              <w:top w:val="nil"/>
              <w:left w:val="nil"/>
              <w:bottom w:val="nil"/>
              <w:right w:val="nil"/>
            </w:tcBorders>
            <w:shd w:val="clear" w:color="auto" w:fill="auto"/>
            <w:vAlign w:val="center"/>
          </w:tcPr>
          <w:p w14:paraId="75B01D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F858C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EC52C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库存投影、合同余额及校验结果形成后</w:t>
            </w:r>
          </w:p>
        </w:tc>
        <w:tc>
          <w:tcPr>
            <w:tcW w:w="1406" w:type="dxa"/>
            <w:tcBorders>
              <w:top w:val="nil"/>
              <w:left w:val="nil"/>
              <w:bottom w:val="nil"/>
              <w:right w:val="nil"/>
            </w:tcBorders>
            <w:shd w:val="clear" w:color="auto" w:fill="auto"/>
            <w:vAlign w:val="center"/>
          </w:tcPr>
          <w:p w14:paraId="555C8F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核对供应商、合同、日期、数量、补位原因及风险；未确认当前计划时退回调整；确认当前计划时继续处理。</w:t>
            </w:r>
          </w:p>
        </w:tc>
        <w:tc>
          <w:tcPr>
            <w:tcW w:w="1088" w:type="dxa"/>
            <w:tcBorders>
              <w:top w:val="nil"/>
              <w:left w:val="nil"/>
              <w:bottom w:val="nil"/>
              <w:right w:val="nil"/>
            </w:tcBorders>
            <w:shd w:val="clear" w:color="auto" w:fill="auto"/>
            <w:vAlign w:val="center"/>
          </w:tcPr>
          <w:p w14:paraId="71C2862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89F48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664652">
        <w:trPr>
          <w:cantSplit/>
          <w:trHeight w:val="0" w:hRule="atLeast"/>
          <w:jc w:val="center"/>
        </w:trPr>
        <w:tc>
          <w:tcPr>
            <w:tcW w:w="2944" w:type="dxa"/>
            <w:tcBorders>
              <w:top w:val="nil"/>
              <w:left w:val="nil"/>
              <w:bottom w:val="nil"/>
              <w:right w:val="nil"/>
            </w:tcBorders>
            <w:shd w:val="clear" w:color="auto" w:fill="auto"/>
            <w:vAlign w:val="center"/>
          </w:tcPr>
          <w:p w14:paraId="4A9C3C1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P-ZLTC-SCOS-YHJH-002-70-001</w:t>
            </w:r>
          </w:p>
        </w:tc>
        <w:tc>
          <w:tcPr>
            <w:tcW w:w="945" w:type="dxa"/>
            <w:tcBorders>
              <w:top w:val="nil"/>
              <w:left w:val="nil"/>
              <w:bottom w:val="nil"/>
              <w:right w:val="nil"/>
            </w:tcBorders>
            <w:shd w:val="clear" w:color="auto" w:fill="auto"/>
            <w:vAlign w:val="center"/>
          </w:tcPr>
          <w:p w14:paraId="2BA1D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发布确认计划版本规则</w:t>
            </w:r>
          </w:p>
        </w:tc>
        <w:tc>
          <w:tcPr>
            <w:tcW w:w="966" w:type="dxa"/>
            <w:tcBorders>
              <w:top w:val="nil"/>
              <w:left w:val="nil"/>
              <w:bottom w:val="nil"/>
              <w:right w:val="nil"/>
            </w:tcBorders>
            <w:shd w:val="clear" w:color="auto" w:fill="auto"/>
            <w:vAlign w:val="center"/>
          </w:tcPr>
          <w:p w14:paraId="5CAFDD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9C3DB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48B551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确认当前计划时</w:t>
            </w:r>
          </w:p>
        </w:tc>
        <w:tc>
          <w:tcPr>
            <w:tcW w:w="1406" w:type="dxa"/>
            <w:tcBorders>
              <w:top w:val="nil"/>
              <w:left w:val="nil"/>
              <w:bottom w:val="nil"/>
              <w:right w:val="nil"/>
            </w:tcBorders>
            <w:shd w:val="clear" w:color="auto" w:fill="auto"/>
            <w:vAlign w:val="center"/>
          </w:tcPr>
          <w:p w14:paraId="7691B7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发布确认版本，冻结其中的确认安排；发布失败时保留待发布状态并支持重试。</w:t>
            </w:r>
          </w:p>
        </w:tc>
        <w:tc>
          <w:tcPr>
            <w:tcW w:w="1088" w:type="dxa"/>
            <w:tcBorders>
              <w:top w:val="nil"/>
              <w:left w:val="nil"/>
              <w:bottom w:val="nil"/>
              <w:right w:val="nil"/>
            </w:tcBorders>
            <w:shd w:val="clear" w:color="auto" w:fill="auto"/>
            <w:vAlign w:val="center"/>
          </w:tcPr>
          <w:p w14:paraId="5DDD31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已确认要货计划及版本</w:t>
            </w:r>
          </w:p>
        </w:tc>
        <w:tc>
          <w:tcPr>
            <w:tcW w:w="1460" w:type="dxa"/>
            <w:tcBorders>
              <w:top w:val="nil"/>
              <w:left w:val="nil"/>
              <w:bottom w:val="nil"/>
              <w:right w:val="nil"/>
            </w:tcBorders>
            <w:shd w:val="clear" w:color="auto" w:fill="auto"/>
            <w:vAlign w:val="center"/>
          </w:tcPr>
          <w:p w14:paraId="2B069F2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9188A79">
        <w:trPr>
          <w:cantSplit/>
          <w:trHeight w:val="0" w:hRule="atLeast"/>
          <w:jc w:val="center"/>
        </w:trPr>
        <w:tc>
          <w:tcPr>
            <w:tcW w:w="2944" w:type="dxa"/>
            <w:tcBorders>
              <w:top w:val="nil"/>
              <w:left w:val="nil"/>
              <w:bottom w:val="nil"/>
              <w:right w:val="nil"/>
            </w:tcBorders>
            <w:shd w:val="clear" w:color="auto" w:fill="auto"/>
            <w:vAlign w:val="center"/>
          </w:tcPr>
          <w:p w14:paraId="3FA6A3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P-ZLTC-SCOS-YHJH-003-10-001</w:t>
            </w:r>
          </w:p>
        </w:tc>
        <w:tc>
          <w:tcPr>
            <w:tcW w:w="945" w:type="dxa"/>
            <w:tcBorders>
              <w:top w:val="nil"/>
              <w:left w:val="nil"/>
              <w:bottom w:val="nil"/>
              <w:right w:val="nil"/>
            </w:tcBorders>
            <w:shd w:val="clear" w:color="auto" w:fill="auto"/>
            <w:vAlign w:val="center"/>
          </w:tcPr>
          <w:p w14:paraId="28FB58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下达已确认要货计划规则</w:t>
            </w:r>
          </w:p>
        </w:tc>
        <w:tc>
          <w:tcPr>
            <w:tcW w:w="966" w:type="dxa"/>
            <w:tcBorders>
              <w:top w:val="nil"/>
              <w:left w:val="nil"/>
              <w:bottom w:val="nil"/>
              <w:right w:val="nil"/>
            </w:tcBorders>
            <w:shd w:val="clear" w:color="auto" w:fill="auto"/>
            <w:vAlign w:val="center"/>
          </w:tcPr>
          <w:p w14:paraId="32999F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3E8DC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14DB6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要货计划完成确认并进入执行阶段时</w:t>
            </w:r>
          </w:p>
        </w:tc>
        <w:tc>
          <w:tcPr>
            <w:tcW w:w="1406" w:type="dxa"/>
            <w:tcBorders>
              <w:top w:val="nil"/>
              <w:left w:val="nil"/>
              <w:bottom w:val="nil"/>
              <w:right w:val="nil"/>
            </w:tcBorders>
            <w:shd w:val="clear" w:color="auto" w:fill="auto"/>
            <w:vAlign w:val="center"/>
          </w:tcPr>
          <w:p w14:paraId="747BCE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核对要货计划版本后发起下达；计划基于既有合同和订单；发现确认版本失效或存在阻断性冲突时停止下达，返回计划调整。</w:t>
            </w:r>
          </w:p>
        </w:tc>
        <w:tc>
          <w:tcPr>
            <w:tcW w:w="1088" w:type="dxa"/>
            <w:tcBorders>
              <w:top w:val="nil"/>
              <w:left w:val="nil"/>
              <w:bottom w:val="nil"/>
              <w:right w:val="nil"/>
            </w:tcBorders>
            <w:shd w:val="clear" w:color="auto" w:fill="auto"/>
            <w:vAlign w:val="center"/>
          </w:tcPr>
          <w:p w14:paraId="21F8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下达指令</w:t>
            </w:r>
          </w:p>
        </w:tc>
        <w:tc>
          <w:tcPr>
            <w:tcW w:w="1460" w:type="dxa"/>
            <w:tcBorders>
              <w:top w:val="nil"/>
              <w:left w:val="nil"/>
              <w:bottom w:val="nil"/>
              <w:right w:val="nil"/>
            </w:tcBorders>
            <w:shd w:val="clear" w:color="auto" w:fill="auto"/>
            <w:vAlign w:val="center"/>
          </w:tcPr>
          <w:p w14:paraId="747DCE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67AB1A">
        <w:trPr>
          <w:cantSplit/>
          <w:trHeight w:val="0" w:hRule="atLeast"/>
          <w:jc w:val="center"/>
        </w:trPr>
        <w:tc>
          <w:tcPr>
            <w:tcW w:w="2944" w:type="dxa"/>
            <w:tcBorders>
              <w:top w:val="nil"/>
              <w:left w:val="nil"/>
              <w:bottom w:val="nil"/>
              <w:right w:val="nil"/>
            </w:tcBorders>
            <w:shd w:val="clear" w:color="auto" w:fill="auto"/>
            <w:vAlign w:val="center"/>
          </w:tcPr>
          <w:p w14:paraId="6AFDE6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P-ZLTC-SCOS-YHJH-003-20-001</w:t>
            </w:r>
          </w:p>
        </w:tc>
        <w:tc>
          <w:tcPr>
            <w:tcW w:w="945" w:type="dxa"/>
            <w:tcBorders>
              <w:top w:val="nil"/>
              <w:left w:val="nil"/>
              <w:bottom w:val="nil"/>
              <w:right w:val="nil"/>
            </w:tcBorders>
            <w:shd w:val="clear" w:color="auto" w:fill="auto"/>
            <w:vAlign w:val="center"/>
          </w:tcPr>
          <w:p w14:paraId="0900FF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发送计划并记录下达状态规则</w:t>
            </w:r>
          </w:p>
        </w:tc>
        <w:tc>
          <w:tcPr>
            <w:tcW w:w="966" w:type="dxa"/>
            <w:tcBorders>
              <w:top w:val="nil"/>
              <w:left w:val="nil"/>
              <w:bottom w:val="nil"/>
              <w:right w:val="nil"/>
            </w:tcBorders>
            <w:shd w:val="clear" w:color="auto" w:fill="auto"/>
            <w:vAlign w:val="center"/>
          </w:tcPr>
          <w:p w14:paraId="76986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4CB22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615F5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下达指令形成后</w:t>
            </w:r>
          </w:p>
        </w:tc>
        <w:tc>
          <w:tcPr>
            <w:tcW w:w="1406" w:type="dxa"/>
            <w:tcBorders>
              <w:top w:val="nil"/>
              <w:left w:val="nil"/>
              <w:bottom w:val="nil"/>
              <w:right w:val="nil"/>
            </w:tcBorders>
            <w:shd w:val="clear" w:color="auto" w:fill="auto"/>
            <w:vAlign w:val="center"/>
          </w:tcPr>
          <w:p w14:paraId="42F925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按供应商、合同/订单、到货日和数量发送已确认计划；接口失败时保留“待下达”状态，支持重试和人工核对。</w:t>
            </w:r>
          </w:p>
        </w:tc>
        <w:tc>
          <w:tcPr>
            <w:tcW w:w="1088" w:type="dxa"/>
            <w:tcBorders>
              <w:top w:val="nil"/>
              <w:left w:val="nil"/>
              <w:bottom w:val="nil"/>
              <w:right w:val="nil"/>
            </w:tcBorders>
            <w:shd w:val="clear" w:color="auto" w:fill="auto"/>
            <w:vAlign w:val="center"/>
          </w:tcPr>
          <w:p w14:paraId="0D6B7B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发送至E采/SAP或供应商协同平台的要货明细、下达状态</w:t>
            </w:r>
          </w:p>
        </w:tc>
        <w:tc>
          <w:tcPr>
            <w:tcW w:w="1460" w:type="dxa"/>
            <w:tcBorders>
              <w:top w:val="nil"/>
              <w:left w:val="nil"/>
              <w:bottom w:val="nil"/>
              <w:right w:val="nil"/>
            </w:tcBorders>
            <w:shd w:val="clear" w:color="auto" w:fill="auto"/>
            <w:vAlign w:val="center"/>
          </w:tcPr>
          <w:p w14:paraId="31C74D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SCOS/SAP/E采/供应商协同平台</w:t>
            </w:r>
          </w:p>
        </w:tc>
      </w:tr>
      <w:tr w14:paraId="2B388BD4">
        <w:trPr>
          <w:cantSplit/>
          <w:trHeight w:val="0" w:hRule="atLeast"/>
          <w:jc w:val="center"/>
        </w:trPr>
        <w:tc>
          <w:tcPr>
            <w:tcW w:w="2944" w:type="dxa"/>
            <w:tcBorders>
              <w:top w:val="nil"/>
              <w:left w:val="nil"/>
              <w:bottom w:val="nil"/>
              <w:right w:val="nil"/>
            </w:tcBorders>
            <w:shd w:val="clear" w:color="auto" w:fill="auto"/>
            <w:vAlign w:val="center"/>
          </w:tcPr>
          <w:p w14:paraId="556510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P-ZLTC-SCOS-YHJH-003-30-001</w:t>
            </w:r>
          </w:p>
        </w:tc>
        <w:tc>
          <w:tcPr>
            <w:tcW w:w="945" w:type="dxa"/>
            <w:tcBorders>
              <w:top w:val="nil"/>
              <w:left w:val="nil"/>
              <w:bottom w:val="nil"/>
              <w:right w:val="nil"/>
            </w:tcBorders>
            <w:shd w:val="clear" w:color="auto" w:fill="auto"/>
            <w:vAlign w:val="center"/>
          </w:tcPr>
          <w:p w14:paraId="018DAA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接收计划并反馈送货承诺规则</w:t>
            </w:r>
          </w:p>
        </w:tc>
        <w:tc>
          <w:tcPr>
            <w:tcW w:w="966" w:type="dxa"/>
            <w:tcBorders>
              <w:top w:val="nil"/>
              <w:left w:val="nil"/>
              <w:bottom w:val="nil"/>
              <w:right w:val="nil"/>
            </w:tcBorders>
            <w:shd w:val="clear" w:color="auto" w:fill="auto"/>
            <w:vAlign w:val="center"/>
          </w:tcPr>
          <w:p w14:paraId="380A29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F01C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1EC4E9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发送至E采/SAP或供应商协同平台的要货明细、下达状态形成后</w:t>
            </w:r>
          </w:p>
        </w:tc>
        <w:tc>
          <w:tcPr>
            <w:tcW w:w="1406" w:type="dxa"/>
            <w:tcBorders>
              <w:top w:val="nil"/>
              <w:left w:val="nil"/>
              <w:bottom w:val="nil"/>
              <w:right w:val="nil"/>
            </w:tcBorders>
            <w:shd w:val="clear" w:color="auto" w:fill="auto"/>
            <w:vAlign w:val="center"/>
          </w:tcPr>
          <w:p w14:paraId="6BDF9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供应商确认能否按计划到货；无法满足时记录执行偏差，并评估是否需要调整要货计划。</w:t>
            </w:r>
          </w:p>
        </w:tc>
        <w:tc>
          <w:tcPr>
            <w:tcW w:w="1088" w:type="dxa"/>
            <w:tcBorders>
              <w:top w:val="nil"/>
              <w:left w:val="nil"/>
              <w:bottom w:val="nil"/>
              <w:right w:val="nil"/>
            </w:tcBorders>
            <w:shd w:val="clear" w:color="auto" w:fill="auto"/>
            <w:vAlign w:val="center"/>
          </w:tcPr>
          <w:p w14:paraId="53A864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供应商承诺、反馈意见及计划状态</w:t>
            </w:r>
          </w:p>
        </w:tc>
        <w:tc>
          <w:tcPr>
            <w:tcW w:w="1460" w:type="dxa"/>
            <w:tcBorders>
              <w:top w:val="nil"/>
              <w:left w:val="nil"/>
              <w:bottom w:val="nil"/>
              <w:right w:val="nil"/>
            </w:tcBorders>
            <w:shd w:val="clear" w:color="auto" w:fill="auto"/>
            <w:vAlign w:val="center"/>
          </w:tcPr>
          <w:p w14:paraId="28340B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SCOS/E采/供应商协同平台</w:t>
            </w:r>
          </w:p>
        </w:tc>
      </w:tr>
      <w:tr w14:paraId="4BA2111E">
        <w:trPr>
          <w:cantSplit/>
          <w:trHeight w:val="0" w:hRule="atLeast"/>
          <w:jc w:val="center"/>
        </w:trPr>
        <w:tc>
          <w:tcPr>
            <w:tcW w:w="2944" w:type="dxa"/>
            <w:tcBorders>
              <w:top w:val="nil"/>
              <w:left w:val="nil"/>
              <w:bottom w:val="nil"/>
              <w:right w:val="nil"/>
            </w:tcBorders>
            <w:shd w:val="clear" w:color="auto" w:fill="auto"/>
            <w:vAlign w:val="center"/>
          </w:tcPr>
          <w:p w14:paraId="44EF130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P-ZLTC-SCOS-YHJH-003-40-001</w:t>
            </w:r>
          </w:p>
        </w:tc>
        <w:tc>
          <w:tcPr>
            <w:tcW w:w="945" w:type="dxa"/>
            <w:tcBorders>
              <w:top w:val="nil"/>
              <w:left w:val="nil"/>
              <w:bottom w:val="nil"/>
              <w:right w:val="nil"/>
            </w:tcBorders>
            <w:shd w:val="clear" w:color="auto" w:fill="auto"/>
            <w:vAlign w:val="center"/>
          </w:tcPr>
          <w:p w14:paraId="06A2DC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反馈发货、在途及预计到货日规则</w:t>
            </w:r>
          </w:p>
        </w:tc>
        <w:tc>
          <w:tcPr>
            <w:tcW w:w="966" w:type="dxa"/>
            <w:tcBorders>
              <w:top w:val="nil"/>
              <w:left w:val="nil"/>
              <w:bottom w:val="nil"/>
              <w:right w:val="nil"/>
            </w:tcBorders>
            <w:shd w:val="clear" w:color="auto" w:fill="auto"/>
            <w:vAlign w:val="center"/>
          </w:tcPr>
          <w:p w14:paraId="4176A5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B7603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7C423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供应商承诺、反馈意见及计划状态形成后</w:t>
            </w:r>
          </w:p>
        </w:tc>
        <w:tc>
          <w:tcPr>
            <w:tcW w:w="1406" w:type="dxa"/>
            <w:tcBorders>
              <w:top w:val="nil"/>
              <w:left w:val="nil"/>
              <w:bottom w:val="nil"/>
              <w:right w:val="nil"/>
            </w:tcBorders>
            <w:shd w:val="clear" w:color="auto" w:fill="auto"/>
            <w:vAlign w:val="center"/>
          </w:tcPr>
          <w:p w14:paraId="1A97FC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供应商及TMS负责实际发货和运输执行；预计到货日变化、运输中断或数量差异时标记执行偏差。</w:t>
            </w:r>
          </w:p>
        </w:tc>
        <w:tc>
          <w:tcPr>
            <w:tcW w:w="1088" w:type="dxa"/>
            <w:tcBorders>
              <w:top w:val="nil"/>
              <w:left w:val="nil"/>
              <w:bottom w:val="nil"/>
              <w:right w:val="nil"/>
            </w:tcBorders>
            <w:shd w:val="clear" w:color="auto" w:fill="auto"/>
            <w:vAlign w:val="center"/>
          </w:tcPr>
          <w:p w14:paraId="1D6948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发货数量、运输节点、在途状态和预计到货日</w:t>
            </w:r>
          </w:p>
        </w:tc>
        <w:tc>
          <w:tcPr>
            <w:tcW w:w="1460" w:type="dxa"/>
            <w:tcBorders>
              <w:top w:val="nil"/>
              <w:left w:val="nil"/>
              <w:bottom w:val="nil"/>
              <w:right w:val="nil"/>
            </w:tcBorders>
            <w:shd w:val="clear" w:color="auto" w:fill="auto"/>
            <w:vAlign w:val="center"/>
          </w:tcPr>
          <w:p w14:paraId="325CA1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6D413816">
        <w:trPr>
          <w:cantSplit/>
          <w:trHeight w:val="0" w:hRule="atLeast"/>
          <w:jc w:val="center"/>
        </w:trPr>
        <w:tc>
          <w:tcPr>
            <w:tcW w:w="2944" w:type="dxa"/>
            <w:tcBorders>
              <w:top w:val="nil"/>
              <w:left w:val="nil"/>
              <w:bottom w:val="nil"/>
              <w:right w:val="nil"/>
            </w:tcBorders>
            <w:shd w:val="clear" w:color="auto" w:fill="auto"/>
            <w:vAlign w:val="center"/>
          </w:tcPr>
          <w:p w14:paraId="4C568A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P-ZLTC-SCOS-YHJH-003-50-001</w:t>
            </w:r>
          </w:p>
        </w:tc>
        <w:tc>
          <w:tcPr>
            <w:tcW w:w="945" w:type="dxa"/>
            <w:tcBorders>
              <w:top w:val="nil"/>
              <w:left w:val="nil"/>
              <w:bottom w:val="nil"/>
              <w:right w:val="nil"/>
            </w:tcBorders>
            <w:shd w:val="clear" w:color="auto" w:fill="auto"/>
            <w:vAlign w:val="center"/>
          </w:tcPr>
          <w:p w14:paraId="10E759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到厂收货并反馈质检状态规则</w:t>
            </w:r>
          </w:p>
        </w:tc>
        <w:tc>
          <w:tcPr>
            <w:tcW w:w="966" w:type="dxa"/>
            <w:tcBorders>
              <w:top w:val="nil"/>
              <w:left w:val="nil"/>
              <w:bottom w:val="nil"/>
              <w:right w:val="nil"/>
            </w:tcBorders>
            <w:shd w:val="clear" w:color="auto" w:fill="auto"/>
            <w:vAlign w:val="center"/>
          </w:tcPr>
          <w:p w14:paraId="6E9D09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6981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6D87B39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发货数量、运输节点、在途状态和预计到货日形成后</w:t>
            </w:r>
          </w:p>
        </w:tc>
        <w:tc>
          <w:tcPr>
            <w:tcW w:w="1406" w:type="dxa"/>
            <w:tcBorders>
              <w:top w:val="nil"/>
              <w:left w:val="nil"/>
              <w:bottom w:val="nil"/>
              <w:right w:val="nil"/>
            </w:tcBorders>
            <w:shd w:val="clear" w:color="auto" w:fill="auto"/>
            <w:vAlign w:val="center"/>
          </w:tcPr>
          <w:p w14:paraId="53B39E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到货后由执行系统登记收货和质量结果；待检、拒收或质量异常按相应业务流程处理，并反馈要货执行影响。</w:t>
            </w:r>
          </w:p>
        </w:tc>
        <w:tc>
          <w:tcPr>
            <w:tcW w:w="1088" w:type="dxa"/>
            <w:tcBorders>
              <w:top w:val="nil"/>
              <w:left w:val="nil"/>
              <w:bottom w:val="nil"/>
              <w:right w:val="nil"/>
            </w:tcBorders>
            <w:shd w:val="clear" w:color="auto" w:fill="auto"/>
            <w:vAlign w:val="center"/>
          </w:tcPr>
          <w:p w14:paraId="2D6D7C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实收到货量、到货时间、质检及库存状态</w:t>
            </w:r>
          </w:p>
        </w:tc>
        <w:tc>
          <w:tcPr>
            <w:tcW w:w="1460" w:type="dxa"/>
            <w:tcBorders>
              <w:top w:val="nil"/>
              <w:left w:val="nil"/>
              <w:bottom w:val="nil"/>
              <w:right w:val="nil"/>
            </w:tcBorders>
            <w:shd w:val="clear" w:color="auto" w:fill="auto"/>
            <w:vAlign w:val="center"/>
          </w:tcPr>
          <w:p w14:paraId="1700A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SCOS/WMS/QMS</w:t>
            </w:r>
          </w:p>
        </w:tc>
      </w:tr>
      <w:tr w14:paraId="35836370">
        <w:trPr>
          <w:cantSplit/>
          <w:trHeight w:val="0" w:hRule="atLeast"/>
          <w:jc w:val="center"/>
        </w:trPr>
        <w:tc>
          <w:tcPr>
            <w:tcW w:w="2944" w:type="dxa"/>
            <w:tcBorders>
              <w:top w:val="nil"/>
              <w:left w:val="nil"/>
              <w:bottom w:val="nil"/>
              <w:right w:val="nil"/>
            </w:tcBorders>
            <w:shd w:val="clear" w:color="auto" w:fill="auto"/>
            <w:vAlign w:val="center"/>
          </w:tcPr>
          <w:p w14:paraId="354F26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P-ZLTC-SCOS-YHJH-003-60-001</w:t>
            </w:r>
          </w:p>
        </w:tc>
        <w:tc>
          <w:tcPr>
            <w:tcW w:w="945" w:type="dxa"/>
            <w:tcBorders>
              <w:top w:val="nil"/>
              <w:left w:val="nil"/>
              <w:bottom w:val="nil"/>
              <w:right w:val="nil"/>
            </w:tcBorders>
            <w:shd w:val="clear" w:color="auto" w:fill="auto"/>
            <w:vAlign w:val="center"/>
          </w:tcPr>
          <w:p w14:paraId="5F381C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更新执行状态与已确定的到货安排规则</w:t>
            </w:r>
          </w:p>
        </w:tc>
        <w:tc>
          <w:tcPr>
            <w:tcW w:w="966" w:type="dxa"/>
            <w:tcBorders>
              <w:top w:val="nil"/>
              <w:left w:val="nil"/>
              <w:bottom w:val="nil"/>
              <w:right w:val="nil"/>
            </w:tcBorders>
            <w:shd w:val="clear" w:color="auto" w:fill="auto"/>
            <w:vAlign w:val="center"/>
          </w:tcPr>
          <w:p w14:paraId="4D91D2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4AD39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7425D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实收到货量、到货时间、质检及库存状态形成后</w:t>
            </w:r>
          </w:p>
        </w:tc>
        <w:tc>
          <w:tcPr>
            <w:tcW w:w="1406" w:type="dxa"/>
            <w:tcBorders>
              <w:top w:val="nil"/>
              <w:left w:val="nil"/>
              <w:bottom w:val="nil"/>
              <w:right w:val="nil"/>
            </w:tcBorders>
            <w:shd w:val="clear" w:color="auto" w:fill="auto"/>
            <w:vAlign w:val="center"/>
          </w:tcPr>
          <w:p w14:paraId="4D5C933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汇总计划明细状态；多系统数量或状态不一致时提示采购计划员复核。</w:t>
            </w:r>
          </w:p>
        </w:tc>
        <w:tc>
          <w:tcPr>
            <w:tcW w:w="1088" w:type="dxa"/>
            <w:tcBorders>
              <w:top w:val="nil"/>
              <w:left w:val="nil"/>
              <w:bottom w:val="nil"/>
              <w:right w:val="nil"/>
            </w:tcBorders>
            <w:shd w:val="clear" w:color="auto" w:fill="auto"/>
            <w:vAlign w:val="center"/>
          </w:tcPr>
          <w:p w14:paraId="491DC0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要货执行进度和已确定的到货安排</w:t>
            </w:r>
          </w:p>
        </w:tc>
        <w:tc>
          <w:tcPr>
            <w:tcW w:w="1460" w:type="dxa"/>
            <w:tcBorders>
              <w:top w:val="nil"/>
              <w:left w:val="nil"/>
              <w:bottom w:val="nil"/>
              <w:right w:val="nil"/>
            </w:tcBorders>
            <w:shd w:val="clear" w:color="auto" w:fill="auto"/>
            <w:vAlign w:val="center"/>
          </w:tcPr>
          <w:p w14:paraId="2ABAC4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77AB8C1">
        <w:trPr>
          <w:cantSplit/>
          <w:trHeight w:val="0" w:hRule="atLeast"/>
          <w:jc w:val="center"/>
        </w:trPr>
        <w:tc>
          <w:tcPr>
            <w:tcW w:w="2944" w:type="dxa"/>
            <w:tcBorders>
              <w:top w:val="nil"/>
              <w:left w:val="nil"/>
              <w:bottom w:val="nil"/>
              <w:right w:val="nil"/>
            </w:tcBorders>
            <w:shd w:val="clear" w:color="auto" w:fill="auto"/>
            <w:vAlign w:val="center"/>
          </w:tcPr>
          <w:p w14:paraId="186591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P-ZLTC-SCOS-YHJH-003-70-001</w:t>
            </w:r>
          </w:p>
        </w:tc>
        <w:tc>
          <w:tcPr>
            <w:tcW w:w="945" w:type="dxa"/>
            <w:tcBorders>
              <w:top w:val="nil"/>
              <w:left w:val="nil"/>
              <w:bottom w:val="nil"/>
              <w:right w:val="nil"/>
            </w:tcBorders>
            <w:shd w:val="clear" w:color="auto" w:fill="auto"/>
            <w:vAlign w:val="center"/>
          </w:tcPr>
          <w:p w14:paraId="0C75CC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判断是否存在执行偏差规则</w:t>
            </w:r>
          </w:p>
        </w:tc>
        <w:tc>
          <w:tcPr>
            <w:tcW w:w="966" w:type="dxa"/>
            <w:tcBorders>
              <w:top w:val="nil"/>
              <w:left w:val="nil"/>
              <w:bottom w:val="nil"/>
              <w:right w:val="nil"/>
            </w:tcBorders>
            <w:shd w:val="clear" w:color="auto" w:fill="auto"/>
            <w:vAlign w:val="center"/>
          </w:tcPr>
          <w:p w14:paraId="51CB41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A5FA5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5258C0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要货执行进度和已确定的到货安排形成后</w:t>
            </w:r>
          </w:p>
        </w:tc>
        <w:tc>
          <w:tcPr>
            <w:tcW w:w="1406" w:type="dxa"/>
            <w:tcBorders>
              <w:top w:val="nil"/>
              <w:left w:val="nil"/>
              <w:bottom w:val="nil"/>
              <w:right w:val="nil"/>
            </w:tcBorders>
            <w:shd w:val="clear" w:color="auto" w:fill="auto"/>
            <w:vAlign w:val="center"/>
          </w:tcPr>
          <w:p w14:paraId="67CA9F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判断供应偏差是否影响生产耗用和安全缓冲；不存在执行偏差时完成本轮跟踪；存在执行偏差时转入要货调整或异常协调。</w:t>
            </w:r>
          </w:p>
        </w:tc>
        <w:tc>
          <w:tcPr>
            <w:tcW w:w="1088" w:type="dxa"/>
            <w:tcBorders>
              <w:top w:val="nil"/>
              <w:left w:val="nil"/>
              <w:bottom w:val="nil"/>
              <w:right w:val="nil"/>
            </w:tcBorders>
            <w:shd w:val="clear" w:color="auto" w:fill="auto"/>
            <w:vAlign w:val="center"/>
          </w:tcPr>
          <w:p w14:paraId="1FE748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偏差判断及影响范围</w:t>
            </w:r>
          </w:p>
        </w:tc>
        <w:tc>
          <w:tcPr>
            <w:tcW w:w="1460" w:type="dxa"/>
            <w:tcBorders>
              <w:top w:val="nil"/>
              <w:left w:val="nil"/>
              <w:bottom w:val="nil"/>
              <w:right w:val="nil"/>
            </w:tcBorders>
            <w:shd w:val="clear" w:color="auto" w:fill="auto"/>
            <w:vAlign w:val="center"/>
          </w:tcPr>
          <w:p w14:paraId="4F4C42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710A4C1">
        <w:trPr>
          <w:cantSplit/>
          <w:trHeight w:val="0" w:hRule="atLeast"/>
          <w:jc w:val="center"/>
        </w:trPr>
        <w:tc>
          <w:tcPr>
            <w:tcW w:w="2944" w:type="dxa"/>
            <w:tcBorders>
              <w:top w:val="nil"/>
              <w:left w:val="nil"/>
              <w:bottom w:val="nil"/>
              <w:right w:val="nil"/>
            </w:tcBorders>
            <w:shd w:val="clear" w:color="auto" w:fill="auto"/>
            <w:vAlign w:val="center"/>
          </w:tcPr>
          <w:p w14:paraId="3275E1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P-ZLTC-SCOS-YHJH-004-10-001</w:t>
            </w:r>
          </w:p>
        </w:tc>
        <w:tc>
          <w:tcPr>
            <w:tcW w:w="945" w:type="dxa"/>
            <w:tcBorders>
              <w:top w:val="nil"/>
              <w:left w:val="nil"/>
              <w:bottom w:val="nil"/>
              <w:right w:val="nil"/>
            </w:tcBorders>
            <w:shd w:val="clear" w:color="auto" w:fill="auto"/>
            <w:vAlign w:val="center"/>
          </w:tcPr>
          <w:p w14:paraId="4544D9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提供最新业务变化规则</w:t>
            </w:r>
          </w:p>
        </w:tc>
        <w:tc>
          <w:tcPr>
            <w:tcW w:w="966" w:type="dxa"/>
            <w:tcBorders>
              <w:top w:val="nil"/>
              <w:left w:val="nil"/>
              <w:bottom w:val="nil"/>
              <w:right w:val="nil"/>
            </w:tcBorders>
            <w:shd w:val="clear" w:color="auto" w:fill="auto"/>
            <w:vAlign w:val="center"/>
          </w:tcPr>
          <w:p w14:paraId="442D08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4C3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60B86A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系统每日滚动运行时</w:t>
            </w:r>
          </w:p>
        </w:tc>
        <w:tc>
          <w:tcPr>
            <w:tcW w:w="1406" w:type="dxa"/>
            <w:tcBorders>
              <w:top w:val="nil"/>
              <w:left w:val="nil"/>
              <w:bottom w:val="nil"/>
              <w:right w:val="nil"/>
            </w:tcBorders>
            <w:shd w:val="clear" w:color="auto" w:fill="auto"/>
            <w:vAlign w:val="center"/>
          </w:tcPr>
          <w:p w14:paraId="78F953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以带版本和时间戳的最新有效数据触发重算；数据迟延或来源冲突时标记待核对，不直接覆盖已确认事实。</w:t>
            </w:r>
          </w:p>
        </w:tc>
        <w:tc>
          <w:tcPr>
            <w:tcW w:w="1088" w:type="dxa"/>
            <w:tcBorders>
              <w:top w:val="nil"/>
              <w:left w:val="nil"/>
              <w:bottom w:val="nil"/>
              <w:right w:val="nil"/>
            </w:tcBorders>
            <w:shd w:val="clear" w:color="auto" w:fill="auto"/>
            <w:vAlign w:val="center"/>
          </w:tcPr>
          <w:p w14:paraId="48BF19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变更数据集</w:t>
            </w:r>
          </w:p>
        </w:tc>
        <w:tc>
          <w:tcPr>
            <w:tcW w:w="1460" w:type="dxa"/>
            <w:tcBorders>
              <w:top w:val="nil"/>
              <w:left w:val="nil"/>
              <w:bottom w:val="nil"/>
              <w:right w:val="nil"/>
            </w:tcBorders>
            <w:shd w:val="clear" w:color="auto" w:fill="auto"/>
            <w:vAlign w:val="center"/>
          </w:tcPr>
          <w:p w14:paraId="681BA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673848FF">
        <w:trPr>
          <w:cantSplit/>
          <w:trHeight w:val="0" w:hRule="atLeast"/>
          <w:jc w:val="center"/>
        </w:trPr>
        <w:tc>
          <w:tcPr>
            <w:tcW w:w="2944" w:type="dxa"/>
            <w:tcBorders>
              <w:top w:val="nil"/>
              <w:left w:val="nil"/>
              <w:bottom w:val="nil"/>
              <w:right w:val="nil"/>
            </w:tcBorders>
            <w:shd w:val="clear" w:color="auto" w:fill="auto"/>
            <w:vAlign w:val="center"/>
          </w:tcPr>
          <w:p w14:paraId="4F1EF6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P-ZLTC-SCOS-YHJH-004-20-001</w:t>
            </w:r>
          </w:p>
        </w:tc>
        <w:tc>
          <w:tcPr>
            <w:tcW w:w="945" w:type="dxa"/>
            <w:tcBorders>
              <w:top w:val="nil"/>
              <w:left w:val="nil"/>
              <w:bottom w:val="nil"/>
              <w:right w:val="nil"/>
            </w:tcBorders>
            <w:shd w:val="clear" w:color="auto" w:fill="auto"/>
            <w:vAlign w:val="center"/>
          </w:tcPr>
          <w:p w14:paraId="2CF0A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2EB7C1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1371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8D609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变更数据集形成后</w:t>
            </w:r>
          </w:p>
        </w:tc>
        <w:tc>
          <w:tcPr>
            <w:tcW w:w="1406" w:type="dxa"/>
            <w:tcBorders>
              <w:top w:val="nil"/>
              <w:left w:val="nil"/>
              <w:bottom w:val="nil"/>
              <w:right w:val="nil"/>
            </w:tcBorders>
            <w:shd w:val="clear" w:color="auto" w:fill="auto"/>
            <w:vAlign w:val="center"/>
          </w:tcPr>
          <w:p w14:paraId="10CDD9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比较需求、日期、数量和执行状态；未执行安排不受影响时保留当前计划并结束；未执行安排受影响时继续处理。</w:t>
            </w:r>
          </w:p>
        </w:tc>
        <w:tc>
          <w:tcPr>
            <w:tcW w:w="1088" w:type="dxa"/>
            <w:tcBorders>
              <w:top w:val="nil"/>
              <w:left w:val="nil"/>
              <w:bottom w:val="nil"/>
              <w:right w:val="nil"/>
            </w:tcBorders>
            <w:shd w:val="clear" w:color="auto" w:fill="auto"/>
            <w:vAlign w:val="center"/>
          </w:tcPr>
          <w:p w14:paraId="25099D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影响判断与受影响范围</w:t>
            </w:r>
          </w:p>
        </w:tc>
        <w:tc>
          <w:tcPr>
            <w:tcW w:w="1460" w:type="dxa"/>
            <w:tcBorders>
              <w:top w:val="nil"/>
              <w:left w:val="nil"/>
              <w:bottom w:val="nil"/>
              <w:right w:val="nil"/>
            </w:tcBorders>
            <w:shd w:val="clear" w:color="auto" w:fill="auto"/>
            <w:vAlign w:val="center"/>
          </w:tcPr>
          <w:p w14:paraId="41262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BA2E0C">
        <w:trPr>
          <w:cantSplit/>
          <w:trHeight w:val="0" w:hRule="atLeast"/>
          <w:jc w:val="center"/>
        </w:trPr>
        <w:tc>
          <w:tcPr>
            <w:tcW w:w="2944" w:type="dxa"/>
            <w:tcBorders>
              <w:top w:val="nil"/>
              <w:left w:val="nil"/>
              <w:bottom w:val="nil"/>
              <w:right w:val="nil"/>
            </w:tcBorders>
            <w:shd w:val="clear" w:color="auto" w:fill="auto"/>
            <w:vAlign w:val="center"/>
          </w:tcPr>
          <w:p w14:paraId="7C713C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P-ZLTC-SCOS-YHJH-004-30-001</w:t>
            </w:r>
          </w:p>
        </w:tc>
        <w:tc>
          <w:tcPr>
            <w:tcW w:w="945" w:type="dxa"/>
            <w:tcBorders>
              <w:top w:val="nil"/>
              <w:left w:val="nil"/>
              <w:bottom w:val="nil"/>
              <w:right w:val="nil"/>
            </w:tcBorders>
            <w:shd w:val="clear" w:color="auto" w:fill="auto"/>
            <w:vAlign w:val="center"/>
          </w:tcPr>
          <w:p w14:paraId="31BFE1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保留固定与人工锁定安排规则</w:t>
            </w:r>
          </w:p>
        </w:tc>
        <w:tc>
          <w:tcPr>
            <w:tcW w:w="966" w:type="dxa"/>
            <w:tcBorders>
              <w:top w:val="nil"/>
              <w:left w:val="nil"/>
              <w:bottom w:val="nil"/>
              <w:right w:val="nil"/>
            </w:tcBorders>
            <w:shd w:val="clear" w:color="auto" w:fill="auto"/>
            <w:vAlign w:val="center"/>
          </w:tcPr>
          <w:p w14:paraId="486967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13166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351A76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F499F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已确认、已下达、已有在途及人工锁定安排作为已确定的到货安排；已固定安排本身出现偏差时，仅更新执行信息并将影响传递给可调整部分或异常协调流程。</w:t>
            </w:r>
          </w:p>
        </w:tc>
        <w:tc>
          <w:tcPr>
            <w:tcW w:w="1088" w:type="dxa"/>
            <w:tcBorders>
              <w:top w:val="nil"/>
              <w:left w:val="nil"/>
              <w:bottom w:val="nil"/>
              <w:right w:val="nil"/>
            </w:tcBorders>
            <w:shd w:val="clear" w:color="auto" w:fill="auto"/>
            <w:vAlign w:val="center"/>
          </w:tcPr>
          <w:p w14:paraId="1BBBA5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固定范围和可调整范围</w:t>
            </w:r>
          </w:p>
        </w:tc>
        <w:tc>
          <w:tcPr>
            <w:tcW w:w="1460" w:type="dxa"/>
            <w:tcBorders>
              <w:top w:val="nil"/>
              <w:left w:val="nil"/>
              <w:bottom w:val="nil"/>
              <w:right w:val="nil"/>
            </w:tcBorders>
            <w:shd w:val="clear" w:color="auto" w:fill="auto"/>
            <w:vAlign w:val="center"/>
          </w:tcPr>
          <w:p w14:paraId="69F995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E07D8D">
        <w:trPr>
          <w:cantSplit/>
          <w:trHeight w:val="0" w:hRule="atLeast"/>
          <w:jc w:val="center"/>
        </w:trPr>
        <w:tc>
          <w:tcPr>
            <w:tcW w:w="2944" w:type="dxa"/>
            <w:tcBorders>
              <w:top w:val="nil"/>
              <w:left w:val="nil"/>
              <w:bottom w:val="nil"/>
              <w:right w:val="nil"/>
            </w:tcBorders>
            <w:shd w:val="clear" w:color="auto" w:fill="auto"/>
            <w:vAlign w:val="center"/>
          </w:tcPr>
          <w:p w14:paraId="046063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P-ZLTC-SCOS-YHJH-004-40-001</w:t>
            </w:r>
          </w:p>
        </w:tc>
        <w:tc>
          <w:tcPr>
            <w:tcW w:w="945" w:type="dxa"/>
            <w:tcBorders>
              <w:top w:val="nil"/>
              <w:left w:val="nil"/>
              <w:bottom w:val="nil"/>
              <w:right w:val="nil"/>
            </w:tcBorders>
            <w:shd w:val="clear" w:color="auto" w:fill="auto"/>
            <w:vAlign w:val="center"/>
          </w:tcPr>
          <w:p w14:paraId="1D373C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重算未锁定计划并形成差异规则</w:t>
            </w:r>
          </w:p>
        </w:tc>
        <w:tc>
          <w:tcPr>
            <w:tcW w:w="966" w:type="dxa"/>
            <w:tcBorders>
              <w:top w:val="nil"/>
              <w:left w:val="nil"/>
              <w:bottom w:val="nil"/>
              <w:right w:val="nil"/>
            </w:tcBorders>
            <w:shd w:val="clear" w:color="auto" w:fill="auto"/>
            <w:vAlign w:val="center"/>
          </w:tcPr>
          <w:p w14:paraId="0A0CE2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0A73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7534C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固定范围和可调整范围形成后</w:t>
            </w:r>
          </w:p>
        </w:tc>
        <w:tc>
          <w:tcPr>
            <w:tcW w:w="1406" w:type="dxa"/>
            <w:tcBorders>
              <w:top w:val="nil"/>
              <w:left w:val="nil"/>
              <w:bottom w:val="nil"/>
              <w:right w:val="nil"/>
            </w:tcBorders>
            <w:shd w:val="clear" w:color="auto" w:fill="auto"/>
            <w:vAlign w:val="center"/>
          </w:tcPr>
          <w:p w14:paraId="52827D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仅重排受影响的未锁定安排；仍有缺口或不可执行时同步输出日期、数量和原因。</w:t>
            </w:r>
          </w:p>
        </w:tc>
        <w:tc>
          <w:tcPr>
            <w:tcW w:w="1088" w:type="dxa"/>
            <w:tcBorders>
              <w:top w:val="nil"/>
              <w:left w:val="nil"/>
              <w:bottom w:val="nil"/>
              <w:right w:val="nil"/>
            </w:tcBorders>
            <w:shd w:val="clear" w:color="auto" w:fill="auto"/>
            <w:vAlign w:val="center"/>
          </w:tcPr>
          <w:p w14:paraId="3543D3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调整建议、调整前后差异及风险</w:t>
            </w:r>
          </w:p>
        </w:tc>
        <w:tc>
          <w:tcPr>
            <w:tcW w:w="1460" w:type="dxa"/>
            <w:tcBorders>
              <w:top w:val="nil"/>
              <w:left w:val="nil"/>
              <w:bottom w:val="nil"/>
              <w:right w:val="nil"/>
            </w:tcBorders>
            <w:shd w:val="clear" w:color="auto" w:fill="auto"/>
            <w:vAlign w:val="center"/>
          </w:tcPr>
          <w:p w14:paraId="384474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6A0F35">
        <w:trPr>
          <w:cantSplit/>
          <w:trHeight w:val="0" w:hRule="atLeast"/>
          <w:jc w:val="center"/>
        </w:trPr>
        <w:tc>
          <w:tcPr>
            <w:tcW w:w="2944" w:type="dxa"/>
            <w:tcBorders>
              <w:top w:val="nil"/>
              <w:left w:val="nil"/>
              <w:bottom w:val="nil"/>
              <w:right w:val="nil"/>
            </w:tcBorders>
            <w:shd w:val="clear" w:color="auto" w:fill="auto"/>
            <w:vAlign w:val="center"/>
          </w:tcPr>
          <w:p w14:paraId="63E3E5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P-ZLTC-SCOS-YHJH-004-50-001</w:t>
            </w:r>
          </w:p>
        </w:tc>
        <w:tc>
          <w:tcPr>
            <w:tcW w:w="945" w:type="dxa"/>
            <w:tcBorders>
              <w:top w:val="nil"/>
              <w:left w:val="nil"/>
              <w:bottom w:val="nil"/>
              <w:right w:val="nil"/>
            </w:tcBorders>
            <w:shd w:val="clear" w:color="auto" w:fill="auto"/>
            <w:vAlign w:val="center"/>
          </w:tcPr>
          <w:p w14:paraId="779B97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评审并调整建议规则</w:t>
            </w:r>
          </w:p>
        </w:tc>
        <w:tc>
          <w:tcPr>
            <w:tcW w:w="966" w:type="dxa"/>
            <w:tcBorders>
              <w:top w:val="nil"/>
              <w:left w:val="nil"/>
              <w:bottom w:val="nil"/>
              <w:right w:val="nil"/>
            </w:tcBorders>
            <w:shd w:val="clear" w:color="auto" w:fill="auto"/>
            <w:vAlign w:val="center"/>
          </w:tcPr>
          <w:p w14:paraId="57DD3E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576F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2B0F7E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调整建议、调整前后差异及风险形成并具备评审条件后</w:t>
            </w:r>
          </w:p>
        </w:tc>
        <w:tc>
          <w:tcPr>
            <w:tcW w:w="1406" w:type="dxa"/>
            <w:tcBorders>
              <w:top w:val="nil"/>
              <w:left w:val="nil"/>
              <w:bottom w:val="nil"/>
              <w:right w:val="nil"/>
            </w:tcBorders>
            <w:shd w:val="clear" w:color="auto" w:fill="auto"/>
            <w:vAlign w:val="center"/>
          </w:tcPr>
          <w:p w14:paraId="3CAF76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核对变化原因和影响范围，可修改或继续锁定安排；可拒绝系统建议并保留当前未执行安排，但阻断性冲突未解除时不得重新下达。</w:t>
            </w:r>
          </w:p>
        </w:tc>
        <w:tc>
          <w:tcPr>
            <w:tcW w:w="1088" w:type="dxa"/>
            <w:tcBorders>
              <w:top w:val="nil"/>
              <w:left w:val="nil"/>
              <w:bottom w:val="nil"/>
              <w:right w:val="nil"/>
            </w:tcBorders>
            <w:shd w:val="clear" w:color="auto" w:fill="auto"/>
            <w:vAlign w:val="center"/>
          </w:tcPr>
          <w:p w14:paraId="6F6BB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拟确认调整方案</w:t>
            </w:r>
          </w:p>
        </w:tc>
        <w:tc>
          <w:tcPr>
            <w:tcW w:w="1460" w:type="dxa"/>
            <w:tcBorders>
              <w:top w:val="nil"/>
              <w:left w:val="nil"/>
              <w:bottom w:val="nil"/>
              <w:right w:val="nil"/>
            </w:tcBorders>
            <w:shd w:val="clear" w:color="auto" w:fill="auto"/>
            <w:vAlign w:val="center"/>
          </w:tcPr>
          <w:p w14:paraId="29DC3B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35E0B7">
        <w:trPr>
          <w:cantSplit/>
          <w:trHeight w:val="0" w:hRule="atLeast"/>
          <w:jc w:val="center"/>
        </w:trPr>
        <w:tc>
          <w:tcPr>
            <w:tcW w:w="2944" w:type="dxa"/>
            <w:tcBorders>
              <w:top w:val="nil"/>
              <w:left w:val="nil"/>
              <w:bottom w:val="nil"/>
              <w:right w:val="nil"/>
            </w:tcBorders>
            <w:shd w:val="clear" w:color="auto" w:fill="auto"/>
            <w:vAlign w:val="center"/>
          </w:tcPr>
          <w:p w14:paraId="28062D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P-ZLTC-SCOS-YHJH-004-60-001</w:t>
            </w:r>
          </w:p>
        </w:tc>
        <w:tc>
          <w:tcPr>
            <w:tcW w:w="945" w:type="dxa"/>
            <w:tcBorders>
              <w:top w:val="nil"/>
              <w:left w:val="nil"/>
              <w:bottom w:val="nil"/>
              <w:right w:val="nil"/>
            </w:tcBorders>
            <w:shd w:val="clear" w:color="auto" w:fill="auto"/>
            <w:vAlign w:val="center"/>
          </w:tcPr>
          <w:p w14:paraId="7E400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确认调整后计划规则</w:t>
            </w:r>
          </w:p>
        </w:tc>
        <w:tc>
          <w:tcPr>
            <w:tcW w:w="966" w:type="dxa"/>
            <w:tcBorders>
              <w:top w:val="nil"/>
              <w:left w:val="nil"/>
              <w:bottom w:val="nil"/>
              <w:right w:val="nil"/>
            </w:tcBorders>
            <w:shd w:val="clear" w:color="auto" w:fill="auto"/>
            <w:vAlign w:val="center"/>
          </w:tcPr>
          <w:p w14:paraId="1AF651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CA9F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39BD5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拟确认调整方案形成并具备评审条件后</w:t>
            </w:r>
          </w:p>
        </w:tc>
        <w:tc>
          <w:tcPr>
            <w:tcW w:w="1406" w:type="dxa"/>
            <w:tcBorders>
              <w:top w:val="nil"/>
              <w:left w:val="nil"/>
              <w:bottom w:val="nil"/>
              <w:right w:val="nil"/>
            </w:tcBorders>
            <w:shd w:val="clear" w:color="auto" w:fill="auto"/>
            <w:vAlign w:val="center"/>
          </w:tcPr>
          <w:p w14:paraId="534436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确认新版要货计划及需要重新下达的明细；未确认时退回调整或保留原计划；确认通过后继续处理。</w:t>
            </w:r>
          </w:p>
        </w:tc>
        <w:tc>
          <w:tcPr>
            <w:tcW w:w="1088" w:type="dxa"/>
            <w:tcBorders>
              <w:top w:val="nil"/>
              <w:left w:val="nil"/>
              <w:bottom w:val="nil"/>
              <w:right w:val="nil"/>
            </w:tcBorders>
            <w:shd w:val="clear" w:color="auto" w:fill="auto"/>
            <w:vAlign w:val="center"/>
          </w:tcPr>
          <w:p w14:paraId="4C565E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7B02C3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DE08A3">
        <w:trPr>
          <w:cantSplit/>
          <w:trHeight w:val="0" w:hRule="atLeast"/>
          <w:jc w:val="center"/>
        </w:trPr>
        <w:tc>
          <w:tcPr>
            <w:tcW w:w="2944" w:type="dxa"/>
            <w:tcBorders>
              <w:top w:val="nil"/>
              <w:left w:val="nil"/>
              <w:bottom w:val="nil"/>
              <w:right w:val="nil"/>
            </w:tcBorders>
            <w:shd w:val="clear" w:color="auto" w:fill="auto"/>
            <w:vAlign w:val="center"/>
          </w:tcPr>
          <w:p w14:paraId="099355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P-ZLTC-SCOS-YHJH-004-70-001</w:t>
            </w:r>
          </w:p>
        </w:tc>
        <w:tc>
          <w:tcPr>
            <w:tcW w:w="945" w:type="dxa"/>
            <w:tcBorders>
              <w:top w:val="nil"/>
              <w:left w:val="nil"/>
              <w:bottom w:val="nil"/>
              <w:right w:val="nil"/>
            </w:tcBorders>
            <w:shd w:val="clear" w:color="auto" w:fill="auto"/>
            <w:vAlign w:val="center"/>
          </w:tcPr>
          <w:p w14:paraId="2ACD6F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发布新版本并同步变化规则</w:t>
            </w:r>
          </w:p>
        </w:tc>
        <w:tc>
          <w:tcPr>
            <w:tcW w:w="966" w:type="dxa"/>
            <w:tcBorders>
              <w:top w:val="nil"/>
              <w:left w:val="nil"/>
              <w:bottom w:val="nil"/>
              <w:right w:val="nil"/>
            </w:tcBorders>
            <w:shd w:val="clear" w:color="auto" w:fill="auto"/>
            <w:vAlign w:val="center"/>
          </w:tcPr>
          <w:p w14:paraId="779CA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EDCD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4FBDBD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确认调整后计划通过时</w:t>
            </w:r>
          </w:p>
        </w:tc>
        <w:tc>
          <w:tcPr>
            <w:tcW w:w="1406" w:type="dxa"/>
            <w:tcBorders>
              <w:top w:val="nil"/>
              <w:left w:val="nil"/>
              <w:bottom w:val="nil"/>
              <w:right w:val="nil"/>
            </w:tcBorders>
            <w:shd w:val="clear" w:color="auto" w:fill="auto"/>
            <w:vAlign w:val="center"/>
          </w:tcPr>
          <w:p w14:paraId="7204FD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发布新版本，仅向执行端同步发生变化且允许调整的明细；同步失败时保留待同步状态并支持重推。</w:t>
            </w:r>
          </w:p>
        </w:tc>
        <w:tc>
          <w:tcPr>
            <w:tcW w:w="1088" w:type="dxa"/>
            <w:tcBorders>
              <w:top w:val="nil"/>
              <w:left w:val="nil"/>
              <w:bottom w:val="nil"/>
              <w:right w:val="nil"/>
            </w:tcBorders>
            <w:shd w:val="clear" w:color="auto" w:fill="auto"/>
            <w:vAlign w:val="center"/>
          </w:tcPr>
          <w:p w14:paraId="56A536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新版要货计划、变更清单及同步状态</w:t>
            </w:r>
          </w:p>
        </w:tc>
        <w:tc>
          <w:tcPr>
            <w:tcW w:w="1460" w:type="dxa"/>
            <w:tcBorders>
              <w:top w:val="nil"/>
              <w:left w:val="nil"/>
              <w:bottom w:val="nil"/>
              <w:right w:val="nil"/>
            </w:tcBorders>
            <w:shd w:val="clear" w:color="auto" w:fill="auto"/>
            <w:vAlign w:val="center"/>
          </w:tcPr>
          <w:p w14:paraId="411AE1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025015">
        <w:trPr>
          <w:cantSplit/>
          <w:trHeight w:val="0" w:hRule="atLeast"/>
          <w:jc w:val="center"/>
        </w:trPr>
        <w:tc>
          <w:tcPr>
            <w:tcW w:w="2944" w:type="dxa"/>
            <w:tcBorders>
              <w:top w:val="nil"/>
              <w:left w:val="nil"/>
              <w:bottom w:val="nil"/>
              <w:right w:val="nil"/>
            </w:tcBorders>
            <w:shd w:val="clear" w:color="auto" w:fill="auto"/>
            <w:vAlign w:val="center"/>
          </w:tcPr>
          <w:p w14:paraId="5F04AE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P-ZLTC-SCOS-YHJH-005-10-001</w:t>
            </w:r>
          </w:p>
        </w:tc>
        <w:tc>
          <w:tcPr>
            <w:tcW w:w="945" w:type="dxa"/>
            <w:tcBorders>
              <w:top w:val="nil"/>
              <w:left w:val="nil"/>
              <w:bottom w:val="nil"/>
              <w:right w:val="nil"/>
            </w:tcBorders>
            <w:shd w:val="clear" w:color="auto" w:fill="auto"/>
            <w:vAlign w:val="center"/>
          </w:tcPr>
          <w:p w14:paraId="4A1F3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识别要货缺口或执行风险规则</w:t>
            </w:r>
          </w:p>
        </w:tc>
        <w:tc>
          <w:tcPr>
            <w:tcW w:w="966" w:type="dxa"/>
            <w:tcBorders>
              <w:top w:val="nil"/>
              <w:left w:val="nil"/>
              <w:bottom w:val="nil"/>
              <w:right w:val="nil"/>
            </w:tcBorders>
            <w:shd w:val="clear" w:color="auto" w:fill="auto"/>
            <w:vAlign w:val="center"/>
          </w:tcPr>
          <w:p w14:paraId="285FE6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045BF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58A81B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合同余量不足、供应商不能按时供货、预计到货延期或库存低于安全缓冲时</w:t>
            </w:r>
          </w:p>
        </w:tc>
        <w:tc>
          <w:tcPr>
            <w:tcW w:w="1406" w:type="dxa"/>
            <w:tcBorders>
              <w:top w:val="nil"/>
              <w:left w:val="nil"/>
              <w:bottom w:val="nil"/>
              <w:right w:val="nil"/>
            </w:tcBorders>
            <w:shd w:val="clear" w:color="auto" w:fill="auto"/>
            <w:vAlign w:val="center"/>
          </w:tcPr>
          <w:p w14:paraId="00122C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按日识别不能覆盖生产耗用或安全缓冲的风险；无风险时不启动本流程。</w:t>
            </w:r>
          </w:p>
        </w:tc>
        <w:tc>
          <w:tcPr>
            <w:tcW w:w="1088" w:type="dxa"/>
            <w:tcBorders>
              <w:top w:val="nil"/>
              <w:left w:val="nil"/>
              <w:bottom w:val="nil"/>
              <w:right w:val="nil"/>
            </w:tcBorders>
            <w:shd w:val="clear" w:color="auto" w:fill="auto"/>
            <w:vAlign w:val="center"/>
          </w:tcPr>
          <w:p w14:paraId="3FB43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风险事项</w:t>
            </w:r>
          </w:p>
        </w:tc>
        <w:tc>
          <w:tcPr>
            <w:tcW w:w="1460" w:type="dxa"/>
            <w:tcBorders>
              <w:top w:val="nil"/>
              <w:left w:val="nil"/>
              <w:bottom w:val="nil"/>
              <w:right w:val="nil"/>
            </w:tcBorders>
            <w:shd w:val="clear" w:color="auto" w:fill="auto"/>
            <w:vAlign w:val="center"/>
          </w:tcPr>
          <w:p w14:paraId="2F30510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C298C8">
        <w:trPr>
          <w:cantSplit/>
          <w:trHeight w:val="0" w:hRule="atLeast"/>
          <w:jc w:val="center"/>
        </w:trPr>
        <w:tc>
          <w:tcPr>
            <w:tcW w:w="2944" w:type="dxa"/>
            <w:tcBorders>
              <w:top w:val="nil"/>
              <w:left w:val="nil"/>
              <w:bottom w:val="nil"/>
              <w:right w:val="nil"/>
            </w:tcBorders>
            <w:shd w:val="clear" w:color="auto" w:fill="auto"/>
            <w:vAlign w:val="center"/>
          </w:tcPr>
          <w:p w14:paraId="10EB55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P-ZLTC-SCOS-YHJH-005-20-001</w:t>
            </w:r>
          </w:p>
        </w:tc>
        <w:tc>
          <w:tcPr>
            <w:tcW w:w="945" w:type="dxa"/>
            <w:tcBorders>
              <w:top w:val="nil"/>
              <w:left w:val="nil"/>
              <w:bottom w:val="nil"/>
              <w:right w:val="nil"/>
            </w:tcBorders>
            <w:shd w:val="clear" w:color="auto" w:fill="auto"/>
            <w:vAlign w:val="center"/>
          </w:tcPr>
          <w:p w14:paraId="37A833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输出风险日期、数量与原因规则</w:t>
            </w:r>
          </w:p>
        </w:tc>
        <w:tc>
          <w:tcPr>
            <w:tcW w:w="966" w:type="dxa"/>
            <w:tcBorders>
              <w:top w:val="nil"/>
              <w:left w:val="nil"/>
              <w:bottom w:val="nil"/>
              <w:right w:val="nil"/>
            </w:tcBorders>
            <w:shd w:val="clear" w:color="auto" w:fill="auto"/>
            <w:vAlign w:val="center"/>
          </w:tcPr>
          <w:p w14:paraId="7AF5F2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FE735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61FF3E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风险事项形成后</w:t>
            </w:r>
          </w:p>
        </w:tc>
        <w:tc>
          <w:tcPr>
            <w:tcW w:w="1406" w:type="dxa"/>
            <w:tcBorders>
              <w:top w:val="nil"/>
              <w:left w:val="nil"/>
              <w:bottom w:val="nil"/>
              <w:right w:val="nil"/>
            </w:tcBorders>
            <w:shd w:val="clear" w:color="auto" w:fill="auto"/>
            <w:vAlign w:val="center"/>
          </w:tcPr>
          <w:p w14:paraId="4C97F1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将风险定位到具体日期和数量；原因数据不完整时标记“待核实”，不输出确定性处置结论。</w:t>
            </w:r>
          </w:p>
        </w:tc>
        <w:tc>
          <w:tcPr>
            <w:tcW w:w="1088" w:type="dxa"/>
            <w:tcBorders>
              <w:top w:val="nil"/>
              <w:left w:val="nil"/>
              <w:bottom w:val="nil"/>
              <w:right w:val="nil"/>
            </w:tcBorders>
            <w:shd w:val="clear" w:color="auto" w:fill="auto"/>
            <w:vAlign w:val="center"/>
          </w:tcPr>
          <w:p w14:paraId="00F558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受影响物料、日期、缺口量、预计库存及原因</w:t>
            </w:r>
          </w:p>
        </w:tc>
        <w:tc>
          <w:tcPr>
            <w:tcW w:w="1460" w:type="dxa"/>
            <w:tcBorders>
              <w:top w:val="nil"/>
              <w:left w:val="nil"/>
              <w:bottom w:val="nil"/>
              <w:right w:val="nil"/>
            </w:tcBorders>
            <w:shd w:val="clear" w:color="auto" w:fill="auto"/>
            <w:vAlign w:val="center"/>
          </w:tcPr>
          <w:p w14:paraId="155127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FD77AF">
        <w:trPr>
          <w:cantSplit/>
          <w:trHeight w:val="0" w:hRule="atLeast"/>
          <w:jc w:val="center"/>
        </w:trPr>
        <w:tc>
          <w:tcPr>
            <w:tcW w:w="2944" w:type="dxa"/>
            <w:tcBorders>
              <w:top w:val="nil"/>
              <w:left w:val="nil"/>
              <w:bottom w:val="nil"/>
              <w:right w:val="nil"/>
            </w:tcBorders>
            <w:shd w:val="clear" w:color="auto" w:fill="auto"/>
            <w:vAlign w:val="center"/>
          </w:tcPr>
          <w:p w14:paraId="7207AB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P-ZLTC-SCOS-YHJH-005-30-001</w:t>
            </w:r>
          </w:p>
        </w:tc>
        <w:tc>
          <w:tcPr>
            <w:tcW w:w="945" w:type="dxa"/>
            <w:tcBorders>
              <w:top w:val="nil"/>
              <w:left w:val="nil"/>
              <w:bottom w:val="nil"/>
              <w:right w:val="nil"/>
            </w:tcBorders>
            <w:shd w:val="clear" w:color="auto" w:fill="auto"/>
            <w:vAlign w:val="center"/>
          </w:tcPr>
          <w:p w14:paraId="629F15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选择协调方向并提出处理要求规则</w:t>
            </w:r>
          </w:p>
        </w:tc>
        <w:tc>
          <w:tcPr>
            <w:tcW w:w="966" w:type="dxa"/>
            <w:tcBorders>
              <w:top w:val="nil"/>
              <w:left w:val="nil"/>
              <w:bottom w:val="nil"/>
              <w:right w:val="nil"/>
            </w:tcBorders>
            <w:shd w:val="clear" w:color="auto" w:fill="auto"/>
            <w:vAlign w:val="center"/>
          </w:tcPr>
          <w:p w14:paraId="6D22F9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20CF6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2BE2B7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受影响物料、日期、缺口量、预计库存及原因形成后</w:t>
            </w:r>
          </w:p>
        </w:tc>
        <w:tc>
          <w:tcPr>
            <w:tcW w:w="1406" w:type="dxa"/>
            <w:tcBorders>
              <w:top w:val="nil"/>
              <w:left w:val="nil"/>
              <w:bottom w:val="nil"/>
              <w:right w:val="nil"/>
            </w:tcBorders>
            <w:shd w:val="clear" w:color="auto" w:fill="auto"/>
            <w:vAlign w:val="center"/>
          </w:tcPr>
          <w:p w14:paraId="6585FD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可选择与供应商协调到货、调整未锁定安排；涉及新增合同、生产调整或其他跨模块措施时，转对应业务流程决策。</w:t>
            </w:r>
          </w:p>
        </w:tc>
        <w:tc>
          <w:tcPr>
            <w:tcW w:w="1088" w:type="dxa"/>
            <w:tcBorders>
              <w:top w:val="nil"/>
              <w:left w:val="nil"/>
              <w:bottom w:val="nil"/>
              <w:right w:val="nil"/>
            </w:tcBorders>
            <w:shd w:val="clear" w:color="auto" w:fill="auto"/>
            <w:vAlign w:val="center"/>
          </w:tcPr>
          <w:p w14:paraId="3F7668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协调任务和处理方向</w:t>
            </w:r>
          </w:p>
        </w:tc>
        <w:tc>
          <w:tcPr>
            <w:tcW w:w="1460" w:type="dxa"/>
            <w:tcBorders>
              <w:top w:val="nil"/>
              <w:left w:val="nil"/>
              <w:bottom w:val="nil"/>
              <w:right w:val="nil"/>
            </w:tcBorders>
            <w:shd w:val="clear" w:color="auto" w:fill="auto"/>
            <w:vAlign w:val="center"/>
          </w:tcPr>
          <w:p w14:paraId="3A8C50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524BA8">
        <w:trPr>
          <w:cantSplit/>
          <w:trHeight w:val="0" w:hRule="atLeast"/>
          <w:jc w:val="center"/>
        </w:trPr>
        <w:tc>
          <w:tcPr>
            <w:tcW w:w="2944" w:type="dxa"/>
            <w:tcBorders>
              <w:top w:val="nil"/>
              <w:left w:val="nil"/>
              <w:bottom w:val="nil"/>
              <w:right w:val="nil"/>
            </w:tcBorders>
            <w:shd w:val="clear" w:color="auto" w:fill="auto"/>
            <w:vAlign w:val="center"/>
          </w:tcPr>
          <w:p w14:paraId="5F9C79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P-ZLTC-SCOS-YHJH-005-40-001</w:t>
            </w:r>
          </w:p>
        </w:tc>
        <w:tc>
          <w:tcPr>
            <w:tcW w:w="945" w:type="dxa"/>
            <w:tcBorders>
              <w:top w:val="nil"/>
              <w:left w:val="nil"/>
              <w:bottom w:val="nil"/>
              <w:right w:val="nil"/>
            </w:tcBorders>
            <w:shd w:val="clear" w:color="auto" w:fill="auto"/>
            <w:vAlign w:val="center"/>
          </w:tcPr>
          <w:p w14:paraId="3EC4541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协调供货到货或相关业务安排规则</w:t>
            </w:r>
          </w:p>
        </w:tc>
        <w:tc>
          <w:tcPr>
            <w:tcW w:w="966" w:type="dxa"/>
            <w:tcBorders>
              <w:top w:val="nil"/>
              <w:left w:val="nil"/>
              <w:bottom w:val="nil"/>
              <w:right w:val="nil"/>
            </w:tcBorders>
            <w:shd w:val="clear" w:color="auto" w:fill="auto"/>
            <w:vAlign w:val="center"/>
          </w:tcPr>
          <w:p w14:paraId="5D2E25B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70283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64B3F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协调任务和处理方向形成后</w:t>
            </w:r>
          </w:p>
        </w:tc>
        <w:tc>
          <w:tcPr>
            <w:tcW w:w="1406" w:type="dxa"/>
            <w:tcBorders>
              <w:top w:val="nil"/>
              <w:left w:val="nil"/>
              <w:bottom w:val="nil"/>
              <w:right w:val="nil"/>
            </w:tcBorders>
            <w:shd w:val="clear" w:color="auto" w:fill="auto"/>
            <w:vAlign w:val="center"/>
          </w:tcPr>
          <w:p w14:paraId="154A7C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相关责任方对供货数量、可达日期及跨业务影响进行协商；SCOS不自动决定新增合同、外库租赁、生产调整等超出要货计划范围的措施。</w:t>
            </w:r>
          </w:p>
        </w:tc>
        <w:tc>
          <w:tcPr>
            <w:tcW w:w="1088" w:type="dxa"/>
            <w:tcBorders>
              <w:top w:val="nil"/>
              <w:left w:val="nil"/>
              <w:bottom w:val="nil"/>
              <w:right w:val="nil"/>
            </w:tcBorders>
            <w:shd w:val="clear" w:color="auto" w:fill="auto"/>
            <w:vAlign w:val="center"/>
          </w:tcPr>
          <w:p w14:paraId="2F1455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可执行承诺、业务调整意见或无法解决说明</w:t>
            </w:r>
          </w:p>
        </w:tc>
        <w:tc>
          <w:tcPr>
            <w:tcW w:w="1460" w:type="dxa"/>
            <w:tcBorders>
              <w:top w:val="nil"/>
              <w:left w:val="nil"/>
              <w:bottom w:val="nil"/>
              <w:right w:val="nil"/>
            </w:tcBorders>
            <w:shd w:val="clear" w:color="auto" w:fill="auto"/>
            <w:vAlign w:val="center"/>
          </w:tcPr>
          <w:p w14:paraId="76BADC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DF19EB">
        <w:trPr>
          <w:cantSplit/>
          <w:trHeight w:val="0" w:hRule="atLeast"/>
          <w:jc w:val="center"/>
        </w:trPr>
        <w:tc>
          <w:tcPr>
            <w:tcW w:w="2944" w:type="dxa"/>
            <w:tcBorders>
              <w:top w:val="nil"/>
              <w:left w:val="nil"/>
              <w:bottom w:val="nil"/>
              <w:right w:val="nil"/>
            </w:tcBorders>
            <w:shd w:val="clear" w:color="auto" w:fill="auto"/>
            <w:vAlign w:val="center"/>
          </w:tcPr>
          <w:p w14:paraId="2F68BD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P-ZLTC-SCOS-YHJH-005-50-001</w:t>
            </w:r>
          </w:p>
        </w:tc>
        <w:tc>
          <w:tcPr>
            <w:tcW w:w="945" w:type="dxa"/>
            <w:tcBorders>
              <w:top w:val="nil"/>
              <w:left w:val="nil"/>
              <w:bottom w:val="nil"/>
              <w:right w:val="nil"/>
            </w:tcBorders>
            <w:shd w:val="clear" w:color="auto" w:fill="auto"/>
            <w:vAlign w:val="center"/>
          </w:tcPr>
          <w:p w14:paraId="771D28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判断风险是否可以消除规则</w:t>
            </w:r>
          </w:p>
        </w:tc>
        <w:tc>
          <w:tcPr>
            <w:tcW w:w="966" w:type="dxa"/>
            <w:tcBorders>
              <w:top w:val="nil"/>
              <w:left w:val="nil"/>
              <w:bottom w:val="nil"/>
              <w:right w:val="nil"/>
            </w:tcBorders>
            <w:shd w:val="clear" w:color="auto" w:fill="auto"/>
            <w:vAlign w:val="center"/>
          </w:tcPr>
          <w:p w14:paraId="6B2F4C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1D29D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71275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可执行承诺、业务调整意见或无法解决说明形成后</w:t>
            </w:r>
          </w:p>
        </w:tc>
        <w:tc>
          <w:tcPr>
            <w:tcW w:w="1406" w:type="dxa"/>
            <w:tcBorders>
              <w:top w:val="nil"/>
              <w:left w:val="nil"/>
              <w:bottom w:val="nil"/>
              <w:right w:val="nil"/>
            </w:tcBorders>
            <w:shd w:val="clear" w:color="auto" w:fill="auto"/>
            <w:vAlign w:val="center"/>
          </w:tcPr>
          <w:p w14:paraId="34728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将协调结果代入库存和要货计划重新评估；风险可以消除时记录结论并滚动调整；风险不可以消除时继续处理。</w:t>
            </w:r>
          </w:p>
        </w:tc>
        <w:tc>
          <w:tcPr>
            <w:tcW w:w="1088" w:type="dxa"/>
            <w:tcBorders>
              <w:top w:val="nil"/>
              <w:left w:val="nil"/>
              <w:bottom w:val="nil"/>
              <w:right w:val="nil"/>
            </w:tcBorders>
            <w:shd w:val="clear" w:color="auto" w:fill="auto"/>
            <w:vAlign w:val="center"/>
          </w:tcPr>
          <w:p w14:paraId="116BA1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风险复核结论</w:t>
            </w:r>
          </w:p>
        </w:tc>
        <w:tc>
          <w:tcPr>
            <w:tcW w:w="1460" w:type="dxa"/>
            <w:tcBorders>
              <w:top w:val="nil"/>
              <w:left w:val="nil"/>
              <w:bottom w:val="nil"/>
              <w:right w:val="nil"/>
            </w:tcBorders>
            <w:shd w:val="clear" w:color="auto" w:fill="auto"/>
            <w:vAlign w:val="center"/>
          </w:tcPr>
          <w:p w14:paraId="331746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0C00EA3">
        <w:trPr>
          <w:cantSplit/>
          <w:trHeight w:val="0" w:hRule="atLeast"/>
          <w:jc w:val="center"/>
        </w:trPr>
        <w:tc>
          <w:tcPr>
            <w:tcW w:w="2944" w:type="dxa"/>
            <w:tcBorders>
              <w:top w:val="nil"/>
              <w:left w:val="nil"/>
              <w:bottom w:val="nil"/>
              <w:right w:val="nil"/>
            </w:tcBorders>
            <w:shd w:val="clear" w:color="auto" w:fill="auto"/>
            <w:vAlign w:val="center"/>
          </w:tcPr>
          <w:p w14:paraId="4E1985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P-ZLTC-SCOS-YHJH-005-60-001</w:t>
            </w:r>
          </w:p>
        </w:tc>
        <w:tc>
          <w:tcPr>
            <w:tcW w:w="945" w:type="dxa"/>
            <w:tcBorders>
              <w:top w:val="nil"/>
              <w:left w:val="nil"/>
              <w:bottom w:val="nil"/>
              <w:right w:val="nil"/>
            </w:tcBorders>
            <w:shd w:val="clear" w:color="auto" w:fill="auto"/>
            <w:vAlign w:val="center"/>
          </w:tcPr>
          <w:p w14:paraId="13A517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确认临时措施或升级处置规则</w:t>
            </w:r>
          </w:p>
        </w:tc>
        <w:tc>
          <w:tcPr>
            <w:tcW w:w="966" w:type="dxa"/>
            <w:tcBorders>
              <w:top w:val="nil"/>
              <w:left w:val="nil"/>
              <w:bottom w:val="nil"/>
              <w:right w:val="nil"/>
            </w:tcBorders>
            <w:shd w:val="clear" w:color="auto" w:fill="auto"/>
            <w:vAlign w:val="center"/>
          </w:tcPr>
          <w:p w14:paraId="5DE010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EFD61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0B6ED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风险不可以消除时</w:t>
            </w:r>
          </w:p>
        </w:tc>
        <w:tc>
          <w:tcPr>
            <w:tcW w:w="1406" w:type="dxa"/>
            <w:tcBorders>
              <w:top w:val="nil"/>
              <w:left w:val="nil"/>
              <w:bottom w:val="nil"/>
              <w:right w:val="nil"/>
            </w:tcBorders>
            <w:shd w:val="clear" w:color="auto" w:fill="auto"/>
            <w:vAlign w:val="center"/>
          </w:tcPr>
          <w:p w14:paraId="522082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对无法通过要货计划调整消除的风险，确认临时措施或升级处置；未形成结论时保持风险开放并持续预警。</w:t>
            </w:r>
          </w:p>
        </w:tc>
        <w:tc>
          <w:tcPr>
            <w:tcW w:w="1088" w:type="dxa"/>
            <w:tcBorders>
              <w:top w:val="nil"/>
              <w:left w:val="nil"/>
              <w:bottom w:val="nil"/>
              <w:right w:val="nil"/>
            </w:tcBorders>
            <w:shd w:val="clear" w:color="auto" w:fill="auto"/>
            <w:vAlign w:val="center"/>
          </w:tcPr>
          <w:p w14:paraId="6D20E3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临时措施、风险接受或升级事项</w:t>
            </w:r>
          </w:p>
        </w:tc>
        <w:tc>
          <w:tcPr>
            <w:tcW w:w="1460" w:type="dxa"/>
            <w:tcBorders>
              <w:top w:val="nil"/>
              <w:left w:val="nil"/>
              <w:bottom w:val="nil"/>
              <w:right w:val="nil"/>
            </w:tcBorders>
            <w:shd w:val="clear" w:color="auto" w:fill="auto"/>
            <w:vAlign w:val="center"/>
          </w:tcPr>
          <w:p w14:paraId="25AEE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5CF4D7">
        <w:trPr>
          <w:cantSplit/>
          <w:trHeight w:val="0" w:hRule="atLeast"/>
          <w:jc w:val="center"/>
        </w:trPr>
        <w:tc>
          <w:tcPr>
            <w:tcW w:w="2944" w:type="dxa"/>
            <w:tcBorders>
              <w:top w:val="nil"/>
              <w:left w:val="nil"/>
              <w:bottom w:val="nil"/>
              <w:right w:val="nil"/>
            </w:tcBorders>
            <w:shd w:val="clear" w:color="auto" w:fill="auto"/>
            <w:vAlign w:val="center"/>
          </w:tcPr>
          <w:p w14:paraId="06271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P-ZLTC-SCOS-YHJH-005-70-001</w:t>
            </w:r>
          </w:p>
        </w:tc>
        <w:tc>
          <w:tcPr>
            <w:tcW w:w="945" w:type="dxa"/>
            <w:tcBorders>
              <w:top w:val="nil"/>
              <w:left w:val="nil"/>
              <w:bottom w:val="nil"/>
              <w:right w:val="nil"/>
            </w:tcBorders>
            <w:shd w:val="clear" w:color="auto" w:fill="auto"/>
            <w:vAlign w:val="center"/>
          </w:tcPr>
          <w:p w14:paraId="5C405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记录结论并发起滚动调整规则</w:t>
            </w:r>
          </w:p>
        </w:tc>
        <w:tc>
          <w:tcPr>
            <w:tcW w:w="966" w:type="dxa"/>
            <w:tcBorders>
              <w:top w:val="nil"/>
              <w:left w:val="nil"/>
              <w:bottom w:val="nil"/>
              <w:right w:val="nil"/>
            </w:tcBorders>
            <w:shd w:val="clear" w:color="auto" w:fill="auto"/>
            <w:vAlign w:val="center"/>
          </w:tcPr>
          <w:p w14:paraId="3D1D90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59135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494832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风险可以消除时</w:t>
            </w:r>
          </w:p>
        </w:tc>
        <w:tc>
          <w:tcPr>
            <w:tcW w:w="1406" w:type="dxa"/>
            <w:tcBorders>
              <w:top w:val="nil"/>
              <w:left w:val="nil"/>
              <w:bottom w:val="nil"/>
              <w:right w:val="nil"/>
            </w:tcBorders>
            <w:shd w:val="clear" w:color="auto" w:fill="auto"/>
            <w:vAlign w:val="center"/>
          </w:tcPr>
          <w:p w14:paraId="72940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记录责任人、处理意见、计划影响和关闭状态；调整后仍有缺口时继续保持风险开放，不以流程结束替代风险消除。</w:t>
            </w:r>
          </w:p>
        </w:tc>
        <w:tc>
          <w:tcPr>
            <w:tcW w:w="1088" w:type="dxa"/>
            <w:tcBorders>
              <w:top w:val="nil"/>
              <w:left w:val="nil"/>
              <w:bottom w:val="nil"/>
              <w:right w:val="nil"/>
            </w:tcBorders>
            <w:shd w:val="clear" w:color="auto" w:fill="auto"/>
            <w:vAlign w:val="center"/>
          </w:tcPr>
          <w:p w14:paraId="4AEAB4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异常闭环记录、滚动调整任务和驾驶舱风险状态</w:t>
            </w:r>
          </w:p>
        </w:tc>
        <w:tc>
          <w:tcPr>
            <w:tcW w:w="1460" w:type="dxa"/>
            <w:tcBorders>
              <w:top w:val="nil"/>
              <w:left w:val="nil"/>
              <w:bottom w:val="nil"/>
              <w:right w:val="nil"/>
            </w:tcBorders>
            <w:shd w:val="clear" w:color="auto" w:fill="auto"/>
            <w:vAlign w:val="center"/>
          </w:tcPr>
          <w:p w14:paraId="16F275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8ED0B2">
        <w:trPr>
          <w:cantSplit/>
          <w:trHeight w:val="0" w:hRule="atLeast"/>
          <w:jc w:val="center"/>
        </w:trPr>
        <w:tc>
          <w:tcPr>
            <w:tcW w:w="2944" w:type="dxa"/>
            <w:tcBorders>
              <w:top w:val="nil"/>
              <w:left w:val="nil"/>
              <w:bottom w:val="nil"/>
              <w:right w:val="nil"/>
            </w:tcBorders>
            <w:shd w:val="clear" w:color="auto" w:fill="auto"/>
            <w:vAlign w:val="center"/>
          </w:tcPr>
          <w:p w14:paraId="1C18DB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P-ZLTC-SCOS-YHJH-006-10-001</w:t>
            </w:r>
          </w:p>
        </w:tc>
        <w:tc>
          <w:tcPr>
            <w:tcW w:w="945" w:type="dxa"/>
            <w:tcBorders>
              <w:top w:val="nil"/>
              <w:left w:val="nil"/>
              <w:bottom w:val="nil"/>
              <w:right w:val="nil"/>
            </w:tcBorders>
            <w:shd w:val="clear" w:color="auto" w:fill="auto"/>
            <w:vAlign w:val="center"/>
          </w:tcPr>
          <w:p w14:paraId="2C873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提交禁运或解除申请及依据规则</w:t>
            </w:r>
          </w:p>
        </w:tc>
        <w:tc>
          <w:tcPr>
            <w:tcW w:w="966" w:type="dxa"/>
            <w:tcBorders>
              <w:top w:val="nil"/>
              <w:left w:val="nil"/>
              <w:bottom w:val="nil"/>
              <w:right w:val="nil"/>
            </w:tcBorders>
            <w:shd w:val="clear" w:color="auto" w:fill="auto"/>
            <w:vAlign w:val="center"/>
          </w:tcPr>
          <w:p w14:paraId="0082D6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CB2B0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8B3DE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相关部门认为需禁止供应商新增要货或解除已有禁运状态时</w:t>
            </w:r>
          </w:p>
        </w:tc>
        <w:tc>
          <w:tcPr>
            <w:tcW w:w="1406" w:type="dxa"/>
            <w:tcBorders>
              <w:top w:val="nil"/>
              <w:left w:val="nil"/>
              <w:bottom w:val="nil"/>
              <w:right w:val="nil"/>
            </w:tcBorders>
            <w:shd w:val="clear" w:color="auto" w:fill="auto"/>
            <w:vAlign w:val="center"/>
          </w:tcPr>
          <w:p w14:paraId="028A22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明确申请类型、供应商、适用范围、生效时间、原因和证据；依据或影响范围不清时退回补充。</w:t>
            </w:r>
          </w:p>
        </w:tc>
        <w:tc>
          <w:tcPr>
            <w:tcW w:w="1088" w:type="dxa"/>
            <w:tcBorders>
              <w:top w:val="nil"/>
              <w:left w:val="nil"/>
              <w:bottom w:val="nil"/>
              <w:right w:val="nil"/>
            </w:tcBorders>
            <w:shd w:val="clear" w:color="auto" w:fill="auto"/>
            <w:vAlign w:val="center"/>
          </w:tcPr>
          <w:p w14:paraId="0B0DEE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禁运/解除申请、供应商、范围和建议生效时间</w:t>
            </w:r>
          </w:p>
        </w:tc>
        <w:tc>
          <w:tcPr>
            <w:tcW w:w="1460" w:type="dxa"/>
            <w:tcBorders>
              <w:top w:val="nil"/>
              <w:left w:val="nil"/>
              <w:bottom w:val="nil"/>
              <w:right w:val="nil"/>
            </w:tcBorders>
            <w:shd w:val="clear" w:color="auto" w:fill="auto"/>
            <w:vAlign w:val="center"/>
          </w:tcPr>
          <w:p w14:paraId="01D7C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932E22">
        <w:trPr>
          <w:cantSplit/>
          <w:trHeight w:val="0" w:hRule="atLeast"/>
          <w:jc w:val="center"/>
        </w:trPr>
        <w:tc>
          <w:tcPr>
            <w:tcW w:w="2944" w:type="dxa"/>
            <w:tcBorders>
              <w:top w:val="nil"/>
              <w:left w:val="nil"/>
              <w:bottom w:val="nil"/>
              <w:right w:val="nil"/>
            </w:tcBorders>
            <w:shd w:val="clear" w:color="auto" w:fill="auto"/>
            <w:vAlign w:val="center"/>
          </w:tcPr>
          <w:p w14:paraId="4529923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P-ZLTC-SCOS-YHJH-006-20-001</w:t>
            </w:r>
          </w:p>
        </w:tc>
        <w:tc>
          <w:tcPr>
            <w:tcW w:w="945" w:type="dxa"/>
            <w:tcBorders>
              <w:top w:val="nil"/>
              <w:left w:val="nil"/>
              <w:bottom w:val="nil"/>
              <w:right w:val="nil"/>
            </w:tcBorders>
            <w:shd w:val="clear" w:color="auto" w:fill="auto"/>
            <w:vAlign w:val="center"/>
          </w:tcPr>
          <w:p w14:paraId="1A63E8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复核原因、范围与生效时间规则</w:t>
            </w:r>
          </w:p>
        </w:tc>
        <w:tc>
          <w:tcPr>
            <w:tcW w:w="966" w:type="dxa"/>
            <w:tcBorders>
              <w:top w:val="nil"/>
              <w:left w:val="nil"/>
              <w:bottom w:val="nil"/>
              <w:right w:val="nil"/>
            </w:tcBorders>
            <w:shd w:val="clear" w:color="auto" w:fill="auto"/>
            <w:vAlign w:val="center"/>
          </w:tcPr>
          <w:p w14:paraId="4CD155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308DF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4893C4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禁运/解除申请、供应商、范围和建议生效时间形成并具备评审条件后</w:t>
            </w:r>
          </w:p>
        </w:tc>
        <w:tc>
          <w:tcPr>
            <w:tcW w:w="1406" w:type="dxa"/>
            <w:tcBorders>
              <w:top w:val="nil"/>
              <w:left w:val="nil"/>
              <w:bottom w:val="nil"/>
              <w:right w:val="nil"/>
            </w:tcBorders>
            <w:shd w:val="clear" w:color="auto" w:fill="auto"/>
            <w:vAlign w:val="center"/>
          </w:tcPr>
          <w:p w14:paraId="22024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核对申请依据、受影响合同和计划、在途情况及状态变更影响；信息不完整时补充；已有在途不作为新增要货处理。</w:t>
            </w:r>
          </w:p>
        </w:tc>
        <w:tc>
          <w:tcPr>
            <w:tcW w:w="1088" w:type="dxa"/>
            <w:tcBorders>
              <w:top w:val="nil"/>
              <w:left w:val="nil"/>
              <w:bottom w:val="nil"/>
              <w:right w:val="nil"/>
            </w:tcBorders>
            <w:shd w:val="clear" w:color="auto" w:fill="auto"/>
            <w:vAlign w:val="center"/>
          </w:tcPr>
          <w:p w14:paraId="0E4017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50F36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2DDB3C">
        <w:trPr>
          <w:cantSplit/>
          <w:trHeight w:val="0" w:hRule="atLeast"/>
          <w:jc w:val="center"/>
        </w:trPr>
        <w:tc>
          <w:tcPr>
            <w:tcW w:w="2944" w:type="dxa"/>
            <w:tcBorders>
              <w:top w:val="nil"/>
              <w:left w:val="nil"/>
              <w:bottom w:val="nil"/>
              <w:right w:val="nil"/>
            </w:tcBorders>
            <w:shd w:val="clear" w:color="auto" w:fill="auto"/>
            <w:vAlign w:val="center"/>
          </w:tcPr>
          <w:p w14:paraId="08F600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P-ZLTC-SCOS-YHJH-006-30-001</w:t>
            </w:r>
          </w:p>
        </w:tc>
        <w:tc>
          <w:tcPr>
            <w:tcW w:w="945" w:type="dxa"/>
            <w:tcBorders>
              <w:top w:val="nil"/>
              <w:left w:val="nil"/>
              <w:bottom w:val="nil"/>
              <w:right w:val="nil"/>
            </w:tcBorders>
            <w:shd w:val="clear" w:color="auto" w:fill="auto"/>
            <w:vAlign w:val="center"/>
          </w:tcPr>
          <w:p w14:paraId="171150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判断是否确认状态变更规则</w:t>
            </w:r>
          </w:p>
        </w:tc>
        <w:tc>
          <w:tcPr>
            <w:tcW w:w="966" w:type="dxa"/>
            <w:tcBorders>
              <w:top w:val="nil"/>
              <w:left w:val="nil"/>
              <w:bottom w:val="nil"/>
              <w:right w:val="nil"/>
            </w:tcBorders>
            <w:shd w:val="clear" w:color="auto" w:fill="auto"/>
            <w:vAlign w:val="center"/>
          </w:tcPr>
          <w:p w14:paraId="4E233E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5FE3C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52944C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5028860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按现行业务授权确认是否执行禁运或解除；未确认状态变更时退回复核或终止申请；确认状态变更时继续处理。</w:t>
            </w:r>
          </w:p>
        </w:tc>
        <w:tc>
          <w:tcPr>
            <w:tcW w:w="1088" w:type="dxa"/>
            <w:tcBorders>
              <w:top w:val="nil"/>
              <w:left w:val="nil"/>
              <w:bottom w:val="nil"/>
              <w:right w:val="nil"/>
            </w:tcBorders>
            <w:shd w:val="clear" w:color="auto" w:fill="auto"/>
            <w:vAlign w:val="center"/>
          </w:tcPr>
          <w:p w14:paraId="2E3D0F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1F16C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DFD209">
        <w:trPr>
          <w:cantSplit/>
          <w:trHeight w:val="0" w:hRule="atLeast"/>
          <w:jc w:val="center"/>
        </w:trPr>
        <w:tc>
          <w:tcPr>
            <w:tcW w:w="2944" w:type="dxa"/>
            <w:tcBorders>
              <w:top w:val="nil"/>
              <w:left w:val="nil"/>
              <w:bottom w:val="nil"/>
              <w:right w:val="nil"/>
            </w:tcBorders>
            <w:shd w:val="clear" w:color="auto" w:fill="auto"/>
            <w:vAlign w:val="center"/>
          </w:tcPr>
          <w:p w14:paraId="4F85E8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P-ZLTC-SCOS-YHJH-006-40-001</w:t>
            </w:r>
          </w:p>
        </w:tc>
        <w:tc>
          <w:tcPr>
            <w:tcW w:w="945" w:type="dxa"/>
            <w:tcBorders>
              <w:top w:val="nil"/>
              <w:left w:val="nil"/>
              <w:bottom w:val="nil"/>
              <w:right w:val="nil"/>
            </w:tcBorders>
            <w:shd w:val="clear" w:color="auto" w:fill="auto"/>
            <w:vAlign w:val="center"/>
          </w:tcPr>
          <w:p w14:paraId="38CE4C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更新供应商禁运状态规则</w:t>
            </w:r>
          </w:p>
        </w:tc>
        <w:tc>
          <w:tcPr>
            <w:tcW w:w="966" w:type="dxa"/>
            <w:tcBorders>
              <w:top w:val="nil"/>
              <w:left w:val="nil"/>
              <w:bottom w:val="nil"/>
              <w:right w:val="nil"/>
            </w:tcBorders>
            <w:shd w:val="clear" w:color="auto" w:fill="auto"/>
            <w:vAlign w:val="center"/>
          </w:tcPr>
          <w:p w14:paraId="34AA2F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9E26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2788E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确认状态变更时</w:t>
            </w:r>
          </w:p>
        </w:tc>
        <w:tc>
          <w:tcPr>
            <w:tcW w:w="1406" w:type="dxa"/>
            <w:tcBorders>
              <w:top w:val="nil"/>
              <w:left w:val="nil"/>
              <w:bottom w:val="nil"/>
              <w:right w:val="nil"/>
            </w:tcBorders>
            <w:shd w:val="clear" w:color="auto" w:fill="auto"/>
            <w:vAlign w:val="center"/>
          </w:tcPr>
          <w:p w14:paraId="13C521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更新禁运或解除状态；更新失败时保持原状态并提示重试，避免计划参与资格与确认结论不一致。</w:t>
            </w:r>
          </w:p>
        </w:tc>
        <w:tc>
          <w:tcPr>
            <w:tcW w:w="1088" w:type="dxa"/>
            <w:tcBorders>
              <w:top w:val="nil"/>
              <w:left w:val="nil"/>
              <w:bottom w:val="nil"/>
              <w:right w:val="nil"/>
            </w:tcBorders>
            <w:shd w:val="clear" w:color="auto" w:fill="auto"/>
            <w:vAlign w:val="center"/>
          </w:tcPr>
          <w:p w14:paraId="51C49F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供应商禁运状态记录</w:t>
            </w:r>
          </w:p>
        </w:tc>
        <w:tc>
          <w:tcPr>
            <w:tcW w:w="1460" w:type="dxa"/>
            <w:tcBorders>
              <w:top w:val="nil"/>
              <w:left w:val="nil"/>
              <w:bottom w:val="nil"/>
              <w:right w:val="nil"/>
            </w:tcBorders>
            <w:shd w:val="clear" w:color="auto" w:fill="auto"/>
            <w:vAlign w:val="center"/>
          </w:tcPr>
          <w:p w14:paraId="4C86098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47CAA">
        <w:trPr>
          <w:cantSplit/>
          <w:trHeight w:val="0" w:hRule="atLeast"/>
          <w:jc w:val="center"/>
        </w:trPr>
        <w:tc>
          <w:tcPr>
            <w:tcW w:w="2944" w:type="dxa"/>
            <w:tcBorders>
              <w:top w:val="nil"/>
              <w:left w:val="nil"/>
              <w:bottom w:val="nil"/>
              <w:right w:val="nil"/>
            </w:tcBorders>
            <w:shd w:val="clear" w:color="auto" w:fill="auto"/>
            <w:vAlign w:val="center"/>
          </w:tcPr>
          <w:p w14:paraId="179D77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P-ZLTC-SCOS-YHJH-006-50-001</w:t>
            </w:r>
          </w:p>
        </w:tc>
        <w:tc>
          <w:tcPr>
            <w:tcW w:w="945" w:type="dxa"/>
            <w:tcBorders>
              <w:top w:val="nil"/>
              <w:left w:val="nil"/>
              <w:bottom w:val="nil"/>
              <w:right w:val="nil"/>
            </w:tcBorders>
            <w:shd w:val="clear" w:color="auto" w:fill="auto"/>
            <w:vAlign w:val="center"/>
          </w:tcPr>
          <w:p w14:paraId="6BBC1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调整新增要货计划参与资格规则</w:t>
            </w:r>
          </w:p>
        </w:tc>
        <w:tc>
          <w:tcPr>
            <w:tcW w:w="966" w:type="dxa"/>
            <w:tcBorders>
              <w:top w:val="nil"/>
              <w:left w:val="nil"/>
              <w:bottom w:val="nil"/>
              <w:right w:val="nil"/>
            </w:tcBorders>
            <w:shd w:val="clear" w:color="auto" w:fill="auto"/>
            <w:vAlign w:val="center"/>
          </w:tcPr>
          <w:p w14:paraId="393AFD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500A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BB00B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最新禁运状态、有效合同满足处理条件时</w:t>
            </w:r>
          </w:p>
        </w:tc>
        <w:tc>
          <w:tcPr>
            <w:tcW w:w="1406" w:type="dxa"/>
            <w:tcBorders>
              <w:top w:val="nil"/>
              <w:left w:val="nil"/>
              <w:bottom w:val="nil"/>
              <w:right w:val="nil"/>
            </w:tcBorders>
            <w:shd w:val="clear" w:color="auto" w:fill="auto"/>
            <w:vAlign w:val="center"/>
          </w:tcPr>
          <w:p w14:paraId="4A5AEC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禁运后从新增要货安排中排除相关供应商；状态变更不自动取消已下达或已有在途安排。</w:t>
            </w:r>
          </w:p>
        </w:tc>
        <w:tc>
          <w:tcPr>
            <w:tcW w:w="1088" w:type="dxa"/>
            <w:tcBorders>
              <w:top w:val="nil"/>
              <w:left w:val="nil"/>
              <w:bottom w:val="nil"/>
              <w:right w:val="nil"/>
            </w:tcBorders>
            <w:shd w:val="clear" w:color="auto" w:fill="auto"/>
            <w:vAlign w:val="center"/>
          </w:tcPr>
          <w:p w14:paraId="02BA81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供应商计划参与资格</w:t>
            </w:r>
          </w:p>
        </w:tc>
        <w:tc>
          <w:tcPr>
            <w:tcW w:w="1460" w:type="dxa"/>
            <w:tcBorders>
              <w:top w:val="nil"/>
              <w:left w:val="nil"/>
              <w:bottom w:val="nil"/>
              <w:right w:val="nil"/>
            </w:tcBorders>
            <w:shd w:val="clear" w:color="auto" w:fill="auto"/>
            <w:vAlign w:val="center"/>
          </w:tcPr>
          <w:p w14:paraId="6C61F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E15DE1">
        <w:trPr>
          <w:cantSplit/>
          <w:trHeight w:val="0" w:hRule="atLeast"/>
          <w:jc w:val="center"/>
        </w:trPr>
        <w:tc>
          <w:tcPr>
            <w:tcW w:w="2944" w:type="dxa"/>
            <w:tcBorders>
              <w:top w:val="nil"/>
              <w:left w:val="nil"/>
              <w:bottom w:val="nil"/>
              <w:right w:val="nil"/>
            </w:tcBorders>
            <w:shd w:val="clear" w:color="auto" w:fill="auto"/>
            <w:vAlign w:val="center"/>
          </w:tcPr>
          <w:p w14:paraId="0D8E74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P-ZLTC-SCOS-YHJH-006-60-001</w:t>
            </w:r>
          </w:p>
        </w:tc>
        <w:tc>
          <w:tcPr>
            <w:tcW w:w="945" w:type="dxa"/>
            <w:tcBorders>
              <w:top w:val="nil"/>
              <w:left w:val="nil"/>
              <w:bottom w:val="nil"/>
              <w:right w:val="nil"/>
            </w:tcBorders>
            <w:shd w:val="clear" w:color="auto" w:fill="auto"/>
            <w:vAlign w:val="center"/>
          </w:tcPr>
          <w:p w14:paraId="7E6730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同步状态并协调已有在途规则</w:t>
            </w:r>
          </w:p>
        </w:tc>
        <w:tc>
          <w:tcPr>
            <w:tcW w:w="966" w:type="dxa"/>
            <w:tcBorders>
              <w:top w:val="nil"/>
              <w:left w:val="nil"/>
              <w:bottom w:val="nil"/>
              <w:right w:val="nil"/>
            </w:tcBorders>
            <w:shd w:val="clear" w:color="auto" w:fill="auto"/>
            <w:vAlign w:val="center"/>
          </w:tcPr>
          <w:p w14:paraId="77EC0F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2721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35BC3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供应商计划参与资格形成后</w:t>
            </w:r>
          </w:p>
        </w:tc>
        <w:tc>
          <w:tcPr>
            <w:tcW w:w="1406" w:type="dxa"/>
            <w:tcBorders>
              <w:top w:val="nil"/>
              <w:left w:val="nil"/>
              <w:bottom w:val="nil"/>
              <w:right w:val="nil"/>
            </w:tcBorders>
            <w:shd w:val="clear" w:color="auto" w:fill="auto"/>
            <w:vAlign w:val="center"/>
          </w:tcPr>
          <w:p w14:paraId="4D947C0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将状态传递给TMS及供应商协同端；接口失败时保留待同步状态；在途处置未明确时保持风险提示。</w:t>
            </w:r>
          </w:p>
        </w:tc>
        <w:tc>
          <w:tcPr>
            <w:tcW w:w="1088" w:type="dxa"/>
            <w:tcBorders>
              <w:top w:val="nil"/>
              <w:left w:val="nil"/>
              <w:bottom w:val="nil"/>
              <w:right w:val="nil"/>
            </w:tcBorders>
            <w:shd w:val="clear" w:color="auto" w:fill="auto"/>
            <w:vAlign w:val="center"/>
          </w:tcPr>
          <w:p w14:paraId="5BB717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同步结果和已有在途协调意见</w:t>
            </w:r>
          </w:p>
        </w:tc>
        <w:tc>
          <w:tcPr>
            <w:tcW w:w="1460" w:type="dxa"/>
            <w:tcBorders>
              <w:top w:val="nil"/>
              <w:left w:val="nil"/>
              <w:bottom w:val="nil"/>
              <w:right w:val="nil"/>
            </w:tcBorders>
            <w:shd w:val="clear" w:color="auto" w:fill="auto"/>
            <w:vAlign w:val="center"/>
          </w:tcPr>
          <w:p w14:paraId="60F965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SCOS/TMS/供应商协同平台</w:t>
            </w:r>
          </w:p>
        </w:tc>
      </w:tr>
      <w:tr w14:paraId="076568E8">
        <w:trPr>
          <w:cantSplit/>
          <w:trHeight w:val="0" w:hRule="atLeast"/>
          <w:jc w:val="center"/>
        </w:trPr>
        <w:tc>
          <w:tcPr>
            <w:tcW w:w="2944" w:type="dxa"/>
            <w:tcBorders>
              <w:top w:val="nil"/>
              <w:left w:val="nil"/>
              <w:bottom w:val="nil"/>
              <w:right w:val="nil"/>
            </w:tcBorders>
            <w:shd w:val="clear" w:color="auto" w:fill="auto"/>
            <w:vAlign w:val="center"/>
          </w:tcPr>
          <w:p w14:paraId="733803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P-ZLTC-SCOS-YHJH-006-70-001</w:t>
            </w:r>
          </w:p>
        </w:tc>
        <w:tc>
          <w:tcPr>
            <w:tcW w:w="945" w:type="dxa"/>
            <w:tcBorders>
              <w:top w:val="nil"/>
              <w:left w:val="nil"/>
              <w:bottom w:val="nil"/>
              <w:right w:val="nil"/>
            </w:tcBorders>
            <w:shd w:val="clear" w:color="auto" w:fill="auto"/>
            <w:vAlign w:val="center"/>
          </w:tcPr>
          <w:p w14:paraId="512BC8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评估影响并触发调整规则</w:t>
            </w:r>
          </w:p>
        </w:tc>
        <w:tc>
          <w:tcPr>
            <w:tcW w:w="966" w:type="dxa"/>
            <w:tcBorders>
              <w:top w:val="nil"/>
              <w:left w:val="nil"/>
              <w:bottom w:val="nil"/>
              <w:right w:val="nil"/>
            </w:tcBorders>
            <w:shd w:val="clear" w:color="auto" w:fill="auto"/>
            <w:vAlign w:val="center"/>
          </w:tcPr>
          <w:p w14:paraId="75D1B3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7C2C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08F90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同步结果和已有在途协调意见形成后</w:t>
            </w:r>
          </w:p>
        </w:tc>
        <w:tc>
          <w:tcPr>
            <w:tcW w:w="1406" w:type="dxa"/>
            <w:tcBorders>
              <w:top w:val="nil"/>
              <w:left w:val="nil"/>
              <w:bottom w:val="nil"/>
              <w:right w:val="nil"/>
            </w:tcBorders>
            <w:shd w:val="clear" w:color="auto" w:fill="auto"/>
            <w:vAlign w:val="center"/>
          </w:tcPr>
          <w:p w14:paraId="2927074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识别受影响的未执行、未锁定安排并触发滚动调整；现有供应商无法补位时转要货缺口与异常协调流程。</w:t>
            </w:r>
          </w:p>
        </w:tc>
        <w:tc>
          <w:tcPr>
            <w:tcW w:w="1088" w:type="dxa"/>
            <w:tcBorders>
              <w:top w:val="nil"/>
              <w:left w:val="nil"/>
              <w:bottom w:val="nil"/>
              <w:right w:val="nil"/>
            </w:tcBorders>
            <w:shd w:val="clear" w:color="auto" w:fill="auto"/>
            <w:vAlign w:val="center"/>
          </w:tcPr>
          <w:p w14:paraId="116A59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受影响范围及滚动调整任务</w:t>
            </w:r>
          </w:p>
        </w:tc>
        <w:tc>
          <w:tcPr>
            <w:tcW w:w="1460" w:type="dxa"/>
            <w:tcBorders>
              <w:top w:val="nil"/>
              <w:left w:val="nil"/>
              <w:bottom w:val="nil"/>
              <w:right w:val="nil"/>
            </w:tcBorders>
            <w:shd w:val="clear" w:color="auto" w:fill="auto"/>
            <w:vAlign w:val="center"/>
          </w:tcPr>
          <w:p w14:paraId="75398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CFFCAF">
        <w:trPr>
          <w:cantSplit/>
          <w:trHeight w:val="0" w:hRule="atLeast"/>
          <w:jc w:val="center"/>
        </w:trPr>
        <w:tc>
          <w:tcPr>
            <w:tcW w:w="2944" w:type="dxa"/>
            <w:tcBorders>
              <w:top w:val="nil"/>
              <w:left w:val="nil"/>
              <w:bottom w:val="nil"/>
              <w:right w:val="nil"/>
            </w:tcBorders>
            <w:shd w:val="clear" w:color="auto" w:fill="auto"/>
            <w:vAlign w:val="center"/>
          </w:tcPr>
          <w:p w14:paraId="52AC2B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P-ZLTC-SCOS-JSC-001-10-001</w:t>
            </w:r>
          </w:p>
        </w:tc>
        <w:tc>
          <w:tcPr>
            <w:tcW w:w="945" w:type="dxa"/>
            <w:tcBorders>
              <w:top w:val="nil"/>
              <w:left w:val="nil"/>
              <w:bottom w:val="nil"/>
              <w:right w:val="nil"/>
            </w:tcBorders>
            <w:shd w:val="clear" w:color="auto" w:fill="auto"/>
            <w:vAlign w:val="center"/>
          </w:tcPr>
          <w:p w14:paraId="27293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编制指标口径与预警规则</w:t>
            </w:r>
          </w:p>
        </w:tc>
        <w:tc>
          <w:tcPr>
            <w:tcW w:w="966" w:type="dxa"/>
            <w:tcBorders>
              <w:top w:val="nil"/>
              <w:left w:val="nil"/>
              <w:bottom w:val="nil"/>
              <w:right w:val="nil"/>
            </w:tcBorders>
            <w:shd w:val="clear" w:color="auto" w:fill="auto"/>
            <w:vAlign w:val="center"/>
          </w:tcPr>
          <w:p w14:paraId="3C0B00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ACE06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54A951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指标口径、业务管理要求或数据源发生变化时</w:t>
            </w:r>
          </w:p>
        </w:tc>
        <w:tc>
          <w:tcPr>
            <w:tcW w:w="1406" w:type="dxa"/>
            <w:tcBorders>
              <w:top w:val="nil"/>
              <w:left w:val="nil"/>
              <w:bottom w:val="nil"/>
              <w:right w:val="nil"/>
            </w:tcBorders>
            <w:shd w:val="clear" w:color="auto" w:fill="auto"/>
            <w:vAlign w:val="center"/>
          </w:tcPr>
          <w:p w14:paraId="119C31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明确指标口径、数据来源、更新频率及红黄预警阈值；必须字段或业务依据不完整时保留草稿。</w:t>
            </w:r>
          </w:p>
        </w:tc>
        <w:tc>
          <w:tcPr>
            <w:tcW w:w="1088" w:type="dxa"/>
            <w:tcBorders>
              <w:top w:val="nil"/>
              <w:left w:val="nil"/>
              <w:bottom w:val="nil"/>
              <w:right w:val="nil"/>
            </w:tcBorders>
            <w:shd w:val="clear" w:color="auto" w:fill="auto"/>
            <w:vAlign w:val="center"/>
          </w:tcPr>
          <w:p w14:paraId="62267F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拟定指标口径、阈值和预警规则</w:t>
            </w:r>
          </w:p>
        </w:tc>
        <w:tc>
          <w:tcPr>
            <w:tcW w:w="1460" w:type="dxa"/>
            <w:tcBorders>
              <w:top w:val="nil"/>
              <w:left w:val="nil"/>
              <w:bottom w:val="nil"/>
              <w:right w:val="nil"/>
            </w:tcBorders>
            <w:shd w:val="clear" w:color="auto" w:fill="auto"/>
            <w:vAlign w:val="center"/>
          </w:tcPr>
          <w:p w14:paraId="33C9E5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5E81C1">
        <w:trPr>
          <w:cantSplit/>
          <w:trHeight w:val="0" w:hRule="atLeast"/>
          <w:jc w:val="center"/>
        </w:trPr>
        <w:tc>
          <w:tcPr>
            <w:tcW w:w="2944" w:type="dxa"/>
            <w:tcBorders>
              <w:top w:val="nil"/>
              <w:left w:val="nil"/>
              <w:bottom w:val="nil"/>
              <w:right w:val="nil"/>
            </w:tcBorders>
            <w:shd w:val="clear" w:color="auto" w:fill="auto"/>
            <w:vAlign w:val="center"/>
          </w:tcPr>
          <w:p w14:paraId="24AD2F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P-ZLTC-SCOS-JSC-001-20-001</w:t>
            </w:r>
          </w:p>
        </w:tc>
        <w:tc>
          <w:tcPr>
            <w:tcW w:w="945" w:type="dxa"/>
            <w:tcBorders>
              <w:top w:val="nil"/>
              <w:left w:val="nil"/>
              <w:bottom w:val="nil"/>
              <w:right w:val="nil"/>
            </w:tcBorders>
            <w:shd w:val="clear" w:color="auto" w:fill="auto"/>
            <w:vAlign w:val="center"/>
          </w:tcPr>
          <w:p w14:paraId="269DB4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校验数据来源、公式、阈值与权限规则</w:t>
            </w:r>
          </w:p>
        </w:tc>
        <w:tc>
          <w:tcPr>
            <w:tcW w:w="966" w:type="dxa"/>
            <w:tcBorders>
              <w:top w:val="nil"/>
              <w:left w:val="nil"/>
              <w:bottom w:val="nil"/>
              <w:right w:val="nil"/>
            </w:tcBorders>
            <w:shd w:val="clear" w:color="auto" w:fill="auto"/>
            <w:vAlign w:val="center"/>
          </w:tcPr>
          <w:p w14:paraId="21AB21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B51B4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411158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指标口径、阈值和预警规则形成后</w:t>
            </w:r>
          </w:p>
        </w:tc>
        <w:tc>
          <w:tcPr>
            <w:tcW w:w="1406" w:type="dxa"/>
            <w:tcBorders>
              <w:top w:val="nil"/>
              <w:left w:val="nil"/>
              <w:bottom w:val="nil"/>
              <w:right w:val="nil"/>
            </w:tcBorders>
            <w:shd w:val="clear" w:color="auto" w:fill="auto"/>
            <w:vAlign w:val="center"/>
          </w:tcPr>
          <w:p w14:paraId="38B558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校验数据来源、计算口径、阈值区间及权限是否有效；数据源不可用或规则冲突时修改。</w:t>
            </w:r>
          </w:p>
        </w:tc>
        <w:tc>
          <w:tcPr>
            <w:tcW w:w="1088" w:type="dxa"/>
            <w:tcBorders>
              <w:top w:val="nil"/>
              <w:left w:val="nil"/>
              <w:bottom w:val="nil"/>
              <w:right w:val="nil"/>
            </w:tcBorders>
            <w:shd w:val="clear" w:color="auto" w:fill="auto"/>
            <w:vAlign w:val="center"/>
          </w:tcPr>
          <w:p w14:paraId="0C8F4D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校验结果和样例试算结果</w:t>
            </w:r>
          </w:p>
        </w:tc>
        <w:tc>
          <w:tcPr>
            <w:tcW w:w="1460" w:type="dxa"/>
            <w:tcBorders>
              <w:top w:val="nil"/>
              <w:left w:val="nil"/>
              <w:bottom w:val="nil"/>
              <w:right w:val="nil"/>
            </w:tcBorders>
            <w:shd w:val="clear" w:color="auto" w:fill="auto"/>
            <w:vAlign w:val="center"/>
          </w:tcPr>
          <w:p w14:paraId="6BBF142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193565">
        <w:trPr>
          <w:cantSplit/>
          <w:trHeight w:val="0" w:hRule="atLeast"/>
          <w:jc w:val="center"/>
        </w:trPr>
        <w:tc>
          <w:tcPr>
            <w:tcW w:w="2944" w:type="dxa"/>
            <w:tcBorders>
              <w:top w:val="nil"/>
              <w:left w:val="nil"/>
              <w:bottom w:val="nil"/>
              <w:right w:val="nil"/>
            </w:tcBorders>
            <w:shd w:val="clear" w:color="auto" w:fill="auto"/>
            <w:vAlign w:val="center"/>
          </w:tcPr>
          <w:p w14:paraId="266C2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P-ZLTC-SCOS-JSC-001-30-001</w:t>
            </w:r>
          </w:p>
        </w:tc>
        <w:tc>
          <w:tcPr>
            <w:tcW w:w="945" w:type="dxa"/>
            <w:tcBorders>
              <w:top w:val="nil"/>
              <w:left w:val="nil"/>
              <w:bottom w:val="nil"/>
              <w:right w:val="nil"/>
            </w:tcBorders>
            <w:shd w:val="clear" w:color="auto" w:fill="auto"/>
            <w:vAlign w:val="center"/>
          </w:tcPr>
          <w:p w14:paraId="6A521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评审指标口径和预警级别规则</w:t>
            </w:r>
          </w:p>
        </w:tc>
        <w:tc>
          <w:tcPr>
            <w:tcW w:w="966" w:type="dxa"/>
            <w:tcBorders>
              <w:top w:val="nil"/>
              <w:left w:val="nil"/>
              <w:bottom w:val="nil"/>
              <w:right w:val="nil"/>
            </w:tcBorders>
            <w:shd w:val="clear" w:color="auto" w:fill="auto"/>
            <w:vAlign w:val="center"/>
          </w:tcPr>
          <w:p w14:paraId="13564E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B21BB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E2D7B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校验结果和样例试算结果形成并具备评审条件后</w:t>
            </w:r>
          </w:p>
        </w:tc>
        <w:tc>
          <w:tcPr>
            <w:tcW w:w="1406" w:type="dxa"/>
            <w:tcBorders>
              <w:top w:val="nil"/>
              <w:left w:val="nil"/>
              <w:bottom w:val="nil"/>
              <w:right w:val="nil"/>
            </w:tcBorders>
            <w:shd w:val="clear" w:color="auto" w:fill="auto"/>
            <w:vAlign w:val="center"/>
          </w:tcPr>
          <w:p w14:paraId="61EC2F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确认指标口径、来源、频率及预警级别符合业务要求；存在歧义时补充口径。</w:t>
            </w:r>
          </w:p>
        </w:tc>
        <w:tc>
          <w:tcPr>
            <w:tcW w:w="1088" w:type="dxa"/>
            <w:tcBorders>
              <w:top w:val="nil"/>
              <w:left w:val="nil"/>
              <w:bottom w:val="nil"/>
              <w:right w:val="nil"/>
            </w:tcBorders>
            <w:shd w:val="clear" w:color="auto" w:fill="auto"/>
            <w:vAlign w:val="center"/>
          </w:tcPr>
          <w:p w14:paraId="41BFA4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业务评审意见</w:t>
            </w:r>
          </w:p>
        </w:tc>
        <w:tc>
          <w:tcPr>
            <w:tcW w:w="1460" w:type="dxa"/>
            <w:tcBorders>
              <w:top w:val="nil"/>
              <w:left w:val="nil"/>
              <w:bottom w:val="nil"/>
              <w:right w:val="nil"/>
            </w:tcBorders>
            <w:shd w:val="clear" w:color="auto" w:fill="auto"/>
            <w:vAlign w:val="center"/>
          </w:tcPr>
          <w:p w14:paraId="2B724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B98C8E">
        <w:trPr>
          <w:cantSplit/>
          <w:trHeight w:val="0" w:hRule="atLeast"/>
          <w:jc w:val="center"/>
        </w:trPr>
        <w:tc>
          <w:tcPr>
            <w:tcW w:w="2944" w:type="dxa"/>
            <w:tcBorders>
              <w:top w:val="nil"/>
              <w:left w:val="nil"/>
              <w:bottom w:val="nil"/>
              <w:right w:val="nil"/>
            </w:tcBorders>
            <w:shd w:val="clear" w:color="auto" w:fill="auto"/>
            <w:vAlign w:val="center"/>
          </w:tcPr>
          <w:p w14:paraId="77F67E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P-ZLTC-SCOS-JSC-001-40-001</w:t>
            </w:r>
          </w:p>
        </w:tc>
        <w:tc>
          <w:tcPr>
            <w:tcW w:w="945" w:type="dxa"/>
            <w:tcBorders>
              <w:top w:val="nil"/>
              <w:left w:val="nil"/>
              <w:bottom w:val="nil"/>
              <w:right w:val="nil"/>
            </w:tcBorders>
            <w:shd w:val="clear" w:color="auto" w:fill="auto"/>
            <w:vAlign w:val="center"/>
          </w:tcPr>
          <w:p w14:paraId="663C1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判断规则是否确认规则</w:t>
            </w:r>
          </w:p>
        </w:tc>
        <w:tc>
          <w:tcPr>
            <w:tcW w:w="966" w:type="dxa"/>
            <w:tcBorders>
              <w:top w:val="nil"/>
              <w:left w:val="nil"/>
              <w:bottom w:val="nil"/>
              <w:right w:val="nil"/>
            </w:tcBorders>
            <w:shd w:val="clear" w:color="auto" w:fill="auto"/>
            <w:vAlign w:val="center"/>
          </w:tcPr>
          <w:p w14:paraId="104821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F1CF1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CF64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业务评审意见形成后</w:t>
            </w:r>
          </w:p>
        </w:tc>
        <w:tc>
          <w:tcPr>
            <w:tcW w:w="1406" w:type="dxa"/>
            <w:tcBorders>
              <w:top w:val="nil"/>
              <w:left w:val="nil"/>
              <w:bottom w:val="nil"/>
              <w:right w:val="nil"/>
            </w:tcBorders>
            <w:shd w:val="clear" w:color="auto" w:fill="auto"/>
            <w:vAlign w:val="center"/>
          </w:tcPr>
          <w:p w14:paraId="2FBA8D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确认是否提交管理审批；规则未确认时退回复核；规则确认后继续处理。</w:t>
            </w:r>
          </w:p>
        </w:tc>
        <w:tc>
          <w:tcPr>
            <w:tcW w:w="1088" w:type="dxa"/>
            <w:tcBorders>
              <w:top w:val="nil"/>
              <w:left w:val="nil"/>
              <w:bottom w:val="nil"/>
              <w:right w:val="nil"/>
            </w:tcBorders>
            <w:shd w:val="clear" w:color="auto" w:fill="auto"/>
            <w:vAlign w:val="center"/>
          </w:tcPr>
          <w:p w14:paraId="3013A6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EEEBC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816C44">
        <w:trPr>
          <w:cantSplit/>
          <w:trHeight w:val="0" w:hRule="atLeast"/>
          <w:jc w:val="center"/>
        </w:trPr>
        <w:tc>
          <w:tcPr>
            <w:tcW w:w="2944" w:type="dxa"/>
            <w:tcBorders>
              <w:top w:val="nil"/>
              <w:left w:val="nil"/>
              <w:bottom w:val="nil"/>
              <w:right w:val="nil"/>
            </w:tcBorders>
            <w:shd w:val="clear" w:color="auto" w:fill="auto"/>
            <w:vAlign w:val="center"/>
          </w:tcPr>
          <w:p w14:paraId="2BEC7C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P-ZLTC-SCOS-JSC-001-50-001</w:t>
            </w:r>
          </w:p>
        </w:tc>
        <w:tc>
          <w:tcPr>
            <w:tcW w:w="945" w:type="dxa"/>
            <w:tcBorders>
              <w:top w:val="nil"/>
              <w:left w:val="nil"/>
              <w:bottom w:val="nil"/>
              <w:right w:val="nil"/>
            </w:tcBorders>
            <w:shd w:val="clear" w:color="auto" w:fill="auto"/>
            <w:vAlign w:val="center"/>
          </w:tcPr>
          <w:p w14:paraId="2F4D26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审批指标与预警规则</w:t>
            </w:r>
          </w:p>
        </w:tc>
        <w:tc>
          <w:tcPr>
            <w:tcW w:w="966" w:type="dxa"/>
            <w:tcBorders>
              <w:top w:val="nil"/>
              <w:left w:val="nil"/>
              <w:bottom w:val="nil"/>
              <w:right w:val="nil"/>
            </w:tcBorders>
            <w:shd w:val="clear" w:color="auto" w:fill="auto"/>
            <w:vAlign w:val="center"/>
          </w:tcPr>
          <w:p w14:paraId="743FD44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F80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00554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规则确认时</w:t>
            </w:r>
          </w:p>
        </w:tc>
        <w:tc>
          <w:tcPr>
            <w:tcW w:w="1406" w:type="dxa"/>
            <w:tcBorders>
              <w:top w:val="nil"/>
              <w:left w:val="nil"/>
              <w:bottom w:val="nil"/>
              <w:right w:val="nil"/>
            </w:tcBorders>
            <w:shd w:val="clear" w:color="auto" w:fill="auto"/>
            <w:vAlign w:val="center"/>
          </w:tcPr>
          <w:p w14:paraId="33B44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审核指标用途、预警级别、可见范围及管理决策影响；不通过时说明修改意见。</w:t>
            </w:r>
          </w:p>
        </w:tc>
        <w:tc>
          <w:tcPr>
            <w:tcW w:w="1088" w:type="dxa"/>
            <w:tcBorders>
              <w:top w:val="nil"/>
              <w:left w:val="nil"/>
              <w:bottom w:val="nil"/>
              <w:right w:val="nil"/>
            </w:tcBorders>
            <w:shd w:val="clear" w:color="auto" w:fill="auto"/>
            <w:vAlign w:val="center"/>
          </w:tcPr>
          <w:p w14:paraId="78043F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2BB2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309038">
        <w:trPr>
          <w:cantSplit/>
          <w:trHeight w:val="0" w:hRule="atLeast"/>
          <w:jc w:val="center"/>
        </w:trPr>
        <w:tc>
          <w:tcPr>
            <w:tcW w:w="2944" w:type="dxa"/>
            <w:tcBorders>
              <w:top w:val="nil"/>
              <w:left w:val="nil"/>
              <w:bottom w:val="nil"/>
              <w:right w:val="nil"/>
            </w:tcBorders>
            <w:shd w:val="clear" w:color="auto" w:fill="auto"/>
            <w:vAlign w:val="center"/>
          </w:tcPr>
          <w:p w14:paraId="487E71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P-ZLTC-SCOS-JSC-001-60-001</w:t>
            </w:r>
          </w:p>
        </w:tc>
        <w:tc>
          <w:tcPr>
            <w:tcW w:w="945" w:type="dxa"/>
            <w:tcBorders>
              <w:top w:val="nil"/>
              <w:left w:val="nil"/>
              <w:bottom w:val="nil"/>
              <w:right w:val="nil"/>
            </w:tcBorders>
            <w:shd w:val="clear" w:color="auto" w:fill="auto"/>
            <w:vAlign w:val="center"/>
          </w:tcPr>
          <w:p w14:paraId="01836B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6BCF062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0B24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288096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197F30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判断配置是否可发布；审批未通过时退回处理；审批通过后继续处理。</w:t>
            </w:r>
          </w:p>
        </w:tc>
        <w:tc>
          <w:tcPr>
            <w:tcW w:w="1088" w:type="dxa"/>
            <w:tcBorders>
              <w:top w:val="nil"/>
              <w:left w:val="nil"/>
              <w:bottom w:val="nil"/>
              <w:right w:val="nil"/>
            </w:tcBorders>
            <w:shd w:val="clear" w:color="auto" w:fill="auto"/>
            <w:vAlign w:val="center"/>
          </w:tcPr>
          <w:p w14:paraId="240692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3ACDBC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A38099">
        <w:trPr>
          <w:cantSplit/>
          <w:trHeight w:val="0" w:hRule="atLeast"/>
          <w:jc w:val="center"/>
        </w:trPr>
        <w:tc>
          <w:tcPr>
            <w:tcW w:w="2944" w:type="dxa"/>
            <w:tcBorders>
              <w:top w:val="nil"/>
              <w:left w:val="nil"/>
              <w:bottom w:val="nil"/>
              <w:right w:val="nil"/>
            </w:tcBorders>
            <w:shd w:val="clear" w:color="auto" w:fill="auto"/>
            <w:vAlign w:val="center"/>
          </w:tcPr>
          <w:p w14:paraId="29AD29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P-ZLTC-SCOS-JSC-001-70-001</w:t>
            </w:r>
          </w:p>
        </w:tc>
        <w:tc>
          <w:tcPr>
            <w:tcW w:w="945" w:type="dxa"/>
            <w:tcBorders>
              <w:top w:val="nil"/>
              <w:left w:val="nil"/>
              <w:bottom w:val="nil"/>
              <w:right w:val="nil"/>
            </w:tcBorders>
            <w:shd w:val="clear" w:color="auto" w:fill="auto"/>
            <w:vAlign w:val="center"/>
          </w:tcPr>
          <w:p w14:paraId="1AF89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发布指标口径、阈值与规则版本规则</w:t>
            </w:r>
          </w:p>
        </w:tc>
        <w:tc>
          <w:tcPr>
            <w:tcW w:w="966" w:type="dxa"/>
            <w:tcBorders>
              <w:top w:val="nil"/>
              <w:left w:val="nil"/>
              <w:bottom w:val="nil"/>
              <w:right w:val="nil"/>
            </w:tcBorders>
            <w:shd w:val="clear" w:color="auto" w:fill="auto"/>
            <w:vAlign w:val="center"/>
          </w:tcPr>
          <w:p w14:paraId="57A54D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A9480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39D50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6E04A3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发布规则版本，保留原版本、生效时间、变更原因、试算和审批记录；发布失败时原有效版本继续生效。</w:t>
            </w:r>
          </w:p>
        </w:tc>
        <w:tc>
          <w:tcPr>
            <w:tcW w:w="1088" w:type="dxa"/>
            <w:tcBorders>
              <w:top w:val="nil"/>
              <w:left w:val="nil"/>
              <w:bottom w:val="nil"/>
              <w:right w:val="nil"/>
            </w:tcBorders>
            <w:shd w:val="clear" w:color="auto" w:fill="auto"/>
            <w:vAlign w:val="center"/>
          </w:tcPr>
          <w:p w14:paraId="281651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已发布指标口径、健康度阈值和预警规则版本</w:t>
            </w:r>
          </w:p>
        </w:tc>
        <w:tc>
          <w:tcPr>
            <w:tcW w:w="1460" w:type="dxa"/>
            <w:tcBorders>
              <w:top w:val="nil"/>
              <w:left w:val="nil"/>
              <w:bottom w:val="nil"/>
              <w:right w:val="nil"/>
            </w:tcBorders>
            <w:shd w:val="clear" w:color="auto" w:fill="auto"/>
            <w:vAlign w:val="center"/>
          </w:tcPr>
          <w:p w14:paraId="6A59E8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D631EF">
        <w:trPr>
          <w:cantSplit/>
          <w:trHeight w:val="0" w:hRule="atLeast"/>
          <w:jc w:val="center"/>
        </w:trPr>
        <w:tc>
          <w:tcPr>
            <w:tcW w:w="2944" w:type="dxa"/>
            <w:tcBorders>
              <w:top w:val="nil"/>
              <w:left w:val="nil"/>
              <w:bottom w:val="nil"/>
              <w:right w:val="nil"/>
            </w:tcBorders>
            <w:shd w:val="clear" w:color="auto" w:fill="auto"/>
            <w:vAlign w:val="center"/>
          </w:tcPr>
          <w:p w14:paraId="2D6E8F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P-ZLTC-SCOS-JSC-002-10-001</w:t>
            </w:r>
          </w:p>
        </w:tc>
        <w:tc>
          <w:tcPr>
            <w:tcW w:w="945" w:type="dxa"/>
            <w:tcBorders>
              <w:top w:val="nil"/>
              <w:left w:val="nil"/>
              <w:bottom w:val="nil"/>
              <w:right w:val="nil"/>
            </w:tcBorders>
            <w:shd w:val="clear" w:color="auto" w:fill="auto"/>
            <w:vAlign w:val="center"/>
          </w:tcPr>
          <w:p w14:paraId="03A308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提出角色视图与专题展示需求规则</w:t>
            </w:r>
          </w:p>
        </w:tc>
        <w:tc>
          <w:tcPr>
            <w:tcW w:w="966" w:type="dxa"/>
            <w:tcBorders>
              <w:top w:val="nil"/>
              <w:left w:val="nil"/>
              <w:bottom w:val="nil"/>
              <w:right w:val="nil"/>
            </w:tcBorders>
            <w:shd w:val="clear" w:color="auto" w:fill="auto"/>
            <w:vAlign w:val="center"/>
          </w:tcPr>
          <w:p w14:paraId="04D8E5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CA4D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1B8A0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角色职责、管理主题或展示范围变化时</w:t>
            </w:r>
          </w:p>
        </w:tc>
        <w:tc>
          <w:tcPr>
            <w:tcW w:w="1406" w:type="dxa"/>
            <w:tcBorders>
              <w:top w:val="nil"/>
              <w:left w:val="nil"/>
              <w:bottom w:val="nil"/>
              <w:right w:val="nil"/>
            </w:tcBorders>
            <w:shd w:val="clear" w:color="auto" w:fill="auto"/>
            <w:vAlign w:val="center"/>
          </w:tcPr>
          <w:p w14:paraId="080DC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明确使用角色、关注指标、专题页签、筛选条件及展示终端；需求与岗位职责不符时退回补充依据。</w:t>
            </w:r>
          </w:p>
        </w:tc>
        <w:tc>
          <w:tcPr>
            <w:tcW w:w="1088" w:type="dxa"/>
            <w:tcBorders>
              <w:top w:val="nil"/>
              <w:left w:val="nil"/>
              <w:bottom w:val="nil"/>
              <w:right w:val="nil"/>
            </w:tcBorders>
            <w:shd w:val="clear" w:color="auto" w:fill="auto"/>
            <w:vAlign w:val="center"/>
          </w:tcPr>
          <w:p w14:paraId="6B6604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视图需求</w:t>
            </w:r>
          </w:p>
        </w:tc>
        <w:tc>
          <w:tcPr>
            <w:tcW w:w="1460" w:type="dxa"/>
            <w:tcBorders>
              <w:top w:val="nil"/>
              <w:left w:val="nil"/>
              <w:bottom w:val="nil"/>
              <w:right w:val="nil"/>
            </w:tcBorders>
            <w:shd w:val="clear" w:color="auto" w:fill="auto"/>
            <w:vAlign w:val="center"/>
          </w:tcPr>
          <w:p w14:paraId="14D57A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52C40">
        <w:trPr>
          <w:cantSplit/>
          <w:trHeight w:val="0" w:hRule="atLeast"/>
          <w:jc w:val="center"/>
        </w:trPr>
        <w:tc>
          <w:tcPr>
            <w:tcW w:w="2944" w:type="dxa"/>
            <w:tcBorders>
              <w:top w:val="nil"/>
              <w:left w:val="nil"/>
              <w:bottom w:val="nil"/>
              <w:right w:val="nil"/>
            </w:tcBorders>
            <w:shd w:val="clear" w:color="auto" w:fill="auto"/>
            <w:vAlign w:val="center"/>
          </w:tcPr>
          <w:p w14:paraId="2ABB8E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P-ZLTC-SCOS-JSC-002-20-001</w:t>
            </w:r>
          </w:p>
        </w:tc>
        <w:tc>
          <w:tcPr>
            <w:tcW w:w="945" w:type="dxa"/>
            <w:tcBorders>
              <w:top w:val="nil"/>
              <w:left w:val="nil"/>
              <w:bottom w:val="nil"/>
              <w:right w:val="nil"/>
            </w:tcBorders>
            <w:shd w:val="clear" w:color="auto" w:fill="auto"/>
            <w:vAlign w:val="center"/>
          </w:tcPr>
          <w:p w14:paraId="30309F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配置视图布局、指标与查看权限规则</w:t>
            </w:r>
          </w:p>
        </w:tc>
        <w:tc>
          <w:tcPr>
            <w:tcW w:w="966" w:type="dxa"/>
            <w:tcBorders>
              <w:top w:val="nil"/>
              <w:left w:val="nil"/>
              <w:bottom w:val="nil"/>
              <w:right w:val="nil"/>
            </w:tcBorders>
            <w:shd w:val="clear" w:color="auto" w:fill="auto"/>
            <w:vAlign w:val="center"/>
          </w:tcPr>
          <w:p w14:paraId="20A7FB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8ED9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5801B6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视图需求形成后</w:t>
            </w:r>
          </w:p>
        </w:tc>
        <w:tc>
          <w:tcPr>
            <w:tcW w:w="1406" w:type="dxa"/>
            <w:tcBorders>
              <w:top w:val="nil"/>
              <w:left w:val="nil"/>
              <w:bottom w:val="nil"/>
              <w:right w:val="nil"/>
            </w:tcBorders>
            <w:shd w:val="clear" w:color="auto" w:fill="auto"/>
            <w:vAlign w:val="center"/>
          </w:tcPr>
          <w:p w14:paraId="2554D81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使用已发布指标配置全局总览及产销、储运、环保、资金等专题视图；指标尚未发布时先转指标配置流程。</w:t>
            </w:r>
          </w:p>
        </w:tc>
        <w:tc>
          <w:tcPr>
            <w:tcW w:w="1088" w:type="dxa"/>
            <w:tcBorders>
              <w:top w:val="nil"/>
              <w:left w:val="nil"/>
              <w:bottom w:val="nil"/>
              <w:right w:val="nil"/>
            </w:tcBorders>
            <w:shd w:val="clear" w:color="auto" w:fill="auto"/>
            <w:vAlign w:val="center"/>
          </w:tcPr>
          <w:p w14:paraId="0AFA9E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看板草稿</w:t>
            </w:r>
          </w:p>
        </w:tc>
        <w:tc>
          <w:tcPr>
            <w:tcW w:w="1460" w:type="dxa"/>
            <w:tcBorders>
              <w:top w:val="nil"/>
              <w:left w:val="nil"/>
              <w:bottom w:val="nil"/>
              <w:right w:val="nil"/>
            </w:tcBorders>
            <w:shd w:val="clear" w:color="auto" w:fill="auto"/>
            <w:vAlign w:val="center"/>
          </w:tcPr>
          <w:p w14:paraId="6B2565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17D3C6">
        <w:trPr>
          <w:cantSplit/>
          <w:trHeight w:val="0" w:hRule="atLeast"/>
          <w:jc w:val="center"/>
        </w:trPr>
        <w:tc>
          <w:tcPr>
            <w:tcW w:w="2944" w:type="dxa"/>
            <w:tcBorders>
              <w:top w:val="nil"/>
              <w:left w:val="nil"/>
              <w:bottom w:val="nil"/>
              <w:right w:val="nil"/>
            </w:tcBorders>
            <w:shd w:val="clear" w:color="auto" w:fill="auto"/>
            <w:vAlign w:val="center"/>
          </w:tcPr>
          <w:p w14:paraId="2DF1A7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P-ZLTC-SCOS-JSC-002-30-001</w:t>
            </w:r>
          </w:p>
        </w:tc>
        <w:tc>
          <w:tcPr>
            <w:tcW w:w="945" w:type="dxa"/>
            <w:tcBorders>
              <w:top w:val="nil"/>
              <w:left w:val="nil"/>
              <w:bottom w:val="nil"/>
              <w:right w:val="nil"/>
            </w:tcBorders>
            <w:shd w:val="clear" w:color="auto" w:fill="auto"/>
            <w:vAlign w:val="center"/>
          </w:tcPr>
          <w:p w14:paraId="525C81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预览并校验多端展示效果规则</w:t>
            </w:r>
          </w:p>
        </w:tc>
        <w:tc>
          <w:tcPr>
            <w:tcW w:w="966" w:type="dxa"/>
            <w:tcBorders>
              <w:top w:val="nil"/>
              <w:left w:val="nil"/>
              <w:bottom w:val="nil"/>
              <w:right w:val="nil"/>
            </w:tcBorders>
            <w:shd w:val="clear" w:color="auto" w:fill="auto"/>
            <w:vAlign w:val="center"/>
          </w:tcPr>
          <w:p w14:paraId="34EC37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ABEBC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1368B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看板草稿形成后</w:t>
            </w:r>
          </w:p>
        </w:tc>
        <w:tc>
          <w:tcPr>
            <w:tcW w:w="1406" w:type="dxa"/>
            <w:tcBorders>
              <w:top w:val="nil"/>
              <w:left w:val="nil"/>
              <w:bottom w:val="nil"/>
              <w:right w:val="nil"/>
            </w:tcBorders>
            <w:shd w:val="clear" w:color="auto" w:fill="auto"/>
            <w:vAlign w:val="center"/>
          </w:tcPr>
          <w:p w14:paraId="67FCE6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校验组件数据、布局、钻取链路、PC端和移动端核心视图；组件失效、移动端不可用或越权时调整。</w:t>
            </w:r>
          </w:p>
        </w:tc>
        <w:tc>
          <w:tcPr>
            <w:tcW w:w="1088" w:type="dxa"/>
            <w:tcBorders>
              <w:top w:val="nil"/>
              <w:left w:val="nil"/>
              <w:bottom w:val="nil"/>
              <w:right w:val="nil"/>
            </w:tcBorders>
            <w:shd w:val="clear" w:color="auto" w:fill="auto"/>
            <w:vAlign w:val="center"/>
          </w:tcPr>
          <w:p w14:paraId="7BE28B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预览结果和校验清单</w:t>
            </w:r>
          </w:p>
        </w:tc>
        <w:tc>
          <w:tcPr>
            <w:tcW w:w="1460" w:type="dxa"/>
            <w:tcBorders>
              <w:top w:val="nil"/>
              <w:left w:val="nil"/>
              <w:bottom w:val="nil"/>
              <w:right w:val="nil"/>
            </w:tcBorders>
            <w:shd w:val="clear" w:color="auto" w:fill="auto"/>
            <w:vAlign w:val="center"/>
          </w:tcPr>
          <w:p w14:paraId="57EEA4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3D7FDB">
        <w:trPr>
          <w:cantSplit/>
          <w:trHeight w:val="0" w:hRule="atLeast"/>
          <w:jc w:val="center"/>
        </w:trPr>
        <w:tc>
          <w:tcPr>
            <w:tcW w:w="2944" w:type="dxa"/>
            <w:tcBorders>
              <w:top w:val="nil"/>
              <w:left w:val="nil"/>
              <w:bottom w:val="nil"/>
              <w:right w:val="nil"/>
            </w:tcBorders>
            <w:shd w:val="clear" w:color="auto" w:fill="auto"/>
            <w:vAlign w:val="center"/>
          </w:tcPr>
          <w:p w14:paraId="7924D3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P-ZLTC-SCOS-JSC-002-40-001</w:t>
            </w:r>
          </w:p>
        </w:tc>
        <w:tc>
          <w:tcPr>
            <w:tcW w:w="945" w:type="dxa"/>
            <w:tcBorders>
              <w:top w:val="nil"/>
              <w:left w:val="nil"/>
              <w:bottom w:val="nil"/>
              <w:right w:val="nil"/>
            </w:tcBorders>
            <w:shd w:val="clear" w:color="auto" w:fill="auto"/>
            <w:vAlign w:val="center"/>
          </w:tcPr>
          <w:p w14:paraId="6ED45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判断业务视图是否确认规则</w:t>
            </w:r>
          </w:p>
        </w:tc>
        <w:tc>
          <w:tcPr>
            <w:tcW w:w="966" w:type="dxa"/>
            <w:tcBorders>
              <w:top w:val="nil"/>
              <w:left w:val="nil"/>
              <w:bottom w:val="nil"/>
              <w:right w:val="nil"/>
            </w:tcBorders>
            <w:shd w:val="clear" w:color="auto" w:fill="auto"/>
            <w:vAlign w:val="center"/>
          </w:tcPr>
          <w:p w14:paraId="5828DF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40B0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78B56F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预览结果和校验清单形成后</w:t>
            </w:r>
          </w:p>
        </w:tc>
        <w:tc>
          <w:tcPr>
            <w:tcW w:w="1406" w:type="dxa"/>
            <w:tcBorders>
              <w:top w:val="nil"/>
              <w:left w:val="nil"/>
              <w:bottom w:val="nil"/>
              <w:right w:val="nil"/>
            </w:tcBorders>
            <w:shd w:val="clear" w:color="auto" w:fill="auto"/>
            <w:vAlign w:val="center"/>
          </w:tcPr>
          <w:p w14:paraId="5EA45F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确认视图是否能够支撑本角色日常监控和决策；业务视图未确认时退回复核；业务视图确认后继续处理。</w:t>
            </w:r>
          </w:p>
        </w:tc>
        <w:tc>
          <w:tcPr>
            <w:tcW w:w="1088" w:type="dxa"/>
            <w:tcBorders>
              <w:top w:val="nil"/>
              <w:left w:val="nil"/>
              <w:bottom w:val="nil"/>
              <w:right w:val="nil"/>
            </w:tcBorders>
            <w:shd w:val="clear" w:color="auto" w:fill="auto"/>
            <w:vAlign w:val="center"/>
          </w:tcPr>
          <w:p w14:paraId="1FFB18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业务确认结论</w:t>
            </w:r>
          </w:p>
        </w:tc>
        <w:tc>
          <w:tcPr>
            <w:tcW w:w="1460" w:type="dxa"/>
            <w:tcBorders>
              <w:top w:val="nil"/>
              <w:left w:val="nil"/>
              <w:bottom w:val="nil"/>
              <w:right w:val="nil"/>
            </w:tcBorders>
            <w:shd w:val="clear" w:color="auto" w:fill="auto"/>
            <w:vAlign w:val="center"/>
          </w:tcPr>
          <w:p w14:paraId="611AE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D663A6">
        <w:trPr>
          <w:cantSplit/>
          <w:trHeight w:val="0" w:hRule="atLeast"/>
          <w:jc w:val="center"/>
        </w:trPr>
        <w:tc>
          <w:tcPr>
            <w:tcW w:w="2944" w:type="dxa"/>
            <w:tcBorders>
              <w:top w:val="nil"/>
              <w:left w:val="nil"/>
              <w:bottom w:val="nil"/>
              <w:right w:val="nil"/>
            </w:tcBorders>
            <w:shd w:val="clear" w:color="auto" w:fill="auto"/>
            <w:vAlign w:val="center"/>
          </w:tcPr>
          <w:p w14:paraId="34BC42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P-ZLTC-SCOS-JSC-002-50-001</w:t>
            </w:r>
          </w:p>
        </w:tc>
        <w:tc>
          <w:tcPr>
            <w:tcW w:w="945" w:type="dxa"/>
            <w:tcBorders>
              <w:top w:val="nil"/>
              <w:left w:val="nil"/>
              <w:bottom w:val="nil"/>
              <w:right w:val="nil"/>
            </w:tcBorders>
            <w:shd w:val="clear" w:color="auto" w:fill="auto"/>
            <w:vAlign w:val="center"/>
          </w:tcPr>
          <w:p w14:paraId="20A953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审批展示范围与敏感数据权限规则</w:t>
            </w:r>
          </w:p>
        </w:tc>
        <w:tc>
          <w:tcPr>
            <w:tcW w:w="966" w:type="dxa"/>
            <w:tcBorders>
              <w:top w:val="nil"/>
              <w:left w:val="nil"/>
              <w:bottom w:val="nil"/>
              <w:right w:val="nil"/>
            </w:tcBorders>
            <w:shd w:val="clear" w:color="auto" w:fill="auto"/>
            <w:vAlign w:val="center"/>
          </w:tcPr>
          <w:p w14:paraId="6ADF5D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CB6B0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04F8BE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业务视图确认时</w:t>
            </w:r>
          </w:p>
        </w:tc>
        <w:tc>
          <w:tcPr>
            <w:tcW w:w="1406" w:type="dxa"/>
            <w:tcBorders>
              <w:top w:val="nil"/>
              <w:left w:val="nil"/>
              <w:bottom w:val="nil"/>
              <w:right w:val="nil"/>
            </w:tcBorders>
            <w:shd w:val="clear" w:color="auto" w:fill="auto"/>
            <w:vAlign w:val="center"/>
          </w:tcPr>
          <w:p w14:paraId="07F5FA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审核成本、资金、供应商等敏感内容的角色与组织可见范围；不通过时说明调整意见。</w:t>
            </w:r>
          </w:p>
        </w:tc>
        <w:tc>
          <w:tcPr>
            <w:tcW w:w="1088" w:type="dxa"/>
            <w:tcBorders>
              <w:top w:val="nil"/>
              <w:left w:val="nil"/>
              <w:bottom w:val="nil"/>
              <w:right w:val="nil"/>
            </w:tcBorders>
            <w:shd w:val="clear" w:color="auto" w:fill="auto"/>
            <w:vAlign w:val="center"/>
          </w:tcPr>
          <w:p w14:paraId="34CF73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4ABBDD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148D38">
        <w:trPr>
          <w:cantSplit/>
          <w:trHeight w:val="0" w:hRule="atLeast"/>
          <w:jc w:val="center"/>
        </w:trPr>
        <w:tc>
          <w:tcPr>
            <w:tcW w:w="2944" w:type="dxa"/>
            <w:tcBorders>
              <w:top w:val="nil"/>
              <w:left w:val="nil"/>
              <w:bottom w:val="nil"/>
              <w:right w:val="nil"/>
            </w:tcBorders>
            <w:shd w:val="clear" w:color="auto" w:fill="auto"/>
            <w:vAlign w:val="center"/>
          </w:tcPr>
          <w:p w14:paraId="36FE98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P-ZLTC-SCOS-JSC-002-60-001</w:t>
            </w:r>
          </w:p>
        </w:tc>
        <w:tc>
          <w:tcPr>
            <w:tcW w:w="945" w:type="dxa"/>
            <w:tcBorders>
              <w:top w:val="nil"/>
              <w:left w:val="nil"/>
              <w:bottom w:val="nil"/>
              <w:right w:val="nil"/>
            </w:tcBorders>
            <w:shd w:val="clear" w:color="auto" w:fill="auto"/>
            <w:vAlign w:val="center"/>
          </w:tcPr>
          <w:p w14:paraId="7B5E45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5983FD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61D49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9043A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7D5FC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判断角色视图是否可发布；审批未通过时退回复核；审批通过后继续处理。</w:t>
            </w:r>
          </w:p>
        </w:tc>
        <w:tc>
          <w:tcPr>
            <w:tcW w:w="1088" w:type="dxa"/>
            <w:tcBorders>
              <w:top w:val="nil"/>
              <w:left w:val="nil"/>
              <w:bottom w:val="nil"/>
              <w:right w:val="nil"/>
            </w:tcBorders>
            <w:shd w:val="clear" w:color="auto" w:fill="auto"/>
            <w:vAlign w:val="center"/>
          </w:tcPr>
          <w:p w14:paraId="4DC6DA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2AC2FB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9010AD">
        <w:trPr>
          <w:cantSplit/>
          <w:trHeight w:val="0" w:hRule="atLeast"/>
          <w:jc w:val="center"/>
        </w:trPr>
        <w:tc>
          <w:tcPr>
            <w:tcW w:w="2944" w:type="dxa"/>
            <w:tcBorders>
              <w:top w:val="nil"/>
              <w:left w:val="nil"/>
              <w:bottom w:val="nil"/>
              <w:right w:val="nil"/>
            </w:tcBorders>
            <w:shd w:val="clear" w:color="auto" w:fill="auto"/>
            <w:vAlign w:val="center"/>
          </w:tcPr>
          <w:p w14:paraId="044042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P-ZLTC-SCOS-JSC-002-70-001</w:t>
            </w:r>
          </w:p>
        </w:tc>
        <w:tc>
          <w:tcPr>
            <w:tcW w:w="945" w:type="dxa"/>
            <w:tcBorders>
              <w:top w:val="nil"/>
              <w:left w:val="nil"/>
              <w:bottom w:val="nil"/>
              <w:right w:val="nil"/>
            </w:tcBorders>
            <w:shd w:val="clear" w:color="auto" w:fill="auto"/>
            <w:vAlign w:val="center"/>
          </w:tcPr>
          <w:p w14:paraId="40264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发布角色视图与专题看板版本规则</w:t>
            </w:r>
          </w:p>
        </w:tc>
        <w:tc>
          <w:tcPr>
            <w:tcW w:w="966" w:type="dxa"/>
            <w:tcBorders>
              <w:top w:val="nil"/>
              <w:left w:val="nil"/>
              <w:bottom w:val="nil"/>
              <w:right w:val="nil"/>
            </w:tcBorders>
            <w:shd w:val="clear" w:color="auto" w:fill="auto"/>
            <w:vAlign w:val="center"/>
          </w:tcPr>
          <w:p w14:paraId="76FFEA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721B1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08139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0186FF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按角色发布并记录版本、生效时间、适用组织和审批轨迹；发布失败时原有效版本继续生效。</w:t>
            </w:r>
          </w:p>
        </w:tc>
        <w:tc>
          <w:tcPr>
            <w:tcW w:w="1088" w:type="dxa"/>
            <w:tcBorders>
              <w:top w:val="nil"/>
              <w:left w:val="nil"/>
              <w:bottom w:val="nil"/>
              <w:right w:val="nil"/>
            </w:tcBorders>
            <w:shd w:val="clear" w:color="auto" w:fill="auto"/>
            <w:vAlign w:val="center"/>
          </w:tcPr>
          <w:p w14:paraId="0E9C2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已发布视图版本</w:t>
            </w:r>
          </w:p>
        </w:tc>
        <w:tc>
          <w:tcPr>
            <w:tcW w:w="1460" w:type="dxa"/>
            <w:tcBorders>
              <w:top w:val="nil"/>
              <w:left w:val="nil"/>
              <w:bottom w:val="nil"/>
              <w:right w:val="nil"/>
            </w:tcBorders>
            <w:shd w:val="clear" w:color="auto" w:fill="auto"/>
            <w:vAlign w:val="center"/>
          </w:tcPr>
          <w:p w14:paraId="61B0CA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7ABCE9">
        <w:trPr>
          <w:cantSplit/>
          <w:trHeight w:val="0" w:hRule="atLeast"/>
          <w:jc w:val="center"/>
        </w:trPr>
        <w:tc>
          <w:tcPr>
            <w:tcW w:w="2944" w:type="dxa"/>
            <w:tcBorders>
              <w:top w:val="nil"/>
              <w:left w:val="nil"/>
              <w:bottom w:val="nil"/>
              <w:right w:val="nil"/>
            </w:tcBorders>
            <w:shd w:val="clear" w:color="auto" w:fill="auto"/>
            <w:vAlign w:val="center"/>
          </w:tcPr>
          <w:p w14:paraId="662919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P-ZLTC-SCOS-JSC-003-10-001</w:t>
            </w:r>
          </w:p>
        </w:tc>
        <w:tc>
          <w:tcPr>
            <w:tcW w:w="945" w:type="dxa"/>
            <w:tcBorders>
              <w:top w:val="nil"/>
              <w:left w:val="nil"/>
              <w:bottom w:val="nil"/>
              <w:right w:val="nil"/>
            </w:tcBorders>
            <w:shd w:val="clear" w:color="auto" w:fill="auto"/>
            <w:vAlign w:val="center"/>
          </w:tcPr>
          <w:p w14:paraId="5F43BA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提供全域数据与各模块运算结果规则</w:t>
            </w:r>
          </w:p>
        </w:tc>
        <w:tc>
          <w:tcPr>
            <w:tcW w:w="966" w:type="dxa"/>
            <w:tcBorders>
              <w:top w:val="nil"/>
              <w:left w:val="nil"/>
              <w:bottom w:val="nil"/>
              <w:right w:val="nil"/>
            </w:tcBorders>
            <w:shd w:val="clear" w:color="auto" w:fill="auto"/>
            <w:vAlign w:val="center"/>
          </w:tcPr>
          <w:p w14:paraId="334A4A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4049B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26CB8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实时数据变化、业务模块结果发布或定时刷新任务触发时</w:t>
            </w:r>
          </w:p>
        </w:tc>
        <w:tc>
          <w:tcPr>
            <w:tcW w:w="1406" w:type="dxa"/>
            <w:tcBorders>
              <w:top w:val="nil"/>
              <w:left w:val="nil"/>
              <w:bottom w:val="nil"/>
              <w:right w:val="nil"/>
            </w:tcBorders>
            <w:shd w:val="clear" w:color="auto" w:fill="auto"/>
            <w:vAlign w:val="center"/>
          </w:tcPr>
          <w:p w14:paraId="37C3BD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按标准API或消息订阅提供数据；数据延迟、缺失或状态冲突时标记数据时间与可信状态。</w:t>
            </w:r>
          </w:p>
        </w:tc>
        <w:tc>
          <w:tcPr>
            <w:tcW w:w="1088" w:type="dxa"/>
            <w:tcBorders>
              <w:top w:val="nil"/>
              <w:left w:val="nil"/>
              <w:bottom w:val="nil"/>
              <w:right w:val="nil"/>
            </w:tcBorders>
            <w:shd w:val="clear" w:color="auto" w:fill="auto"/>
            <w:vAlign w:val="center"/>
          </w:tcPr>
          <w:p w14:paraId="3649D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驾驶舱指标计算数据集</w:t>
            </w:r>
          </w:p>
        </w:tc>
        <w:tc>
          <w:tcPr>
            <w:tcW w:w="1460" w:type="dxa"/>
            <w:tcBorders>
              <w:top w:val="nil"/>
              <w:left w:val="nil"/>
              <w:bottom w:val="nil"/>
              <w:right w:val="nil"/>
            </w:tcBorders>
            <w:shd w:val="clear" w:color="auto" w:fill="auto"/>
            <w:vAlign w:val="center"/>
          </w:tcPr>
          <w:p w14:paraId="50BFACF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SCOS/SAP/实时数据平台</w:t>
            </w:r>
          </w:p>
        </w:tc>
      </w:tr>
      <w:tr w14:paraId="2DB02C7B">
        <w:trPr>
          <w:cantSplit/>
          <w:trHeight w:val="0" w:hRule="atLeast"/>
          <w:jc w:val="center"/>
        </w:trPr>
        <w:tc>
          <w:tcPr>
            <w:tcW w:w="2944" w:type="dxa"/>
            <w:tcBorders>
              <w:top w:val="nil"/>
              <w:left w:val="nil"/>
              <w:bottom w:val="nil"/>
              <w:right w:val="nil"/>
            </w:tcBorders>
            <w:shd w:val="clear" w:color="auto" w:fill="auto"/>
            <w:vAlign w:val="center"/>
          </w:tcPr>
          <w:p w14:paraId="0EA537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P-ZLTC-SCOS-JSC-003-20-001</w:t>
            </w:r>
          </w:p>
        </w:tc>
        <w:tc>
          <w:tcPr>
            <w:tcW w:w="945" w:type="dxa"/>
            <w:tcBorders>
              <w:top w:val="nil"/>
              <w:left w:val="nil"/>
              <w:bottom w:val="nil"/>
              <w:right w:val="nil"/>
            </w:tcBorders>
            <w:shd w:val="clear" w:color="auto" w:fill="auto"/>
            <w:vAlign w:val="center"/>
          </w:tcPr>
          <w:p w14:paraId="6F664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计算核心KPI与专题视图指标规则</w:t>
            </w:r>
          </w:p>
        </w:tc>
        <w:tc>
          <w:tcPr>
            <w:tcW w:w="966" w:type="dxa"/>
            <w:tcBorders>
              <w:top w:val="nil"/>
              <w:left w:val="nil"/>
              <w:bottom w:val="nil"/>
              <w:right w:val="nil"/>
            </w:tcBorders>
            <w:shd w:val="clear" w:color="auto" w:fill="auto"/>
            <w:vAlign w:val="center"/>
          </w:tcPr>
          <w:p w14:paraId="406237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FE38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5A78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驾驶舱指标计算数据集形成后</w:t>
            </w:r>
          </w:p>
        </w:tc>
        <w:tc>
          <w:tcPr>
            <w:tcW w:w="1406" w:type="dxa"/>
            <w:tcBorders>
              <w:top w:val="nil"/>
              <w:left w:val="nil"/>
              <w:bottom w:val="nil"/>
              <w:right w:val="nil"/>
            </w:tcBorders>
            <w:shd w:val="clear" w:color="auto" w:fill="auto"/>
            <w:vAlign w:val="center"/>
          </w:tcPr>
          <w:p w14:paraId="5B158E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计算产销达成率、库存周转天数、准时交付率等核心指标；指标所需关键数据不完整时该指标标记“数据异常”，不使用人工值替代。</w:t>
            </w:r>
          </w:p>
        </w:tc>
        <w:tc>
          <w:tcPr>
            <w:tcW w:w="1088" w:type="dxa"/>
            <w:tcBorders>
              <w:top w:val="nil"/>
              <w:left w:val="nil"/>
              <w:bottom w:val="nil"/>
              <w:right w:val="nil"/>
            </w:tcBorders>
            <w:shd w:val="clear" w:color="auto" w:fill="auto"/>
            <w:vAlign w:val="center"/>
          </w:tcPr>
          <w:p w14:paraId="3482C5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核心KPI和产销/储运/环保/资金专题指标</w:t>
            </w:r>
          </w:p>
        </w:tc>
        <w:tc>
          <w:tcPr>
            <w:tcW w:w="1460" w:type="dxa"/>
            <w:tcBorders>
              <w:top w:val="nil"/>
              <w:left w:val="nil"/>
              <w:bottom w:val="nil"/>
              <w:right w:val="nil"/>
            </w:tcBorders>
            <w:shd w:val="clear" w:color="auto" w:fill="auto"/>
            <w:vAlign w:val="center"/>
          </w:tcPr>
          <w:p w14:paraId="70771C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0F29AD">
        <w:trPr>
          <w:cantSplit/>
          <w:trHeight w:val="0" w:hRule="atLeast"/>
          <w:jc w:val="center"/>
        </w:trPr>
        <w:tc>
          <w:tcPr>
            <w:tcW w:w="2944" w:type="dxa"/>
            <w:tcBorders>
              <w:top w:val="nil"/>
              <w:left w:val="nil"/>
              <w:bottom w:val="nil"/>
              <w:right w:val="nil"/>
            </w:tcBorders>
            <w:shd w:val="clear" w:color="auto" w:fill="auto"/>
            <w:vAlign w:val="center"/>
          </w:tcPr>
          <w:p w14:paraId="5B259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P-ZLTC-SCOS-JSC-003-30-001</w:t>
            </w:r>
          </w:p>
        </w:tc>
        <w:tc>
          <w:tcPr>
            <w:tcW w:w="945" w:type="dxa"/>
            <w:tcBorders>
              <w:top w:val="nil"/>
              <w:left w:val="nil"/>
              <w:bottom w:val="nil"/>
              <w:right w:val="nil"/>
            </w:tcBorders>
            <w:shd w:val="clear" w:color="auto" w:fill="auto"/>
            <w:vAlign w:val="center"/>
          </w:tcPr>
          <w:p w14:paraId="71B229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评估全局健康度规则</w:t>
            </w:r>
          </w:p>
        </w:tc>
        <w:tc>
          <w:tcPr>
            <w:tcW w:w="966" w:type="dxa"/>
            <w:tcBorders>
              <w:top w:val="nil"/>
              <w:left w:val="nil"/>
              <w:bottom w:val="nil"/>
              <w:right w:val="nil"/>
            </w:tcBorders>
            <w:shd w:val="clear" w:color="auto" w:fill="auto"/>
            <w:vAlign w:val="center"/>
          </w:tcPr>
          <w:p w14:paraId="5499A7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06934F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8B85A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核心KPI和产销/储运/环保/资金专题指标形成后</w:t>
            </w:r>
          </w:p>
        </w:tc>
        <w:tc>
          <w:tcPr>
            <w:tcW w:w="1406" w:type="dxa"/>
            <w:tcBorders>
              <w:top w:val="nil"/>
              <w:left w:val="nil"/>
              <w:bottom w:val="nil"/>
              <w:right w:val="nil"/>
            </w:tcBorders>
            <w:shd w:val="clear" w:color="auto" w:fill="auto"/>
            <w:vAlign w:val="center"/>
          </w:tcPr>
          <w:p w14:paraId="7D5A6E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将指标与健康度阈值比较；阈值版本失效时保留最后有效状态并提示管理员。</w:t>
            </w:r>
          </w:p>
        </w:tc>
        <w:tc>
          <w:tcPr>
            <w:tcW w:w="1088" w:type="dxa"/>
            <w:tcBorders>
              <w:top w:val="nil"/>
              <w:left w:val="nil"/>
              <w:bottom w:val="nil"/>
              <w:right w:val="nil"/>
            </w:tcBorders>
            <w:shd w:val="clear" w:color="auto" w:fill="auto"/>
            <w:vAlign w:val="center"/>
          </w:tcPr>
          <w:p w14:paraId="29DB79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各节点/指标红黄绿状态</w:t>
            </w:r>
          </w:p>
        </w:tc>
        <w:tc>
          <w:tcPr>
            <w:tcW w:w="1460" w:type="dxa"/>
            <w:tcBorders>
              <w:top w:val="nil"/>
              <w:left w:val="nil"/>
              <w:bottom w:val="nil"/>
              <w:right w:val="nil"/>
            </w:tcBorders>
            <w:shd w:val="clear" w:color="auto" w:fill="auto"/>
            <w:vAlign w:val="center"/>
          </w:tcPr>
          <w:p w14:paraId="279409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02DDC1">
        <w:trPr>
          <w:cantSplit/>
          <w:trHeight w:val="0" w:hRule="atLeast"/>
          <w:jc w:val="center"/>
        </w:trPr>
        <w:tc>
          <w:tcPr>
            <w:tcW w:w="2944" w:type="dxa"/>
            <w:tcBorders>
              <w:top w:val="nil"/>
              <w:left w:val="nil"/>
              <w:bottom w:val="nil"/>
              <w:right w:val="nil"/>
            </w:tcBorders>
            <w:shd w:val="clear" w:color="auto" w:fill="auto"/>
            <w:vAlign w:val="center"/>
          </w:tcPr>
          <w:p w14:paraId="591B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P-ZLTC-SCOS-JSC-003-40-001</w:t>
            </w:r>
          </w:p>
        </w:tc>
        <w:tc>
          <w:tcPr>
            <w:tcW w:w="945" w:type="dxa"/>
            <w:tcBorders>
              <w:top w:val="nil"/>
              <w:left w:val="nil"/>
              <w:bottom w:val="nil"/>
              <w:right w:val="nil"/>
            </w:tcBorders>
            <w:shd w:val="clear" w:color="auto" w:fill="auto"/>
            <w:vAlign w:val="center"/>
          </w:tcPr>
          <w:p w14:paraId="7548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判断数据是否完整可信规则</w:t>
            </w:r>
          </w:p>
        </w:tc>
        <w:tc>
          <w:tcPr>
            <w:tcW w:w="966" w:type="dxa"/>
            <w:tcBorders>
              <w:top w:val="nil"/>
              <w:left w:val="nil"/>
              <w:bottom w:val="nil"/>
              <w:right w:val="nil"/>
            </w:tcBorders>
            <w:shd w:val="clear" w:color="auto" w:fill="auto"/>
            <w:vAlign w:val="center"/>
          </w:tcPr>
          <w:p w14:paraId="6E6B4F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13F2B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3A9113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各节点/指标红黄绿状态形成后</w:t>
            </w:r>
          </w:p>
        </w:tc>
        <w:tc>
          <w:tcPr>
            <w:tcW w:w="1406" w:type="dxa"/>
            <w:tcBorders>
              <w:top w:val="nil"/>
              <w:left w:val="nil"/>
              <w:bottom w:val="nil"/>
              <w:right w:val="nil"/>
            </w:tcBorders>
            <w:shd w:val="clear" w:color="auto" w:fill="auto"/>
            <w:vAlign w:val="center"/>
          </w:tcPr>
          <w:p w14:paraId="023072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确认指标结果是否符合展示和决策使用条件；数据不完整或不可信时显示明确占位、缓存时间和缺失原因；数据完整可信时继续处理。</w:t>
            </w:r>
          </w:p>
        </w:tc>
        <w:tc>
          <w:tcPr>
            <w:tcW w:w="1088" w:type="dxa"/>
            <w:tcBorders>
              <w:top w:val="nil"/>
              <w:left w:val="nil"/>
              <w:bottom w:val="nil"/>
              <w:right w:val="nil"/>
            </w:tcBorders>
            <w:shd w:val="clear" w:color="auto" w:fill="auto"/>
            <w:vAlign w:val="center"/>
          </w:tcPr>
          <w:p w14:paraId="3965D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可展示判断</w:t>
            </w:r>
          </w:p>
        </w:tc>
        <w:tc>
          <w:tcPr>
            <w:tcW w:w="1460" w:type="dxa"/>
            <w:tcBorders>
              <w:top w:val="nil"/>
              <w:left w:val="nil"/>
              <w:bottom w:val="nil"/>
              <w:right w:val="nil"/>
            </w:tcBorders>
            <w:shd w:val="clear" w:color="auto" w:fill="auto"/>
            <w:vAlign w:val="center"/>
          </w:tcPr>
          <w:p w14:paraId="106FB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DBE5B9">
        <w:trPr>
          <w:cantSplit/>
          <w:trHeight w:val="0" w:hRule="atLeast"/>
          <w:jc w:val="center"/>
        </w:trPr>
        <w:tc>
          <w:tcPr>
            <w:tcW w:w="2944" w:type="dxa"/>
            <w:tcBorders>
              <w:top w:val="nil"/>
              <w:left w:val="nil"/>
              <w:bottom w:val="nil"/>
              <w:right w:val="nil"/>
            </w:tcBorders>
            <w:shd w:val="clear" w:color="auto" w:fill="auto"/>
            <w:vAlign w:val="center"/>
          </w:tcPr>
          <w:p w14:paraId="7AC532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P-ZLTC-SCOS-JSC-003-50-001</w:t>
            </w:r>
          </w:p>
        </w:tc>
        <w:tc>
          <w:tcPr>
            <w:tcW w:w="945" w:type="dxa"/>
            <w:tcBorders>
              <w:top w:val="nil"/>
              <w:left w:val="nil"/>
              <w:bottom w:val="nil"/>
              <w:right w:val="nil"/>
            </w:tcBorders>
            <w:shd w:val="clear" w:color="auto" w:fill="auto"/>
            <w:vAlign w:val="center"/>
          </w:tcPr>
          <w:p w14:paraId="344A12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查看全局态势与专题视图规则</w:t>
            </w:r>
          </w:p>
        </w:tc>
        <w:tc>
          <w:tcPr>
            <w:tcW w:w="966" w:type="dxa"/>
            <w:tcBorders>
              <w:top w:val="nil"/>
              <w:left w:val="nil"/>
              <w:bottom w:val="nil"/>
              <w:right w:val="nil"/>
            </w:tcBorders>
            <w:shd w:val="clear" w:color="auto" w:fill="auto"/>
            <w:vAlign w:val="center"/>
          </w:tcPr>
          <w:p w14:paraId="6A27B6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C966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088C9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数据完整可信时</w:t>
            </w:r>
          </w:p>
        </w:tc>
        <w:tc>
          <w:tcPr>
            <w:tcW w:w="1406" w:type="dxa"/>
            <w:tcBorders>
              <w:top w:val="nil"/>
              <w:left w:val="nil"/>
              <w:bottom w:val="nil"/>
              <w:right w:val="nil"/>
            </w:tcBorders>
            <w:shd w:val="clear" w:color="auto" w:fill="auto"/>
            <w:vAlign w:val="center"/>
          </w:tcPr>
          <w:p w14:paraId="440384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按角色查看全局总览及产销、储运、环保、资金专题视图；无权查看的成本、资金等敏感数据不予展示。</w:t>
            </w:r>
          </w:p>
        </w:tc>
        <w:tc>
          <w:tcPr>
            <w:tcW w:w="1088" w:type="dxa"/>
            <w:tcBorders>
              <w:top w:val="nil"/>
              <w:left w:val="nil"/>
              <w:bottom w:val="nil"/>
              <w:right w:val="nil"/>
            </w:tcBorders>
            <w:shd w:val="clear" w:color="auto" w:fill="auto"/>
            <w:vAlign w:val="center"/>
          </w:tcPr>
          <w:p w14:paraId="692DBC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态势查看记录</w:t>
            </w:r>
          </w:p>
        </w:tc>
        <w:tc>
          <w:tcPr>
            <w:tcW w:w="1460" w:type="dxa"/>
            <w:tcBorders>
              <w:top w:val="nil"/>
              <w:left w:val="nil"/>
              <w:bottom w:val="nil"/>
              <w:right w:val="nil"/>
            </w:tcBorders>
            <w:shd w:val="clear" w:color="auto" w:fill="auto"/>
            <w:vAlign w:val="center"/>
          </w:tcPr>
          <w:p w14:paraId="7A7DBA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BA309D">
        <w:trPr>
          <w:cantSplit/>
          <w:trHeight w:val="0" w:hRule="atLeast"/>
          <w:jc w:val="center"/>
        </w:trPr>
        <w:tc>
          <w:tcPr>
            <w:tcW w:w="2944" w:type="dxa"/>
            <w:tcBorders>
              <w:top w:val="nil"/>
              <w:left w:val="nil"/>
              <w:bottom w:val="nil"/>
              <w:right w:val="nil"/>
            </w:tcBorders>
            <w:shd w:val="clear" w:color="auto" w:fill="auto"/>
            <w:vAlign w:val="center"/>
          </w:tcPr>
          <w:p w14:paraId="7A7C01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P-ZLTC-SCOS-JSC-003-60-001</w:t>
            </w:r>
          </w:p>
        </w:tc>
        <w:tc>
          <w:tcPr>
            <w:tcW w:w="945" w:type="dxa"/>
            <w:tcBorders>
              <w:top w:val="nil"/>
              <w:left w:val="nil"/>
              <w:bottom w:val="nil"/>
              <w:right w:val="nil"/>
            </w:tcBorders>
            <w:shd w:val="clear" w:color="auto" w:fill="auto"/>
            <w:vAlign w:val="center"/>
          </w:tcPr>
          <w:p w14:paraId="735530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判断是否需要进一步分析规则</w:t>
            </w:r>
          </w:p>
        </w:tc>
        <w:tc>
          <w:tcPr>
            <w:tcW w:w="966" w:type="dxa"/>
            <w:tcBorders>
              <w:top w:val="nil"/>
              <w:left w:val="nil"/>
              <w:bottom w:val="nil"/>
              <w:right w:val="nil"/>
            </w:tcBorders>
            <w:shd w:val="clear" w:color="auto" w:fill="auto"/>
            <w:vAlign w:val="center"/>
          </w:tcPr>
          <w:p w14:paraId="76322E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EAC90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A681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态势查看记录形成后</w:t>
            </w:r>
          </w:p>
        </w:tc>
        <w:tc>
          <w:tcPr>
            <w:tcW w:w="1406" w:type="dxa"/>
            <w:tcBorders>
              <w:top w:val="nil"/>
              <w:left w:val="nil"/>
              <w:bottom w:val="nil"/>
              <w:right w:val="nil"/>
            </w:tcBorders>
            <w:shd w:val="clear" w:color="auto" w:fill="auto"/>
            <w:vAlign w:val="center"/>
          </w:tcPr>
          <w:p w14:paraId="6E0AFD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判断是否对异常KPI进行钻取、查看预警处置；不需要进一步分析时继续态势监测；需要进一步分析时转入相应分析流程。</w:t>
            </w:r>
          </w:p>
        </w:tc>
        <w:tc>
          <w:tcPr>
            <w:tcW w:w="1088" w:type="dxa"/>
            <w:tcBorders>
              <w:top w:val="nil"/>
              <w:left w:val="nil"/>
              <w:bottom w:val="nil"/>
              <w:right w:val="nil"/>
            </w:tcBorders>
            <w:shd w:val="clear" w:color="auto" w:fill="auto"/>
            <w:vAlign w:val="center"/>
          </w:tcPr>
          <w:p w14:paraId="13643F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处理选择</w:t>
            </w:r>
          </w:p>
        </w:tc>
        <w:tc>
          <w:tcPr>
            <w:tcW w:w="1460" w:type="dxa"/>
            <w:tcBorders>
              <w:top w:val="nil"/>
              <w:left w:val="nil"/>
              <w:bottom w:val="nil"/>
              <w:right w:val="nil"/>
            </w:tcBorders>
            <w:shd w:val="clear" w:color="auto" w:fill="auto"/>
            <w:vAlign w:val="center"/>
          </w:tcPr>
          <w:p w14:paraId="2C29C5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24A965">
        <w:trPr>
          <w:cantSplit/>
          <w:trHeight w:val="0" w:hRule="atLeast"/>
          <w:jc w:val="center"/>
        </w:trPr>
        <w:tc>
          <w:tcPr>
            <w:tcW w:w="2944" w:type="dxa"/>
            <w:tcBorders>
              <w:top w:val="nil"/>
              <w:left w:val="nil"/>
              <w:bottom w:val="nil"/>
              <w:right w:val="nil"/>
            </w:tcBorders>
            <w:shd w:val="clear" w:color="auto" w:fill="auto"/>
            <w:vAlign w:val="center"/>
          </w:tcPr>
          <w:p w14:paraId="4C135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P-ZLTC-SCOS-JSC-003-70-001</w:t>
            </w:r>
          </w:p>
        </w:tc>
        <w:tc>
          <w:tcPr>
            <w:tcW w:w="945" w:type="dxa"/>
            <w:tcBorders>
              <w:top w:val="nil"/>
              <w:left w:val="nil"/>
              <w:bottom w:val="nil"/>
              <w:right w:val="nil"/>
            </w:tcBorders>
            <w:shd w:val="clear" w:color="auto" w:fill="auto"/>
            <w:vAlign w:val="center"/>
          </w:tcPr>
          <w:p w14:paraId="0000DA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更新态势视图并输出态势报告规则</w:t>
            </w:r>
          </w:p>
        </w:tc>
        <w:tc>
          <w:tcPr>
            <w:tcW w:w="966" w:type="dxa"/>
            <w:tcBorders>
              <w:top w:val="nil"/>
              <w:left w:val="nil"/>
              <w:bottom w:val="nil"/>
              <w:right w:val="nil"/>
            </w:tcBorders>
            <w:shd w:val="clear" w:color="auto" w:fill="auto"/>
            <w:vAlign w:val="center"/>
          </w:tcPr>
          <w:p w14:paraId="1301BC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5775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5C419C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处理选择形成后</w:t>
            </w:r>
          </w:p>
        </w:tc>
        <w:tc>
          <w:tcPr>
            <w:tcW w:w="1406" w:type="dxa"/>
            <w:tcBorders>
              <w:top w:val="nil"/>
              <w:left w:val="nil"/>
              <w:bottom w:val="nil"/>
              <w:right w:val="nil"/>
            </w:tcBorders>
            <w:shd w:val="clear" w:color="auto" w:fill="auto"/>
            <w:vAlign w:val="center"/>
          </w:tcPr>
          <w:p w14:paraId="25E1E9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按刷新频率更新态势，支持按权限导出当前态势报告；报告生成失败不影响实时监测。</w:t>
            </w:r>
          </w:p>
        </w:tc>
        <w:tc>
          <w:tcPr>
            <w:tcW w:w="1088" w:type="dxa"/>
            <w:tcBorders>
              <w:top w:val="nil"/>
              <w:left w:val="nil"/>
              <w:bottom w:val="nil"/>
              <w:right w:val="nil"/>
            </w:tcBorders>
            <w:shd w:val="clear" w:color="auto" w:fill="auto"/>
            <w:vAlign w:val="center"/>
          </w:tcPr>
          <w:p w14:paraId="3787E9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最新态势视图和可导出报告</w:t>
            </w:r>
          </w:p>
        </w:tc>
        <w:tc>
          <w:tcPr>
            <w:tcW w:w="1460" w:type="dxa"/>
            <w:tcBorders>
              <w:top w:val="nil"/>
              <w:left w:val="nil"/>
              <w:bottom w:val="nil"/>
              <w:right w:val="nil"/>
            </w:tcBorders>
            <w:shd w:val="clear" w:color="auto" w:fill="auto"/>
            <w:vAlign w:val="center"/>
          </w:tcPr>
          <w:p w14:paraId="40F59E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EF5399">
        <w:trPr>
          <w:cantSplit/>
          <w:trHeight w:val="0" w:hRule="atLeast"/>
          <w:jc w:val="center"/>
        </w:trPr>
        <w:tc>
          <w:tcPr>
            <w:tcW w:w="2944" w:type="dxa"/>
            <w:tcBorders>
              <w:top w:val="nil"/>
              <w:left w:val="nil"/>
              <w:bottom w:val="nil"/>
              <w:right w:val="nil"/>
            </w:tcBorders>
            <w:shd w:val="clear" w:color="auto" w:fill="auto"/>
            <w:vAlign w:val="center"/>
          </w:tcPr>
          <w:p w14:paraId="01BBB9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P-ZLTC-SCOS-JSC-004-10-001</w:t>
            </w:r>
          </w:p>
        </w:tc>
        <w:tc>
          <w:tcPr>
            <w:tcW w:w="945" w:type="dxa"/>
            <w:tcBorders>
              <w:top w:val="nil"/>
              <w:left w:val="nil"/>
              <w:bottom w:val="nil"/>
              <w:right w:val="nil"/>
            </w:tcBorders>
            <w:shd w:val="clear" w:color="auto" w:fill="auto"/>
            <w:vAlign w:val="center"/>
          </w:tcPr>
          <w:p w14:paraId="21098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选择异常KPI或业务节点规则</w:t>
            </w:r>
          </w:p>
        </w:tc>
        <w:tc>
          <w:tcPr>
            <w:tcW w:w="966" w:type="dxa"/>
            <w:tcBorders>
              <w:top w:val="nil"/>
              <w:left w:val="nil"/>
              <w:bottom w:val="nil"/>
              <w:right w:val="nil"/>
            </w:tcBorders>
            <w:shd w:val="clear" w:color="auto" w:fill="auto"/>
            <w:vAlign w:val="center"/>
          </w:tcPr>
          <w:p w14:paraId="6F30B9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26220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D2804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用户主动点击异常对象时</w:t>
            </w:r>
          </w:p>
        </w:tc>
        <w:tc>
          <w:tcPr>
            <w:tcW w:w="1406" w:type="dxa"/>
            <w:tcBorders>
              <w:top w:val="nil"/>
              <w:left w:val="nil"/>
              <w:bottom w:val="nil"/>
              <w:right w:val="nil"/>
            </w:tcBorders>
            <w:shd w:val="clear" w:color="auto" w:fill="auto"/>
            <w:vAlign w:val="center"/>
          </w:tcPr>
          <w:p w14:paraId="4810E6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选择分析指标、业务范围和钻取维度；无权查看下层数据时停止钻取。</w:t>
            </w:r>
          </w:p>
        </w:tc>
        <w:tc>
          <w:tcPr>
            <w:tcW w:w="1088" w:type="dxa"/>
            <w:tcBorders>
              <w:top w:val="nil"/>
              <w:left w:val="nil"/>
              <w:bottom w:val="nil"/>
              <w:right w:val="nil"/>
            </w:tcBorders>
            <w:shd w:val="clear" w:color="auto" w:fill="auto"/>
            <w:vAlign w:val="center"/>
          </w:tcPr>
          <w:p w14:paraId="3B166F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钻取请求</w:t>
            </w:r>
          </w:p>
        </w:tc>
        <w:tc>
          <w:tcPr>
            <w:tcW w:w="1460" w:type="dxa"/>
            <w:tcBorders>
              <w:top w:val="nil"/>
              <w:left w:val="nil"/>
              <w:bottom w:val="nil"/>
              <w:right w:val="nil"/>
            </w:tcBorders>
            <w:shd w:val="clear" w:color="auto" w:fill="auto"/>
            <w:vAlign w:val="center"/>
          </w:tcPr>
          <w:p w14:paraId="43086A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2166D0">
        <w:trPr>
          <w:cantSplit/>
          <w:trHeight w:val="0" w:hRule="atLeast"/>
          <w:jc w:val="center"/>
        </w:trPr>
        <w:tc>
          <w:tcPr>
            <w:tcW w:w="2944" w:type="dxa"/>
            <w:tcBorders>
              <w:top w:val="nil"/>
              <w:left w:val="nil"/>
              <w:bottom w:val="nil"/>
              <w:right w:val="nil"/>
            </w:tcBorders>
            <w:shd w:val="clear" w:color="auto" w:fill="auto"/>
            <w:vAlign w:val="center"/>
          </w:tcPr>
          <w:p w14:paraId="4ABAC3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P-ZLTC-SCOS-JSC-004-20-001</w:t>
            </w:r>
          </w:p>
        </w:tc>
        <w:tc>
          <w:tcPr>
            <w:tcW w:w="945" w:type="dxa"/>
            <w:tcBorders>
              <w:top w:val="nil"/>
              <w:left w:val="nil"/>
              <w:bottom w:val="nil"/>
              <w:right w:val="nil"/>
            </w:tcBorders>
            <w:shd w:val="clear" w:color="auto" w:fill="auto"/>
            <w:vAlign w:val="center"/>
          </w:tcPr>
          <w:p w14:paraId="634B6A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展开专题视图和影响范围规则</w:t>
            </w:r>
          </w:p>
        </w:tc>
        <w:tc>
          <w:tcPr>
            <w:tcW w:w="966" w:type="dxa"/>
            <w:tcBorders>
              <w:top w:val="nil"/>
              <w:left w:val="nil"/>
              <w:bottom w:val="nil"/>
              <w:right w:val="nil"/>
            </w:tcBorders>
            <w:shd w:val="clear" w:color="auto" w:fill="auto"/>
            <w:vAlign w:val="center"/>
          </w:tcPr>
          <w:p w14:paraId="1ADE3D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433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D8A20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钻取请求形成后</w:t>
            </w:r>
          </w:p>
        </w:tc>
        <w:tc>
          <w:tcPr>
            <w:tcW w:w="1406" w:type="dxa"/>
            <w:tcBorders>
              <w:top w:val="nil"/>
              <w:left w:val="nil"/>
              <w:bottom w:val="nil"/>
              <w:right w:val="nil"/>
            </w:tcBorders>
            <w:shd w:val="clear" w:color="auto" w:fill="auto"/>
            <w:vAlign w:val="center"/>
          </w:tcPr>
          <w:p w14:paraId="26FBB7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展示异常指标的时间趋势、计划与实际差异、关联业务对象；专题数据不完整时显示可用范围和缺失项。</w:t>
            </w:r>
          </w:p>
        </w:tc>
        <w:tc>
          <w:tcPr>
            <w:tcW w:w="1088" w:type="dxa"/>
            <w:tcBorders>
              <w:top w:val="nil"/>
              <w:left w:val="nil"/>
              <w:bottom w:val="nil"/>
              <w:right w:val="nil"/>
            </w:tcBorders>
            <w:shd w:val="clear" w:color="auto" w:fill="auto"/>
            <w:vAlign w:val="center"/>
          </w:tcPr>
          <w:p w14:paraId="7598D9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专题趋势、对比和关联对象</w:t>
            </w:r>
          </w:p>
        </w:tc>
        <w:tc>
          <w:tcPr>
            <w:tcW w:w="1460" w:type="dxa"/>
            <w:tcBorders>
              <w:top w:val="nil"/>
              <w:left w:val="nil"/>
              <w:bottom w:val="nil"/>
              <w:right w:val="nil"/>
            </w:tcBorders>
            <w:shd w:val="clear" w:color="auto" w:fill="auto"/>
            <w:vAlign w:val="center"/>
          </w:tcPr>
          <w:p w14:paraId="7E8006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26BB72">
        <w:trPr>
          <w:cantSplit/>
          <w:trHeight w:val="0" w:hRule="atLeast"/>
          <w:jc w:val="center"/>
        </w:trPr>
        <w:tc>
          <w:tcPr>
            <w:tcW w:w="2944" w:type="dxa"/>
            <w:tcBorders>
              <w:top w:val="nil"/>
              <w:left w:val="nil"/>
              <w:bottom w:val="nil"/>
              <w:right w:val="nil"/>
            </w:tcBorders>
            <w:shd w:val="clear" w:color="auto" w:fill="auto"/>
            <w:vAlign w:val="center"/>
          </w:tcPr>
          <w:p w14:paraId="04A8D2D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P-ZLTC-SCOS-JSC-004-30-001</w:t>
            </w:r>
          </w:p>
        </w:tc>
        <w:tc>
          <w:tcPr>
            <w:tcW w:w="945" w:type="dxa"/>
            <w:tcBorders>
              <w:top w:val="nil"/>
              <w:left w:val="nil"/>
              <w:bottom w:val="nil"/>
              <w:right w:val="nil"/>
            </w:tcBorders>
            <w:shd w:val="clear" w:color="auto" w:fill="auto"/>
            <w:vAlign w:val="center"/>
          </w:tcPr>
          <w:p w14:paraId="3735C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钻取明细清单并关联源单据/工单规则</w:t>
            </w:r>
          </w:p>
        </w:tc>
        <w:tc>
          <w:tcPr>
            <w:tcW w:w="966" w:type="dxa"/>
            <w:tcBorders>
              <w:top w:val="nil"/>
              <w:left w:val="nil"/>
              <w:bottom w:val="nil"/>
              <w:right w:val="nil"/>
            </w:tcBorders>
            <w:shd w:val="clear" w:color="auto" w:fill="auto"/>
            <w:vAlign w:val="center"/>
          </w:tcPr>
          <w:p w14:paraId="1FD2BA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DDD6B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B854F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专题趋势、对比和关联对象形成后</w:t>
            </w:r>
          </w:p>
        </w:tc>
        <w:tc>
          <w:tcPr>
            <w:tcW w:w="1406" w:type="dxa"/>
            <w:tcBorders>
              <w:top w:val="nil"/>
              <w:left w:val="nil"/>
              <w:bottom w:val="nil"/>
              <w:right w:val="nil"/>
            </w:tcBorders>
            <w:shd w:val="clear" w:color="auto" w:fill="auto"/>
            <w:vAlign w:val="center"/>
          </w:tcPr>
          <w:p w14:paraId="72FF656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按总览、专题、明细和源单据的层级逐步追溯；源系统不可用时保留驾驶舱已获取的明细和数据时间。</w:t>
            </w:r>
          </w:p>
        </w:tc>
        <w:tc>
          <w:tcPr>
            <w:tcW w:w="1088" w:type="dxa"/>
            <w:tcBorders>
              <w:top w:val="nil"/>
              <w:left w:val="nil"/>
              <w:bottom w:val="nil"/>
              <w:right w:val="nil"/>
            </w:tcBorders>
            <w:shd w:val="clear" w:color="auto" w:fill="auto"/>
            <w:vAlign w:val="center"/>
          </w:tcPr>
          <w:p w14:paraId="75F3BE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明细清单、源单据/工单链接</w:t>
            </w:r>
          </w:p>
        </w:tc>
        <w:tc>
          <w:tcPr>
            <w:tcW w:w="1460" w:type="dxa"/>
            <w:tcBorders>
              <w:top w:val="nil"/>
              <w:left w:val="nil"/>
              <w:bottom w:val="nil"/>
              <w:right w:val="nil"/>
            </w:tcBorders>
            <w:shd w:val="clear" w:color="auto" w:fill="auto"/>
            <w:vAlign w:val="center"/>
          </w:tcPr>
          <w:p w14:paraId="10539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CA3EB2">
        <w:trPr>
          <w:cantSplit/>
          <w:trHeight w:val="0" w:hRule="atLeast"/>
          <w:jc w:val="center"/>
        </w:trPr>
        <w:tc>
          <w:tcPr>
            <w:tcW w:w="2944" w:type="dxa"/>
            <w:tcBorders>
              <w:top w:val="nil"/>
              <w:left w:val="nil"/>
              <w:bottom w:val="nil"/>
              <w:right w:val="nil"/>
            </w:tcBorders>
            <w:shd w:val="clear" w:color="auto" w:fill="auto"/>
            <w:vAlign w:val="center"/>
          </w:tcPr>
          <w:p w14:paraId="28E7D3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P-ZLTC-SCOS-JSC-004-40-001</w:t>
            </w:r>
          </w:p>
        </w:tc>
        <w:tc>
          <w:tcPr>
            <w:tcW w:w="945" w:type="dxa"/>
            <w:tcBorders>
              <w:top w:val="nil"/>
              <w:left w:val="nil"/>
              <w:bottom w:val="nil"/>
              <w:right w:val="nil"/>
            </w:tcBorders>
            <w:shd w:val="clear" w:color="auto" w:fill="auto"/>
            <w:vAlign w:val="center"/>
          </w:tcPr>
          <w:p w14:paraId="1ED1E3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判断是否可定位异常来源规则</w:t>
            </w:r>
          </w:p>
        </w:tc>
        <w:tc>
          <w:tcPr>
            <w:tcW w:w="966" w:type="dxa"/>
            <w:tcBorders>
              <w:top w:val="nil"/>
              <w:left w:val="nil"/>
              <w:bottom w:val="nil"/>
              <w:right w:val="nil"/>
            </w:tcBorders>
            <w:shd w:val="clear" w:color="auto" w:fill="auto"/>
            <w:vAlign w:val="center"/>
          </w:tcPr>
          <w:p w14:paraId="797E5E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93BC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4657F3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明细清单、源单据/工单链接形成后</w:t>
            </w:r>
          </w:p>
        </w:tc>
        <w:tc>
          <w:tcPr>
            <w:tcW w:w="1406" w:type="dxa"/>
            <w:tcBorders>
              <w:top w:val="nil"/>
              <w:left w:val="nil"/>
              <w:bottom w:val="nil"/>
              <w:right w:val="nil"/>
            </w:tcBorders>
            <w:shd w:val="clear" w:color="auto" w:fill="auto"/>
            <w:vAlign w:val="center"/>
          </w:tcPr>
          <w:p w14:paraId="532F9E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判断驾驶舱现有链路是否足以说明异常来源；不可定位异常来源时调用专业模块；可定位异常来源时确认结论。</w:t>
            </w:r>
          </w:p>
        </w:tc>
        <w:tc>
          <w:tcPr>
            <w:tcW w:w="1088" w:type="dxa"/>
            <w:tcBorders>
              <w:top w:val="nil"/>
              <w:left w:val="nil"/>
              <w:bottom w:val="nil"/>
              <w:right w:val="nil"/>
            </w:tcBorders>
            <w:shd w:val="clear" w:color="auto" w:fill="auto"/>
            <w:vAlign w:val="center"/>
          </w:tcPr>
          <w:p w14:paraId="75EA9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定位判断</w:t>
            </w:r>
          </w:p>
        </w:tc>
        <w:tc>
          <w:tcPr>
            <w:tcW w:w="1460" w:type="dxa"/>
            <w:tcBorders>
              <w:top w:val="nil"/>
              <w:left w:val="nil"/>
              <w:bottom w:val="nil"/>
              <w:right w:val="nil"/>
            </w:tcBorders>
            <w:shd w:val="clear" w:color="auto" w:fill="auto"/>
            <w:vAlign w:val="center"/>
          </w:tcPr>
          <w:p w14:paraId="7700ED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52AB7C9">
        <w:trPr>
          <w:cantSplit/>
          <w:trHeight w:val="0" w:hRule="atLeast"/>
          <w:jc w:val="center"/>
        </w:trPr>
        <w:tc>
          <w:tcPr>
            <w:tcW w:w="2944" w:type="dxa"/>
            <w:tcBorders>
              <w:top w:val="nil"/>
              <w:left w:val="nil"/>
              <w:bottom w:val="nil"/>
              <w:right w:val="nil"/>
            </w:tcBorders>
            <w:shd w:val="clear" w:color="auto" w:fill="auto"/>
            <w:vAlign w:val="center"/>
          </w:tcPr>
          <w:p w14:paraId="6A473D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P-ZLTC-SCOS-JSC-004-50-001</w:t>
            </w:r>
          </w:p>
        </w:tc>
        <w:tc>
          <w:tcPr>
            <w:tcW w:w="945" w:type="dxa"/>
            <w:tcBorders>
              <w:top w:val="nil"/>
              <w:left w:val="nil"/>
              <w:bottom w:val="nil"/>
              <w:right w:val="nil"/>
            </w:tcBorders>
            <w:shd w:val="clear" w:color="auto" w:fill="auto"/>
            <w:vAlign w:val="center"/>
          </w:tcPr>
          <w:p w14:paraId="11EB09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调用相关模块进行根因分析规则</w:t>
            </w:r>
          </w:p>
        </w:tc>
        <w:tc>
          <w:tcPr>
            <w:tcW w:w="966" w:type="dxa"/>
            <w:tcBorders>
              <w:top w:val="nil"/>
              <w:left w:val="nil"/>
              <w:bottom w:val="nil"/>
              <w:right w:val="nil"/>
            </w:tcBorders>
            <w:shd w:val="clear" w:color="auto" w:fill="auto"/>
            <w:vAlign w:val="center"/>
          </w:tcPr>
          <w:p w14:paraId="100BC2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FD9AB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FB6B1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不可定位异常来源时</w:t>
            </w:r>
          </w:p>
        </w:tc>
        <w:tc>
          <w:tcPr>
            <w:tcW w:w="1406" w:type="dxa"/>
            <w:tcBorders>
              <w:top w:val="nil"/>
              <w:left w:val="nil"/>
              <w:bottom w:val="nil"/>
              <w:right w:val="nil"/>
            </w:tcBorders>
            <w:shd w:val="clear" w:color="auto" w:fill="auto"/>
            <w:vAlign w:val="center"/>
          </w:tcPr>
          <w:p w14:paraId="18A471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将异常对象与上下文交给相关模块；相关模块不可用时保留待分析状态。</w:t>
            </w:r>
          </w:p>
        </w:tc>
        <w:tc>
          <w:tcPr>
            <w:tcW w:w="1088" w:type="dxa"/>
            <w:tcBorders>
              <w:top w:val="nil"/>
              <w:left w:val="nil"/>
              <w:bottom w:val="nil"/>
              <w:right w:val="nil"/>
            </w:tcBorders>
            <w:shd w:val="clear" w:color="auto" w:fill="auto"/>
            <w:vAlign w:val="center"/>
          </w:tcPr>
          <w:p w14:paraId="47AE38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专业根因分析结果</w:t>
            </w:r>
          </w:p>
        </w:tc>
        <w:tc>
          <w:tcPr>
            <w:tcW w:w="1460" w:type="dxa"/>
            <w:tcBorders>
              <w:top w:val="nil"/>
              <w:left w:val="nil"/>
              <w:bottom w:val="nil"/>
              <w:right w:val="nil"/>
            </w:tcBorders>
            <w:shd w:val="clear" w:color="auto" w:fill="auto"/>
            <w:vAlign w:val="center"/>
          </w:tcPr>
          <w:p w14:paraId="7A2B3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E7229B">
        <w:trPr>
          <w:cantSplit/>
          <w:trHeight w:val="0" w:hRule="atLeast"/>
          <w:jc w:val="center"/>
        </w:trPr>
        <w:tc>
          <w:tcPr>
            <w:tcW w:w="2944" w:type="dxa"/>
            <w:tcBorders>
              <w:top w:val="nil"/>
              <w:left w:val="nil"/>
              <w:bottom w:val="nil"/>
              <w:right w:val="nil"/>
            </w:tcBorders>
            <w:shd w:val="clear" w:color="auto" w:fill="auto"/>
            <w:vAlign w:val="center"/>
          </w:tcPr>
          <w:p w14:paraId="328CCB7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P-ZLTC-SCOS-JSC-004-60-001</w:t>
            </w:r>
          </w:p>
        </w:tc>
        <w:tc>
          <w:tcPr>
            <w:tcW w:w="945" w:type="dxa"/>
            <w:tcBorders>
              <w:top w:val="nil"/>
              <w:left w:val="nil"/>
              <w:bottom w:val="nil"/>
              <w:right w:val="nil"/>
            </w:tcBorders>
            <w:shd w:val="clear" w:color="auto" w:fill="auto"/>
            <w:vAlign w:val="center"/>
          </w:tcPr>
          <w:p w14:paraId="26C96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判断根因是否已确认规则</w:t>
            </w:r>
          </w:p>
        </w:tc>
        <w:tc>
          <w:tcPr>
            <w:tcW w:w="966" w:type="dxa"/>
            <w:tcBorders>
              <w:top w:val="nil"/>
              <w:left w:val="nil"/>
              <w:bottom w:val="nil"/>
              <w:right w:val="nil"/>
            </w:tcBorders>
            <w:shd w:val="clear" w:color="auto" w:fill="auto"/>
            <w:vAlign w:val="center"/>
          </w:tcPr>
          <w:p w14:paraId="188E68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EF5AF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1F9B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可定位异常来源时</w:t>
            </w:r>
          </w:p>
        </w:tc>
        <w:tc>
          <w:tcPr>
            <w:tcW w:w="1406" w:type="dxa"/>
            <w:tcBorders>
              <w:top w:val="nil"/>
              <w:left w:val="nil"/>
              <w:bottom w:val="nil"/>
              <w:right w:val="nil"/>
            </w:tcBorders>
            <w:shd w:val="clear" w:color="auto" w:fill="auto"/>
            <w:vAlign w:val="center"/>
          </w:tcPr>
          <w:p w14:paraId="7E3E4A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业务责任人核实根因、影响范围和后续处理方向；根因未确认时退回补充分析；根因已确认后继续处理。</w:t>
            </w:r>
          </w:p>
        </w:tc>
        <w:tc>
          <w:tcPr>
            <w:tcW w:w="1088" w:type="dxa"/>
            <w:tcBorders>
              <w:top w:val="nil"/>
              <w:left w:val="nil"/>
              <w:bottom w:val="nil"/>
              <w:right w:val="nil"/>
            </w:tcBorders>
            <w:shd w:val="clear" w:color="auto" w:fill="auto"/>
            <w:vAlign w:val="center"/>
          </w:tcPr>
          <w:p w14:paraId="4C8E75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根因确认结论</w:t>
            </w:r>
          </w:p>
        </w:tc>
        <w:tc>
          <w:tcPr>
            <w:tcW w:w="1460" w:type="dxa"/>
            <w:tcBorders>
              <w:top w:val="nil"/>
              <w:left w:val="nil"/>
              <w:bottom w:val="nil"/>
              <w:right w:val="nil"/>
            </w:tcBorders>
            <w:shd w:val="clear" w:color="auto" w:fill="auto"/>
            <w:vAlign w:val="center"/>
          </w:tcPr>
          <w:p w14:paraId="4211B1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8B86C">
        <w:trPr>
          <w:cantSplit/>
          <w:trHeight w:val="0" w:hRule="atLeast"/>
          <w:jc w:val="center"/>
        </w:trPr>
        <w:tc>
          <w:tcPr>
            <w:tcW w:w="2944" w:type="dxa"/>
            <w:tcBorders>
              <w:top w:val="nil"/>
              <w:left w:val="nil"/>
              <w:bottom w:val="nil"/>
              <w:right w:val="nil"/>
            </w:tcBorders>
            <w:shd w:val="clear" w:color="auto" w:fill="auto"/>
            <w:vAlign w:val="center"/>
          </w:tcPr>
          <w:p w14:paraId="127133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P-ZLTC-SCOS-JSC-004-70-001</w:t>
            </w:r>
          </w:p>
        </w:tc>
        <w:tc>
          <w:tcPr>
            <w:tcW w:w="945" w:type="dxa"/>
            <w:tcBorders>
              <w:top w:val="nil"/>
              <w:left w:val="nil"/>
              <w:bottom w:val="nil"/>
              <w:right w:val="nil"/>
            </w:tcBorders>
            <w:shd w:val="clear" w:color="auto" w:fill="auto"/>
            <w:vAlign w:val="center"/>
          </w:tcPr>
          <w:p w14:paraId="2903D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形成根因分析结论及处理建议规则</w:t>
            </w:r>
          </w:p>
        </w:tc>
        <w:tc>
          <w:tcPr>
            <w:tcW w:w="966" w:type="dxa"/>
            <w:tcBorders>
              <w:top w:val="nil"/>
              <w:left w:val="nil"/>
              <w:bottom w:val="nil"/>
              <w:right w:val="nil"/>
            </w:tcBorders>
            <w:shd w:val="clear" w:color="auto" w:fill="auto"/>
            <w:vAlign w:val="center"/>
          </w:tcPr>
          <w:p w14:paraId="3AAD2E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84B3F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43F1D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根因已确认时</w:t>
            </w:r>
          </w:p>
        </w:tc>
        <w:tc>
          <w:tcPr>
            <w:tcW w:w="1406" w:type="dxa"/>
            <w:tcBorders>
              <w:top w:val="nil"/>
              <w:left w:val="nil"/>
              <w:bottom w:val="nil"/>
              <w:right w:val="nil"/>
            </w:tcBorders>
            <w:shd w:val="clear" w:color="auto" w:fill="auto"/>
            <w:vAlign w:val="center"/>
          </w:tcPr>
          <w:p w14:paraId="712DA6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归集分析过程和结论；结论发布失败时保留待发布状态。</w:t>
            </w:r>
          </w:p>
        </w:tc>
        <w:tc>
          <w:tcPr>
            <w:tcW w:w="1088" w:type="dxa"/>
            <w:tcBorders>
              <w:top w:val="nil"/>
              <w:left w:val="nil"/>
              <w:bottom w:val="nil"/>
              <w:right w:val="nil"/>
            </w:tcBorders>
            <w:shd w:val="clear" w:color="auto" w:fill="auto"/>
            <w:vAlign w:val="center"/>
          </w:tcPr>
          <w:p w14:paraId="75DCAB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根因结论、影响范围和处理建议</w:t>
            </w:r>
          </w:p>
        </w:tc>
        <w:tc>
          <w:tcPr>
            <w:tcW w:w="1460" w:type="dxa"/>
            <w:tcBorders>
              <w:top w:val="nil"/>
              <w:left w:val="nil"/>
              <w:bottom w:val="nil"/>
              <w:right w:val="nil"/>
            </w:tcBorders>
            <w:shd w:val="clear" w:color="auto" w:fill="auto"/>
            <w:vAlign w:val="center"/>
          </w:tcPr>
          <w:p w14:paraId="3E26919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B7E84B">
        <w:trPr>
          <w:cantSplit/>
          <w:trHeight w:val="0" w:hRule="atLeast"/>
          <w:jc w:val="center"/>
        </w:trPr>
        <w:tc>
          <w:tcPr>
            <w:tcW w:w="2944" w:type="dxa"/>
            <w:tcBorders>
              <w:top w:val="nil"/>
              <w:left w:val="nil"/>
              <w:bottom w:val="nil"/>
              <w:right w:val="nil"/>
            </w:tcBorders>
            <w:shd w:val="clear" w:color="auto" w:fill="auto"/>
            <w:vAlign w:val="center"/>
          </w:tcPr>
          <w:p w14:paraId="088280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P-ZLTC-SCOS-JSC-005-10-001</w:t>
            </w:r>
          </w:p>
        </w:tc>
        <w:tc>
          <w:tcPr>
            <w:tcW w:w="945" w:type="dxa"/>
            <w:tcBorders>
              <w:top w:val="nil"/>
              <w:left w:val="nil"/>
              <w:bottom w:val="nil"/>
              <w:right w:val="nil"/>
            </w:tcBorders>
            <w:shd w:val="clear" w:color="auto" w:fill="auto"/>
            <w:vAlign w:val="center"/>
          </w:tcPr>
          <w:p w14:paraId="74D37F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提供预警事件或指标越界信息规则</w:t>
            </w:r>
          </w:p>
        </w:tc>
        <w:tc>
          <w:tcPr>
            <w:tcW w:w="966" w:type="dxa"/>
            <w:tcBorders>
              <w:top w:val="nil"/>
              <w:left w:val="nil"/>
              <w:bottom w:val="nil"/>
              <w:right w:val="nil"/>
            </w:tcBorders>
            <w:shd w:val="clear" w:color="auto" w:fill="auto"/>
            <w:vAlign w:val="center"/>
          </w:tcPr>
          <w:p w14:paraId="0369FA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8487B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36975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指标越界，或采购、库存、排程、质量追溯等模块发布预警时</w:t>
            </w:r>
          </w:p>
        </w:tc>
        <w:tc>
          <w:tcPr>
            <w:tcW w:w="1406" w:type="dxa"/>
            <w:tcBorders>
              <w:top w:val="nil"/>
              <w:left w:val="nil"/>
              <w:bottom w:val="nil"/>
              <w:right w:val="nil"/>
            </w:tcBorders>
            <w:shd w:val="clear" w:color="auto" w:fill="auto"/>
            <w:vAlign w:val="center"/>
          </w:tcPr>
          <w:p w14:paraId="445B15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接收供应、库存、订单、产线和运输等预警事件；事件字段不完整时进入待核实队列。</w:t>
            </w:r>
          </w:p>
        </w:tc>
        <w:tc>
          <w:tcPr>
            <w:tcW w:w="1088" w:type="dxa"/>
            <w:tcBorders>
              <w:top w:val="nil"/>
              <w:left w:val="nil"/>
              <w:bottom w:val="nil"/>
              <w:right w:val="nil"/>
            </w:tcBorders>
            <w:shd w:val="clear" w:color="auto" w:fill="auto"/>
            <w:vAlign w:val="center"/>
          </w:tcPr>
          <w:p w14:paraId="3A386E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标准预警事件</w:t>
            </w:r>
          </w:p>
        </w:tc>
        <w:tc>
          <w:tcPr>
            <w:tcW w:w="1460" w:type="dxa"/>
            <w:tcBorders>
              <w:top w:val="nil"/>
              <w:left w:val="nil"/>
              <w:bottom w:val="nil"/>
              <w:right w:val="nil"/>
            </w:tcBorders>
            <w:shd w:val="clear" w:color="auto" w:fill="auto"/>
            <w:vAlign w:val="center"/>
          </w:tcPr>
          <w:p w14:paraId="35335D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907730">
        <w:trPr>
          <w:cantSplit/>
          <w:trHeight w:val="0" w:hRule="atLeast"/>
          <w:jc w:val="center"/>
        </w:trPr>
        <w:tc>
          <w:tcPr>
            <w:tcW w:w="2944" w:type="dxa"/>
            <w:tcBorders>
              <w:top w:val="nil"/>
              <w:left w:val="nil"/>
              <w:bottom w:val="nil"/>
              <w:right w:val="nil"/>
            </w:tcBorders>
            <w:shd w:val="clear" w:color="auto" w:fill="auto"/>
            <w:vAlign w:val="center"/>
          </w:tcPr>
          <w:p w14:paraId="2C39D1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P-ZLTC-SCOS-JSC-005-20-001</w:t>
            </w:r>
          </w:p>
        </w:tc>
        <w:tc>
          <w:tcPr>
            <w:tcW w:w="945" w:type="dxa"/>
            <w:tcBorders>
              <w:top w:val="nil"/>
              <w:left w:val="nil"/>
              <w:bottom w:val="nil"/>
              <w:right w:val="nil"/>
            </w:tcBorders>
            <w:shd w:val="clear" w:color="auto" w:fill="auto"/>
            <w:vAlign w:val="center"/>
          </w:tcPr>
          <w:p w14:paraId="7D2568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校验事件信息并聚合去重规则</w:t>
            </w:r>
          </w:p>
        </w:tc>
        <w:tc>
          <w:tcPr>
            <w:tcW w:w="966" w:type="dxa"/>
            <w:tcBorders>
              <w:top w:val="nil"/>
              <w:left w:val="nil"/>
              <w:bottom w:val="nil"/>
              <w:right w:val="nil"/>
            </w:tcBorders>
            <w:shd w:val="clear" w:color="auto" w:fill="auto"/>
            <w:vAlign w:val="center"/>
          </w:tcPr>
          <w:p w14:paraId="5A5D2B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9C80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6B03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标准预警事件形成后</w:t>
            </w:r>
          </w:p>
        </w:tc>
        <w:tc>
          <w:tcPr>
            <w:tcW w:w="1406" w:type="dxa"/>
            <w:tcBorders>
              <w:top w:val="nil"/>
              <w:left w:val="nil"/>
              <w:bottom w:val="nil"/>
              <w:right w:val="nil"/>
            </w:tcBorders>
            <w:shd w:val="clear" w:color="auto" w:fill="auto"/>
            <w:vAlign w:val="center"/>
          </w:tcPr>
          <w:p w14:paraId="0F8C63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按业务对象、事件类型和时间窗口识别重复或关联事件；无法识别业务对象时保留待核实状态。</w:t>
            </w:r>
          </w:p>
        </w:tc>
        <w:tc>
          <w:tcPr>
            <w:tcW w:w="1088" w:type="dxa"/>
            <w:tcBorders>
              <w:top w:val="nil"/>
              <w:left w:val="nil"/>
              <w:bottom w:val="nil"/>
              <w:right w:val="nil"/>
            </w:tcBorders>
            <w:shd w:val="clear" w:color="auto" w:fill="auto"/>
            <w:vAlign w:val="center"/>
          </w:tcPr>
          <w:p w14:paraId="1680F1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有效事件清单</w:t>
            </w:r>
          </w:p>
        </w:tc>
        <w:tc>
          <w:tcPr>
            <w:tcW w:w="1460" w:type="dxa"/>
            <w:tcBorders>
              <w:top w:val="nil"/>
              <w:left w:val="nil"/>
              <w:bottom w:val="nil"/>
              <w:right w:val="nil"/>
            </w:tcBorders>
            <w:shd w:val="clear" w:color="auto" w:fill="auto"/>
            <w:vAlign w:val="center"/>
          </w:tcPr>
          <w:p w14:paraId="1F4164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3ADFBF">
        <w:trPr>
          <w:cantSplit/>
          <w:trHeight w:val="0" w:hRule="atLeast"/>
          <w:jc w:val="center"/>
        </w:trPr>
        <w:tc>
          <w:tcPr>
            <w:tcW w:w="2944" w:type="dxa"/>
            <w:tcBorders>
              <w:top w:val="nil"/>
              <w:left w:val="nil"/>
              <w:bottom w:val="nil"/>
              <w:right w:val="nil"/>
            </w:tcBorders>
            <w:shd w:val="clear" w:color="auto" w:fill="auto"/>
            <w:vAlign w:val="center"/>
          </w:tcPr>
          <w:p w14:paraId="11BFBB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P-ZLTC-SCOS-JSC-005-30-001</w:t>
            </w:r>
          </w:p>
        </w:tc>
        <w:tc>
          <w:tcPr>
            <w:tcW w:w="945" w:type="dxa"/>
            <w:tcBorders>
              <w:top w:val="nil"/>
              <w:left w:val="nil"/>
              <w:bottom w:val="nil"/>
              <w:right w:val="nil"/>
            </w:tcBorders>
            <w:shd w:val="clear" w:color="auto" w:fill="auto"/>
            <w:vAlign w:val="center"/>
          </w:tcPr>
          <w:p w14:paraId="6F1322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识别预警级别与影响范围规则</w:t>
            </w:r>
          </w:p>
        </w:tc>
        <w:tc>
          <w:tcPr>
            <w:tcW w:w="966" w:type="dxa"/>
            <w:tcBorders>
              <w:top w:val="nil"/>
              <w:left w:val="nil"/>
              <w:bottom w:val="nil"/>
              <w:right w:val="nil"/>
            </w:tcBorders>
            <w:shd w:val="clear" w:color="auto" w:fill="auto"/>
            <w:vAlign w:val="center"/>
          </w:tcPr>
          <w:p w14:paraId="4416B8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E7AEA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706BCB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有效事件清单形成后</w:t>
            </w:r>
          </w:p>
        </w:tc>
        <w:tc>
          <w:tcPr>
            <w:tcW w:w="1406" w:type="dxa"/>
            <w:tcBorders>
              <w:top w:val="nil"/>
              <w:left w:val="nil"/>
              <w:bottom w:val="nil"/>
              <w:right w:val="nil"/>
            </w:tcBorders>
            <w:shd w:val="clear" w:color="auto" w:fill="auto"/>
            <w:vAlign w:val="center"/>
          </w:tcPr>
          <w:p w14:paraId="09D10C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一级预警优先置顶并推送，二级预警按时间排序；规则无法匹配时标记“待分级”。</w:t>
            </w:r>
          </w:p>
        </w:tc>
        <w:tc>
          <w:tcPr>
            <w:tcW w:w="1088" w:type="dxa"/>
            <w:tcBorders>
              <w:top w:val="nil"/>
              <w:left w:val="nil"/>
              <w:bottom w:val="nil"/>
              <w:right w:val="nil"/>
            </w:tcBorders>
            <w:shd w:val="clear" w:color="auto" w:fill="auto"/>
            <w:vAlign w:val="center"/>
          </w:tcPr>
          <w:p w14:paraId="02D0C3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一/二级预警及影响范围</w:t>
            </w:r>
          </w:p>
        </w:tc>
        <w:tc>
          <w:tcPr>
            <w:tcW w:w="1460" w:type="dxa"/>
            <w:tcBorders>
              <w:top w:val="nil"/>
              <w:left w:val="nil"/>
              <w:bottom w:val="nil"/>
              <w:right w:val="nil"/>
            </w:tcBorders>
            <w:shd w:val="clear" w:color="auto" w:fill="auto"/>
            <w:vAlign w:val="center"/>
          </w:tcPr>
          <w:p w14:paraId="5A44A3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008D3F">
        <w:trPr>
          <w:cantSplit/>
          <w:trHeight w:val="0" w:hRule="atLeast"/>
          <w:jc w:val="center"/>
        </w:trPr>
        <w:tc>
          <w:tcPr>
            <w:tcW w:w="2944" w:type="dxa"/>
            <w:tcBorders>
              <w:top w:val="nil"/>
              <w:left w:val="nil"/>
              <w:bottom w:val="nil"/>
              <w:right w:val="nil"/>
            </w:tcBorders>
            <w:shd w:val="clear" w:color="auto" w:fill="auto"/>
            <w:vAlign w:val="center"/>
          </w:tcPr>
          <w:p w14:paraId="10398A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P-ZLTC-SCOS-JSC-005-40-001</w:t>
            </w:r>
          </w:p>
        </w:tc>
        <w:tc>
          <w:tcPr>
            <w:tcW w:w="945" w:type="dxa"/>
            <w:tcBorders>
              <w:top w:val="nil"/>
              <w:left w:val="nil"/>
              <w:bottom w:val="nil"/>
              <w:right w:val="nil"/>
            </w:tcBorders>
            <w:shd w:val="clear" w:color="auto" w:fill="auto"/>
            <w:vAlign w:val="center"/>
          </w:tcPr>
          <w:p w14:paraId="3D27F7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匹配责任部门和处置责任人规则</w:t>
            </w:r>
          </w:p>
        </w:tc>
        <w:tc>
          <w:tcPr>
            <w:tcW w:w="966" w:type="dxa"/>
            <w:tcBorders>
              <w:top w:val="nil"/>
              <w:left w:val="nil"/>
              <w:bottom w:val="nil"/>
              <w:right w:val="nil"/>
            </w:tcBorders>
            <w:shd w:val="clear" w:color="auto" w:fill="auto"/>
            <w:vAlign w:val="center"/>
          </w:tcPr>
          <w:p w14:paraId="0283D9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9F03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545EE6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一/二级预警及影响范围形成后</w:t>
            </w:r>
          </w:p>
        </w:tc>
        <w:tc>
          <w:tcPr>
            <w:tcW w:w="1406" w:type="dxa"/>
            <w:tcBorders>
              <w:top w:val="nil"/>
              <w:left w:val="nil"/>
              <w:bottom w:val="nil"/>
              <w:right w:val="nil"/>
            </w:tcBorders>
            <w:shd w:val="clear" w:color="auto" w:fill="auto"/>
            <w:vAlign w:val="center"/>
          </w:tcPr>
          <w:p w14:paraId="655308D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按业务域匹配处置责任；无法自动匹配时转运营管理人员人工分派。</w:t>
            </w:r>
          </w:p>
        </w:tc>
        <w:tc>
          <w:tcPr>
            <w:tcW w:w="1088" w:type="dxa"/>
            <w:tcBorders>
              <w:top w:val="nil"/>
              <w:left w:val="nil"/>
              <w:bottom w:val="nil"/>
              <w:right w:val="nil"/>
            </w:tcBorders>
            <w:shd w:val="clear" w:color="auto" w:fill="auto"/>
            <w:vAlign w:val="center"/>
          </w:tcPr>
          <w:p w14:paraId="67EEA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建议责任人和钻取链路</w:t>
            </w:r>
          </w:p>
        </w:tc>
        <w:tc>
          <w:tcPr>
            <w:tcW w:w="1460" w:type="dxa"/>
            <w:tcBorders>
              <w:top w:val="nil"/>
              <w:left w:val="nil"/>
              <w:bottom w:val="nil"/>
              <w:right w:val="nil"/>
            </w:tcBorders>
            <w:shd w:val="clear" w:color="auto" w:fill="auto"/>
            <w:vAlign w:val="center"/>
          </w:tcPr>
          <w:p w14:paraId="5A0372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C2DD7D">
        <w:trPr>
          <w:cantSplit/>
          <w:trHeight w:val="0" w:hRule="atLeast"/>
          <w:jc w:val="center"/>
        </w:trPr>
        <w:tc>
          <w:tcPr>
            <w:tcW w:w="2944" w:type="dxa"/>
            <w:tcBorders>
              <w:top w:val="nil"/>
              <w:left w:val="nil"/>
              <w:bottom w:val="nil"/>
              <w:right w:val="nil"/>
            </w:tcBorders>
            <w:shd w:val="clear" w:color="auto" w:fill="auto"/>
            <w:vAlign w:val="center"/>
          </w:tcPr>
          <w:p w14:paraId="2EFA8A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P-ZLTC-SCOS-JSC-005-50-001</w:t>
            </w:r>
          </w:p>
        </w:tc>
        <w:tc>
          <w:tcPr>
            <w:tcW w:w="945" w:type="dxa"/>
            <w:tcBorders>
              <w:top w:val="nil"/>
              <w:left w:val="nil"/>
              <w:bottom w:val="nil"/>
              <w:right w:val="nil"/>
            </w:tcBorders>
            <w:shd w:val="clear" w:color="auto" w:fill="auto"/>
            <w:vAlign w:val="center"/>
          </w:tcPr>
          <w:p w14:paraId="3CAD53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判断是否需要发起处置规则</w:t>
            </w:r>
          </w:p>
        </w:tc>
        <w:tc>
          <w:tcPr>
            <w:tcW w:w="966" w:type="dxa"/>
            <w:tcBorders>
              <w:top w:val="nil"/>
              <w:left w:val="nil"/>
              <w:bottom w:val="nil"/>
              <w:right w:val="nil"/>
            </w:tcBorders>
            <w:shd w:val="clear" w:color="auto" w:fill="auto"/>
            <w:vAlign w:val="center"/>
          </w:tcPr>
          <w:p w14:paraId="162551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98B03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8645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建议责任人和钻取链路形成后</w:t>
            </w:r>
          </w:p>
        </w:tc>
        <w:tc>
          <w:tcPr>
            <w:tcW w:w="1406" w:type="dxa"/>
            <w:tcBorders>
              <w:top w:val="nil"/>
              <w:left w:val="nil"/>
              <w:bottom w:val="nil"/>
              <w:right w:val="nil"/>
            </w:tcBorders>
            <w:shd w:val="clear" w:color="auto" w:fill="auto"/>
            <w:vAlign w:val="center"/>
          </w:tcPr>
          <w:p w14:paraId="4E424B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判断是否创建处置任务，或作为辅助提示持续观察；不需要发起处置时持续监控并记录原因；需要发起处置时继续处理。</w:t>
            </w:r>
          </w:p>
        </w:tc>
        <w:tc>
          <w:tcPr>
            <w:tcW w:w="1088" w:type="dxa"/>
            <w:tcBorders>
              <w:top w:val="nil"/>
              <w:left w:val="nil"/>
              <w:bottom w:val="nil"/>
              <w:right w:val="nil"/>
            </w:tcBorders>
            <w:shd w:val="clear" w:color="auto" w:fill="auto"/>
            <w:vAlign w:val="center"/>
          </w:tcPr>
          <w:p w14:paraId="171065E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处置判断</w:t>
            </w:r>
          </w:p>
        </w:tc>
        <w:tc>
          <w:tcPr>
            <w:tcW w:w="1460" w:type="dxa"/>
            <w:tcBorders>
              <w:top w:val="nil"/>
              <w:left w:val="nil"/>
              <w:bottom w:val="nil"/>
              <w:right w:val="nil"/>
            </w:tcBorders>
            <w:shd w:val="clear" w:color="auto" w:fill="auto"/>
            <w:vAlign w:val="center"/>
          </w:tcPr>
          <w:p w14:paraId="59041F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7B0F2A">
        <w:trPr>
          <w:cantSplit/>
          <w:trHeight w:val="0" w:hRule="atLeast"/>
          <w:jc w:val="center"/>
        </w:trPr>
        <w:tc>
          <w:tcPr>
            <w:tcW w:w="2944" w:type="dxa"/>
            <w:tcBorders>
              <w:top w:val="nil"/>
              <w:left w:val="nil"/>
              <w:bottom w:val="nil"/>
              <w:right w:val="nil"/>
            </w:tcBorders>
            <w:shd w:val="clear" w:color="auto" w:fill="auto"/>
            <w:vAlign w:val="center"/>
          </w:tcPr>
          <w:p w14:paraId="1777F1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P-ZLTC-SCOS-JSC-005-60-001</w:t>
            </w:r>
          </w:p>
        </w:tc>
        <w:tc>
          <w:tcPr>
            <w:tcW w:w="945" w:type="dxa"/>
            <w:tcBorders>
              <w:top w:val="nil"/>
              <w:left w:val="nil"/>
              <w:bottom w:val="nil"/>
              <w:right w:val="nil"/>
            </w:tcBorders>
            <w:shd w:val="clear" w:color="auto" w:fill="auto"/>
            <w:vAlign w:val="center"/>
          </w:tcPr>
          <w:p w14:paraId="432993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确认责任人并派发处置任务规则</w:t>
            </w:r>
          </w:p>
        </w:tc>
        <w:tc>
          <w:tcPr>
            <w:tcW w:w="966" w:type="dxa"/>
            <w:tcBorders>
              <w:top w:val="nil"/>
              <w:left w:val="nil"/>
              <w:bottom w:val="nil"/>
              <w:right w:val="nil"/>
            </w:tcBorders>
            <w:shd w:val="clear" w:color="auto" w:fill="auto"/>
            <w:vAlign w:val="center"/>
          </w:tcPr>
          <w:p w14:paraId="0F1C4B8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B7571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供应链预警分级与处置派发</w:t>
            </w:r>
          </w:p>
        </w:tc>
        <w:tc>
          <w:tcPr>
            <w:tcW w:w="1098" w:type="dxa"/>
            <w:tcBorders>
              <w:top w:val="nil"/>
              <w:left w:val="nil"/>
              <w:bottom w:val="nil"/>
              <w:right w:val="nil"/>
            </w:tcBorders>
            <w:shd w:val="clear" w:color="auto" w:fill="auto"/>
            <w:vAlign w:val="center"/>
          </w:tcPr>
          <w:p w14:paraId="4C1020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需要发起处置时</w:t>
            </w:r>
          </w:p>
        </w:tc>
        <w:tc>
          <w:tcPr>
            <w:tcW w:w="1406" w:type="dxa"/>
            <w:tcBorders>
              <w:top w:val="nil"/>
              <w:left w:val="nil"/>
              <w:bottom w:val="nil"/>
              <w:right w:val="nil"/>
            </w:tcBorders>
            <w:shd w:val="clear" w:color="auto" w:fill="auto"/>
            <w:vAlign w:val="center"/>
          </w:tcPr>
          <w:p w14:paraId="499080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核实责任人、时限和处置要求后派发；责任人不接受时重新分派。</w:t>
            </w:r>
          </w:p>
        </w:tc>
        <w:tc>
          <w:tcPr>
            <w:tcW w:w="1088" w:type="dxa"/>
            <w:tcBorders>
              <w:top w:val="nil"/>
              <w:left w:val="nil"/>
              <w:bottom w:val="nil"/>
              <w:right w:val="nil"/>
            </w:tcBorders>
            <w:shd w:val="clear" w:color="auto" w:fill="auto"/>
            <w:vAlign w:val="center"/>
          </w:tcPr>
          <w:p w14:paraId="489C5E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已派发处置任务</w:t>
            </w:r>
          </w:p>
        </w:tc>
        <w:tc>
          <w:tcPr>
            <w:tcW w:w="1460" w:type="dxa"/>
            <w:tcBorders>
              <w:top w:val="nil"/>
              <w:left w:val="nil"/>
              <w:bottom w:val="nil"/>
              <w:right w:val="nil"/>
            </w:tcBorders>
            <w:shd w:val="clear" w:color="auto" w:fill="auto"/>
            <w:vAlign w:val="center"/>
          </w:tcPr>
          <w:p w14:paraId="1C5683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B8474">
        <w:trPr>
          <w:cantSplit/>
          <w:trHeight w:val="0" w:hRule="atLeast"/>
          <w:jc w:val="center"/>
        </w:trPr>
        <w:tc>
          <w:tcPr>
            <w:tcW w:w="2944" w:type="dxa"/>
            <w:tcBorders>
              <w:top w:val="nil"/>
              <w:left w:val="nil"/>
              <w:bottom w:val="nil"/>
              <w:right w:val="nil"/>
            </w:tcBorders>
            <w:shd w:val="clear" w:color="auto" w:fill="auto"/>
            <w:vAlign w:val="center"/>
          </w:tcPr>
          <w:p w14:paraId="70F44A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P-ZLTC-SCOS-JSC-005-70-001</w:t>
            </w:r>
          </w:p>
        </w:tc>
        <w:tc>
          <w:tcPr>
            <w:tcW w:w="945" w:type="dxa"/>
            <w:tcBorders>
              <w:top w:val="nil"/>
              <w:left w:val="nil"/>
              <w:bottom w:val="nil"/>
              <w:right w:val="nil"/>
            </w:tcBorders>
            <w:shd w:val="clear" w:color="auto" w:fill="auto"/>
            <w:vAlign w:val="center"/>
          </w:tcPr>
          <w:p w14:paraId="68FDD7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记录派发结果并进入跟踪队列规则</w:t>
            </w:r>
          </w:p>
        </w:tc>
        <w:tc>
          <w:tcPr>
            <w:tcW w:w="966" w:type="dxa"/>
            <w:tcBorders>
              <w:top w:val="nil"/>
              <w:left w:val="nil"/>
              <w:bottom w:val="nil"/>
              <w:right w:val="nil"/>
            </w:tcBorders>
            <w:shd w:val="clear" w:color="auto" w:fill="auto"/>
            <w:vAlign w:val="center"/>
          </w:tcPr>
          <w:p w14:paraId="635F1C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1F65B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1A9851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已派发处置任务形成后</w:t>
            </w:r>
          </w:p>
        </w:tc>
        <w:tc>
          <w:tcPr>
            <w:tcW w:w="1406" w:type="dxa"/>
            <w:tcBorders>
              <w:top w:val="nil"/>
              <w:left w:val="nil"/>
              <w:bottom w:val="nil"/>
              <w:right w:val="nil"/>
            </w:tcBorders>
            <w:shd w:val="clear" w:color="auto" w:fill="auto"/>
            <w:vAlign w:val="center"/>
          </w:tcPr>
          <w:p w14:paraId="3BCDE5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保存分级、影响、责任人、时限和派发轨迹；通知失败不丢失任务，并按规则重试。</w:t>
            </w:r>
          </w:p>
        </w:tc>
        <w:tc>
          <w:tcPr>
            <w:tcW w:w="1088" w:type="dxa"/>
            <w:tcBorders>
              <w:top w:val="nil"/>
              <w:left w:val="nil"/>
              <w:bottom w:val="nil"/>
              <w:right w:val="nil"/>
            </w:tcBorders>
            <w:shd w:val="clear" w:color="auto" w:fill="auto"/>
            <w:vAlign w:val="center"/>
          </w:tcPr>
          <w:p w14:paraId="1BF6F97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待处置预警任务</w:t>
            </w:r>
          </w:p>
        </w:tc>
        <w:tc>
          <w:tcPr>
            <w:tcW w:w="1460" w:type="dxa"/>
            <w:tcBorders>
              <w:top w:val="nil"/>
              <w:left w:val="nil"/>
              <w:bottom w:val="nil"/>
              <w:right w:val="nil"/>
            </w:tcBorders>
            <w:shd w:val="clear" w:color="auto" w:fill="auto"/>
            <w:vAlign w:val="center"/>
          </w:tcPr>
          <w:p w14:paraId="57DCF8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E6D7BE">
        <w:trPr>
          <w:cantSplit/>
          <w:trHeight w:val="0" w:hRule="atLeast"/>
          <w:jc w:val="center"/>
        </w:trPr>
        <w:tc>
          <w:tcPr>
            <w:tcW w:w="2944" w:type="dxa"/>
            <w:tcBorders>
              <w:top w:val="nil"/>
              <w:left w:val="nil"/>
              <w:bottom w:val="nil"/>
              <w:right w:val="nil"/>
            </w:tcBorders>
            <w:shd w:val="clear" w:color="auto" w:fill="auto"/>
            <w:vAlign w:val="center"/>
          </w:tcPr>
          <w:p w14:paraId="134DFA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P-ZLTC-SCOS-JSC-006-10-001</w:t>
            </w:r>
          </w:p>
        </w:tc>
        <w:tc>
          <w:tcPr>
            <w:tcW w:w="945" w:type="dxa"/>
            <w:tcBorders>
              <w:top w:val="nil"/>
              <w:left w:val="nil"/>
              <w:bottom w:val="nil"/>
              <w:right w:val="nil"/>
            </w:tcBorders>
            <w:shd w:val="clear" w:color="auto" w:fill="auto"/>
            <w:vAlign w:val="center"/>
          </w:tcPr>
          <w:p w14:paraId="1B09CC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接收处置任务并确认影响与要求规则</w:t>
            </w:r>
          </w:p>
        </w:tc>
        <w:tc>
          <w:tcPr>
            <w:tcW w:w="966" w:type="dxa"/>
            <w:tcBorders>
              <w:top w:val="nil"/>
              <w:left w:val="nil"/>
              <w:bottom w:val="nil"/>
              <w:right w:val="nil"/>
            </w:tcBorders>
            <w:shd w:val="clear" w:color="auto" w:fill="auto"/>
            <w:vAlign w:val="center"/>
          </w:tcPr>
          <w:p w14:paraId="08BAD2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DACA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107E6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责任人收到任务后</w:t>
            </w:r>
          </w:p>
        </w:tc>
        <w:tc>
          <w:tcPr>
            <w:tcW w:w="1406" w:type="dxa"/>
            <w:tcBorders>
              <w:top w:val="nil"/>
              <w:left w:val="nil"/>
              <w:bottom w:val="nil"/>
              <w:right w:val="nil"/>
            </w:tcBorders>
            <w:shd w:val="clear" w:color="auto" w:fill="auto"/>
            <w:vAlign w:val="center"/>
          </w:tcPr>
          <w:p w14:paraId="7B138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核实异常对象、影响范围、处置要求和承诺完成时间；信息不足时退回运营管理人员补充。</w:t>
            </w:r>
          </w:p>
        </w:tc>
        <w:tc>
          <w:tcPr>
            <w:tcW w:w="1088" w:type="dxa"/>
            <w:tcBorders>
              <w:top w:val="nil"/>
              <w:left w:val="nil"/>
              <w:bottom w:val="nil"/>
              <w:right w:val="nil"/>
            </w:tcBorders>
            <w:shd w:val="clear" w:color="auto" w:fill="auto"/>
            <w:vAlign w:val="center"/>
          </w:tcPr>
          <w:p w14:paraId="251BD5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任务接收记录</w:t>
            </w:r>
          </w:p>
        </w:tc>
        <w:tc>
          <w:tcPr>
            <w:tcW w:w="1460" w:type="dxa"/>
            <w:tcBorders>
              <w:top w:val="nil"/>
              <w:left w:val="nil"/>
              <w:bottom w:val="nil"/>
              <w:right w:val="nil"/>
            </w:tcBorders>
            <w:shd w:val="clear" w:color="auto" w:fill="auto"/>
            <w:vAlign w:val="center"/>
          </w:tcPr>
          <w:p w14:paraId="3C0384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F9CACC5">
        <w:trPr>
          <w:cantSplit/>
          <w:trHeight w:val="0" w:hRule="atLeast"/>
          <w:jc w:val="center"/>
        </w:trPr>
        <w:tc>
          <w:tcPr>
            <w:tcW w:w="2944" w:type="dxa"/>
            <w:tcBorders>
              <w:top w:val="nil"/>
              <w:left w:val="nil"/>
              <w:bottom w:val="nil"/>
              <w:right w:val="nil"/>
            </w:tcBorders>
            <w:shd w:val="clear" w:color="auto" w:fill="auto"/>
            <w:vAlign w:val="center"/>
          </w:tcPr>
          <w:p w14:paraId="59D9C6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P-ZLTC-SCOS-JSC-006-20-001</w:t>
            </w:r>
          </w:p>
        </w:tc>
        <w:tc>
          <w:tcPr>
            <w:tcW w:w="945" w:type="dxa"/>
            <w:tcBorders>
              <w:top w:val="nil"/>
              <w:left w:val="nil"/>
              <w:bottom w:val="nil"/>
              <w:right w:val="nil"/>
            </w:tcBorders>
            <w:shd w:val="clear" w:color="auto" w:fill="auto"/>
            <w:vAlign w:val="center"/>
          </w:tcPr>
          <w:p w14:paraId="62DB65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执行业务处置并反馈进展结果规则</w:t>
            </w:r>
          </w:p>
        </w:tc>
        <w:tc>
          <w:tcPr>
            <w:tcW w:w="966" w:type="dxa"/>
            <w:tcBorders>
              <w:top w:val="nil"/>
              <w:left w:val="nil"/>
              <w:bottom w:val="nil"/>
              <w:right w:val="nil"/>
            </w:tcBorders>
            <w:shd w:val="clear" w:color="auto" w:fill="auto"/>
            <w:vAlign w:val="center"/>
          </w:tcPr>
          <w:p w14:paraId="29CEE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289C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4E26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任务接收记录形成后</w:t>
            </w:r>
          </w:p>
        </w:tc>
        <w:tc>
          <w:tcPr>
            <w:tcW w:w="1406" w:type="dxa"/>
            <w:tcBorders>
              <w:top w:val="nil"/>
              <w:left w:val="nil"/>
              <w:bottom w:val="nil"/>
              <w:right w:val="nil"/>
            </w:tcBorders>
            <w:shd w:val="clear" w:color="auto" w:fill="auto"/>
            <w:vAlign w:val="center"/>
          </w:tcPr>
          <w:p w14:paraId="091BBB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在相关模块完成采购、补货、排程或质量等业务处置；处置受阻时说明原因和所需协同资源。</w:t>
            </w:r>
          </w:p>
        </w:tc>
        <w:tc>
          <w:tcPr>
            <w:tcW w:w="1088" w:type="dxa"/>
            <w:tcBorders>
              <w:top w:val="nil"/>
              <w:left w:val="nil"/>
              <w:bottom w:val="nil"/>
              <w:right w:val="nil"/>
            </w:tcBorders>
            <w:shd w:val="clear" w:color="auto" w:fill="auto"/>
            <w:vAlign w:val="center"/>
          </w:tcPr>
          <w:p w14:paraId="211530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处置动作、进展、结果和证据</w:t>
            </w:r>
          </w:p>
        </w:tc>
        <w:tc>
          <w:tcPr>
            <w:tcW w:w="1460" w:type="dxa"/>
            <w:tcBorders>
              <w:top w:val="nil"/>
              <w:left w:val="nil"/>
              <w:bottom w:val="nil"/>
              <w:right w:val="nil"/>
            </w:tcBorders>
            <w:shd w:val="clear" w:color="auto" w:fill="auto"/>
            <w:vAlign w:val="center"/>
          </w:tcPr>
          <w:p w14:paraId="7CD283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FEFF54">
        <w:trPr>
          <w:cantSplit/>
          <w:trHeight w:val="0" w:hRule="atLeast"/>
          <w:jc w:val="center"/>
        </w:trPr>
        <w:tc>
          <w:tcPr>
            <w:tcW w:w="2944" w:type="dxa"/>
            <w:tcBorders>
              <w:top w:val="nil"/>
              <w:left w:val="nil"/>
              <w:bottom w:val="nil"/>
              <w:right w:val="nil"/>
            </w:tcBorders>
            <w:shd w:val="clear" w:color="auto" w:fill="auto"/>
            <w:vAlign w:val="center"/>
          </w:tcPr>
          <w:p w14:paraId="0937E6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P-ZLTC-SCOS-JSC-006-30-001</w:t>
            </w:r>
          </w:p>
        </w:tc>
        <w:tc>
          <w:tcPr>
            <w:tcW w:w="945" w:type="dxa"/>
            <w:tcBorders>
              <w:top w:val="nil"/>
              <w:left w:val="nil"/>
              <w:bottom w:val="nil"/>
              <w:right w:val="nil"/>
            </w:tcBorders>
            <w:shd w:val="clear" w:color="auto" w:fill="auto"/>
            <w:vAlign w:val="center"/>
          </w:tcPr>
          <w:p w14:paraId="2B3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跟踪处置进度与指标恢复情况规则</w:t>
            </w:r>
          </w:p>
        </w:tc>
        <w:tc>
          <w:tcPr>
            <w:tcW w:w="966" w:type="dxa"/>
            <w:tcBorders>
              <w:top w:val="nil"/>
              <w:left w:val="nil"/>
              <w:bottom w:val="nil"/>
              <w:right w:val="nil"/>
            </w:tcBorders>
            <w:shd w:val="clear" w:color="auto" w:fill="auto"/>
            <w:vAlign w:val="center"/>
          </w:tcPr>
          <w:p w14:paraId="7B4ABA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C7CE8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16EA9A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处置动作、进展、结果和证据形成后</w:t>
            </w:r>
          </w:p>
        </w:tc>
        <w:tc>
          <w:tcPr>
            <w:tcW w:w="1406" w:type="dxa"/>
            <w:tcBorders>
              <w:top w:val="nil"/>
              <w:left w:val="nil"/>
              <w:bottom w:val="nil"/>
              <w:right w:val="nil"/>
            </w:tcBorders>
            <w:shd w:val="clear" w:color="auto" w:fill="auto"/>
            <w:vAlign w:val="center"/>
          </w:tcPr>
          <w:p w14:paraId="7FF88E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持续比较处置时限、业务对象状态和指标恢复情况；数据延迟时明确标注最近更新时间。</w:t>
            </w:r>
          </w:p>
        </w:tc>
        <w:tc>
          <w:tcPr>
            <w:tcW w:w="1088" w:type="dxa"/>
            <w:tcBorders>
              <w:top w:val="nil"/>
              <w:left w:val="nil"/>
              <w:bottom w:val="nil"/>
              <w:right w:val="nil"/>
            </w:tcBorders>
            <w:shd w:val="clear" w:color="auto" w:fill="auto"/>
            <w:vAlign w:val="center"/>
          </w:tcPr>
          <w:p w14:paraId="03A592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进度与恢复状态</w:t>
            </w:r>
          </w:p>
        </w:tc>
        <w:tc>
          <w:tcPr>
            <w:tcW w:w="1460" w:type="dxa"/>
            <w:tcBorders>
              <w:top w:val="nil"/>
              <w:left w:val="nil"/>
              <w:bottom w:val="nil"/>
              <w:right w:val="nil"/>
            </w:tcBorders>
            <w:shd w:val="clear" w:color="auto" w:fill="auto"/>
            <w:vAlign w:val="center"/>
          </w:tcPr>
          <w:p w14:paraId="6ED59A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E0DBEC">
        <w:trPr>
          <w:cantSplit/>
          <w:trHeight w:val="0" w:hRule="atLeast"/>
          <w:jc w:val="center"/>
        </w:trPr>
        <w:tc>
          <w:tcPr>
            <w:tcW w:w="2944" w:type="dxa"/>
            <w:tcBorders>
              <w:top w:val="nil"/>
              <w:left w:val="nil"/>
              <w:bottom w:val="nil"/>
              <w:right w:val="nil"/>
            </w:tcBorders>
            <w:shd w:val="clear" w:color="auto" w:fill="auto"/>
            <w:vAlign w:val="center"/>
          </w:tcPr>
          <w:p w14:paraId="61449E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P-ZLTC-SCOS-JSC-006-40-001</w:t>
            </w:r>
          </w:p>
        </w:tc>
        <w:tc>
          <w:tcPr>
            <w:tcW w:w="945" w:type="dxa"/>
            <w:tcBorders>
              <w:top w:val="nil"/>
              <w:left w:val="nil"/>
              <w:bottom w:val="nil"/>
              <w:right w:val="nil"/>
            </w:tcBorders>
            <w:shd w:val="clear" w:color="auto" w:fill="auto"/>
            <w:vAlign w:val="center"/>
          </w:tcPr>
          <w:p w14:paraId="1B9D78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判断是否超时或处置失败规则</w:t>
            </w:r>
          </w:p>
        </w:tc>
        <w:tc>
          <w:tcPr>
            <w:tcW w:w="966" w:type="dxa"/>
            <w:tcBorders>
              <w:top w:val="nil"/>
              <w:left w:val="nil"/>
              <w:bottom w:val="nil"/>
              <w:right w:val="nil"/>
            </w:tcBorders>
            <w:shd w:val="clear" w:color="auto" w:fill="auto"/>
            <w:vAlign w:val="center"/>
          </w:tcPr>
          <w:p w14:paraId="3D4A8E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9B026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2864D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进度与恢复状态形成后</w:t>
            </w:r>
          </w:p>
        </w:tc>
        <w:tc>
          <w:tcPr>
            <w:tcW w:w="1406" w:type="dxa"/>
            <w:tcBorders>
              <w:top w:val="nil"/>
              <w:left w:val="nil"/>
              <w:bottom w:val="nil"/>
              <w:right w:val="nil"/>
            </w:tcBorders>
            <w:shd w:val="clear" w:color="auto" w:fill="auto"/>
            <w:vAlign w:val="center"/>
          </w:tcPr>
          <w:p w14:paraId="740230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识别超时、失败或影响扩大的任务；未超时且处置未失败时继续跟踪；超时或处置失败时继续处理。</w:t>
            </w:r>
          </w:p>
        </w:tc>
        <w:tc>
          <w:tcPr>
            <w:tcW w:w="1088" w:type="dxa"/>
            <w:tcBorders>
              <w:top w:val="nil"/>
              <w:left w:val="nil"/>
              <w:bottom w:val="nil"/>
              <w:right w:val="nil"/>
            </w:tcBorders>
            <w:shd w:val="clear" w:color="auto" w:fill="auto"/>
            <w:vAlign w:val="center"/>
          </w:tcPr>
          <w:p w14:paraId="0A62D0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升级判断</w:t>
            </w:r>
          </w:p>
        </w:tc>
        <w:tc>
          <w:tcPr>
            <w:tcW w:w="1460" w:type="dxa"/>
            <w:tcBorders>
              <w:top w:val="nil"/>
              <w:left w:val="nil"/>
              <w:bottom w:val="nil"/>
              <w:right w:val="nil"/>
            </w:tcBorders>
            <w:shd w:val="clear" w:color="auto" w:fill="auto"/>
            <w:vAlign w:val="center"/>
          </w:tcPr>
          <w:p w14:paraId="6B5779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F54C48">
        <w:trPr>
          <w:cantSplit/>
          <w:trHeight w:val="0" w:hRule="atLeast"/>
          <w:jc w:val="center"/>
        </w:trPr>
        <w:tc>
          <w:tcPr>
            <w:tcW w:w="2944" w:type="dxa"/>
            <w:tcBorders>
              <w:top w:val="nil"/>
              <w:left w:val="nil"/>
              <w:bottom w:val="nil"/>
              <w:right w:val="nil"/>
            </w:tcBorders>
            <w:shd w:val="clear" w:color="auto" w:fill="auto"/>
            <w:vAlign w:val="center"/>
          </w:tcPr>
          <w:p w14:paraId="497CC3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P-ZLTC-SCOS-JSC-006-50-001</w:t>
            </w:r>
          </w:p>
        </w:tc>
        <w:tc>
          <w:tcPr>
            <w:tcW w:w="945" w:type="dxa"/>
            <w:tcBorders>
              <w:top w:val="nil"/>
              <w:left w:val="nil"/>
              <w:bottom w:val="nil"/>
              <w:right w:val="nil"/>
            </w:tcBorders>
            <w:shd w:val="clear" w:color="auto" w:fill="auto"/>
            <w:vAlign w:val="center"/>
          </w:tcPr>
          <w:p w14:paraId="50A0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升级提醒并协调处置资源规则</w:t>
            </w:r>
          </w:p>
        </w:tc>
        <w:tc>
          <w:tcPr>
            <w:tcW w:w="966" w:type="dxa"/>
            <w:tcBorders>
              <w:top w:val="nil"/>
              <w:left w:val="nil"/>
              <w:bottom w:val="nil"/>
              <w:right w:val="nil"/>
            </w:tcBorders>
            <w:shd w:val="clear" w:color="auto" w:fill="auto"/>
            <w:vAlign w:val="center"/>
          </w:tcPr>
          <w:p w14:paraId="0E2272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B4B7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6F18D1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超时或处置失败时</w:t>
            </w:r>
          </w:p>
        </w:tc>
        <w:tc>
          <w:tcPr>
            <w:tcW w:w="1406" w:type="dxa"/>
            <w:tcBorders>
              <w:top w:val="nil"/>
              <w:left w:val="nil"/>
              <w:bottom w:val="nil"/>
              <w:right w:val="nil"/>
            </w:tcBorders>
            <w:shd w:val="clear" w:color="auto" w:fill="auto"/>
            <w:vAlign w:val="center"/>
          </w:tcPr>
          <w:p w14:paraId="3C2F06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按预警级别升级提醒，协调跨部门资源或调整处置责任；无法协调时保持升级状态并持续提醒。</w:t>
            </w:r>
          </w:p>
        </w:tc>
        <w:tc>
          <w:tcPr>
            <w:tcW w:w="1088" w:type="dxa"/>
            <w:tcBorders>
              <w:top w:val="nil"/>
              <w:left w:val="nil"/>
              <w:bottom w:val="nil"/>
              <w:right w:val="nil"/>
            </w:tcBorders>
            <w:shd w:val="clear" w:color="auto" w:fill="auto"/>
            <w:vAlign w:val="center"/>
          </w:tcPr>
          <w:p w14:paraId="0E9765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升级要求和协调意见</w:t>
            </w:r>
          </w:p>
        </w:tc>
        <w:tc>
          <w:tcPr>
            <w:tcW w:w="1460" w:type="dxa"/>
            <w:tcBorders>
              <w:top w:val="nil"/>
              <w:left w:val="nil"/>
              <w:bottom w:val="nil"/>
              <w:right w:val="nil"/>
            </w:tcBorders>
            <w:shd w:val="clear" w:color="auto" w:fill="auto"/>
            <w:vAlign w:val="center"/>
          </w:tcPr>
          <w:p w14:paraId="01E71BC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8DE9EF">
        <w:trPr>
          <w:cantSplit/>
          <w:trHeight w:val="0" w:hRule="atLeast"/>
          <w:jc w:val="center"/>
        </w:trPr>
        <w:tc>
          <w:tcPr>
            <w:tcW w:w="2944" w:type="dxa"/>
            <w:tcBorders>
              <w:top w:val="nil"/>
              <w:left w:val="nil"/>
              <w:bottom w:val="nil"/>
              <w:right w:val="nil"/>
            </w:tcBorders>
            <w:shd w:val="clear" w:color="auto" w:fill="auto"/>
            <w:vAlign w:val="center"/>
          </w:tcPr>
          <w:p w14:paraId="1E83A2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P-ZLTC-SCOS-JSC-006-60-001</w:t>
            </w:r>
          </w:p>
        </w:tc>
        <w:tc>
          <w:tcPr>
            <w:tcW w:w="945" w:type="dxa"/>
            <w:tcBorders>
              <w:top w:val="nil"/>
              <w:left w:val="nil"/>
              <w:bottom w:val="nil"/>
              <w:right w:val="nil"/>
            </w:tcBorders>
            <w:shd w:val="clear" w:color="auto" w:fill="auto"/>
            <w:vAlign w:val="center"/>
          </w:tcPr>
          <w:p w14:paraId="476E7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判断风险是否验证关闭规则</w:t>
            </w:r>
          </w:p>
        </w:tc>
        <w:tc>
          <w:tcPr>
            <w:tcW w:w="966" w:type="dxa"/>
            <w:tcBorders>
              <w:top w:val="nil"/>
              <w:left w:val="nil"/>
              <w:bottom w:val="nil"/>
              <w:right w:val="nil"/>
            </w:tcBorders>
            <w:shd w:val="clear" w:color="auto" w:fill="auto"/>
            <w:vAlign w:val="center"/>
          </w:tcPr>
          <w:p w14:paraId="537E7A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AA36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F0DE1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升级要求和协调意见形成后</w:t>
            </w:r>
          </w:p>
        </w:tc>
        <w:tc>
          <w:tcPr>
            <w:tcW w:w="1406" w:type="dxa"/>
            <w:tcBorders>
              <w:top w:val="nil"/>
              <w:left w:val="nil"/>
              <w:bottom w:val="nil"/>
              <w:right w:val="nil"/>
            </w:tcBorders>
            <w:shd w:val="clear" w:color="auto" w:fill="auto"/>
            <w:vAlign w:val="center"/>
          </w:tcPr>
          <w:p w14:paraId="1F0A61D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以异常原因已处理、影响可控且指标恢复为关闭标准；风险尚未验证关闭时退回继续处置；风险验证关闭时继续处理。</w:t>
            </w:r>
          </w:p>
        </w:tc>
        <w:tc>
          <w:tcPr>
            <w:tcW w:w="1088" w:type="dxa"/>
            <w:tcBorders>
              <w:top w:val="nil"/>
              <w:left w:val="nil"/>
              <w:bottom w:val="nil"/>
              <w:right w:val="nil"/>
            </w:tcBorders>
            <w:shd w:val="clear" w:color="auto" w:fill="auto"/>
            <w:vAlign w:val="center"/>
          </w:tcPr>
          <w:p w14:paraId="3DB9F0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关闭验证结论</w:t>
            </w:r>
          </w:p>
        </w:tc>
        <w:tc>
          <w:tcPr>
            <w:tcW w:w="1460" w:type="dxa"/>
            <w:tcBorders>
              <w:top w:val="nil"/>
              <w:left w:val="nil"/>
              <w:bottom w:val="nil"/>
              <w:right w:val="nil"/>
            </w:tcBorders>
            <w:shd w:val="clear" w:color="auto" w:fill="auto"/>
            <w:vAlign w:val="center"/>
          </w:tcPr>
          <w:p w14:paraId="5DF8C4F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71815E">
        <w:trPr>
          <w:cantSplit/>
          <w:trHeight w:val="0" w:hRule="atLeast"/>
          <w:jc w:val="center"/>
        </w:trPr>
        <w:tc>
          <w:tcPr>
            <w:tcW w:w="2944" w:type="dxa"/>
            <w:tcBorders>
              <w:top w:val="nil"/>
              <w:left w:val="nil"/>
              <w:bottom w:val="nil"/>
              <w:right w:val="nil"/>
            </w:tcBorders>
            <w:shd w:val="clear" w:color="auto" w:fill="auto"/>
            <w:vAlign w:val="center"/>
          </w:tcPr>
          <w:p w14:paraId="10C806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P-ZLTC-SCOS-JSC-006-70-001</w:t>
            </w:r>
          </w:p>
        </w:tc>
        <w:tc>
          <w:tcPr>
            <w:tcW w:w="945" w:type="dxa"/>
            <w:tcBorders>
              <w:top w:val="nil"/>
              <w:left w:val="nil"/>
              <w:bottom w:val="nil"/>
              <w:right w:val="nil"/>
            </w:tcBorders>
            <w:shd w:val="clear" w:color="auto" w:fill="auto"/>
            <w:vAlign w:val="center"/>
          </w:tcPr>
          <w:p w14:paraId="066EA7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关闭预警并记录完整轨迹规则</w:t>
            </w:r>
          </w:p>
        </w:tc>
        <w:tc>
          <w:tcPr>
            <w:tcW w:w="966" w:type="dxa"/>
            <w:tcBorders>
              <w:top w:val="nil"/>
              <w:left w:val="nil"/>
              <w:bottom w:val="nil"/>
              <w:right w:val="nil"/>
            </w:tcBorders>
            <w:shd w:val="clear" w:color="auto" w:fill="auto"/>
            <w:vAlign w:val="center"/>
          </w:tcPr>
          <w:p w14:paraId="3C8971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22A78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1053A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风险验证关闭时</w:t>
            </w:r>
          </w:p>
        </w:tc>
        <w:tc>
          <w:tcPr>
            <w:tcW w:w="1406" w:type="dxa"/>
            <w:tcBorders>
              <w:top w:val="nil"/>
              <w:left w:val="nil"/>
              <w:bottom w:val="nil"/>
              <w:right w:val="nil"/>
            </w:tcBorders>
            <w:shd w:val="clear" w:color="auto" w:fill="auto"/>
            <w:vAlign w:val="center"/>
          </w:tcPr>
          <w:p w14:paraId="3EE9D9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保留事件、分级、派发、处置、升级、验证和关闭全过程；同类事件再次触发时创建新事件并关联历史记录。</w:t>
            </w:r>
          </w:p>
        </w:tc>
        <w:tc>
          <w:tcPr>
            <w:tcW w:w="1088" w:type="dxa"/>
            <w:tcBorders>
              <w:top w:val="nil"/>
              <w:left w:val="nil"/>
              <w:bottom w:val="nil"/>
              <w:right w:val="nil"/>
            </w:tcBorders>
            <w:shd w:val="clear" w:color="auto" w:fill="auto"/>
            <w:vAlign w:val="center"/>
          </w:tcPr>
          <w:p w14:paraId="429E1D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已关闭预警和闭环记录</w:t>
            </w:r>
          </w:p>
        </w:tc>
        <w:tc>
          <w:tcPr>
            <w:tcW w:w="1460" w:type="dxa"/>
            <w:tcBorders>
              <w:top w:val="nil"/>
              <w:left w:val="nil"/>
              <w:bottom w:val="nil"/>
              <w:right w:val="nil"/>
            </w:tcBorders>
            <w:shd w:val="clear" w:color="auto" w:fill="auto"/>
            <w:vAlign w:val="center"/>
          </w:tcPr>
          <w:p w14:paraId="7F2FF5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471B6F">
        <w:trPr>
          <w:cantSplit/>
          <w:trHeight w:val="0" w:hRule="atLeast"/>
          <w:jc w:val="center"/>
        </w:trPr>
        <w:tc>
          <w:tcPr>
            <w:tcW w:w="2944" w:type="dxa"/>
            <w:tcBorders>
              <w:top w:val="nil"/>
              <w:left w:val="nil"/>
              <w:bottom w:val="nil"/>
              <w:right w:val="nil"/>
            </w:tcBorders>
            <w:shd w:val="clear" w:color="auto" w:fill="auto"/>
            <w:vAlign w:val="center"/>
          </w:tcPr>
          <w:p w14:paraId="77FB74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P-ZLTC-SCOS-JSC-007-10-001</w:t>
            </w:r>
          </w:p>
        </w:tc>
        <w:tc>
          <w:tcPr>
            <w:tcW w:w="945" w:type="dxa"/>
            <w:tcBorders>
              <w:top w:val="nil"/>
              <w:left w:val="nil"/>
              <w:bottom w:val="nil"/>
              <w:right w:val="nil"/>
            </w:tcBorders>
            <w:shd w:val="clear" w:color="auto" w:fill="auto"/>
            <w:vAlign w:val="center"/>
          </w:tcPr>
          <w:p w14:paraId="4F7146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选择模拟情景并设定假设参数规则</w:t>
            </w:r>
          </w:p>
        </w:tc>
        <w:tc>
          <w:tcPr>
            <w:tcW w:w="966" w:type="dxa"/>
            <w:tcBorders>
              <w:top w:val="nil"/>
              <w:left w:val="nil"/>
              <w:bottom w:val="nil"/>
              <w:right w:val="nil"/>
            </w:tcBorders>
            <w:shd w:val="clear" w:color="auto" w:fill="auto"/>
            <w:vAlign w:val="center"/>
          </w:tcPr>
          <w:p w14:paraId="7AD8C0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5676D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D3E9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管理人员主动发起假设分析，或从态势监测、异常分析和预警进入沙盘推演时</w:t>
            </w:r>
          </w:p>
        </w:tc>
        <w:tc>
          <w:tcPr>
            <w:tcW w:w="1406" w:type="dxa"/>
            <w:tcBorders>
              <w:top w:val="nil"/>
              <w:left w:val="nil"/>
              <w:bottom w:val="nil"/>
              <w:right w:val="nil"/>
            </w:tcBorders>
            <w:shd w:val="clear" w:color="auto" w:fill="auto"/>
            <w:vAlign w:val="center"/>
          </w:tcPr>
          <w:p w14:paraId="6C52BD9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选择需求、供应、采购、成本或库存策略等模拟情景；参数超出可模拟边界时提示修改。</w:t>
            </w:r>
          </w:p>
        </w:tc>
        <w:tc>
          <w:tcPr>
            <w:tcW w:w="1088" w:type="dxa"/>
            <w:tcBorders>
              <w:top w:val="nil"/>
              <w:left w:val="nil"/>
              <w:bottom w:val="nil"/>
              <w:right w:val="nil"/>
            </w:tcBorders>
            <w:shd w:val="clear" w:color="auto" w:fill="auto"/>
            <w:vAlign w:val="center"/>
          </w:tcPr>
          <w:p w14:paraId="2DE515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情景模拟任务</w:t>
            </w:r>
          </w:p>
        </w:tc>
        <w:tc>
          <w:tcPr>
            <w:tcW w:w="1460" w:type="dxa"/>
            <w:tcBorders>
              <w:top w:val="nil"/>
              <w:left w:val="nil"/>
              <w:bottom w:val="nil"/>
              <w:right w:val="nil"/>
            </w:tcBorders>
            <w:shd w:val="clear" w:color="auto" w:fill="auto"/>
            <w:vAlign w:val="center"/>
          </w:tcPr>
          <w:p w14:paraId="7BFD9E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370865">
        <w:trPr>
          <w:cantSplit/>
          <w:trHeight w:val="0" w:hRule="atLeast"/>
          <w:jc w:val="center"/>
        </w:trPr>
        <w:tc>
          <w:tcPr>
            <w:tcW w:w="2944" w:type="dxa"/>
            <w:tcBorders>
              <w:top w:val="nil"/>
              <w:left w:val="nil"/>
              <w:bottom w:val="nil"/>
              <w:right w:val="nil"/>
            </w:tcBorders>
            <w:shd w:val="clear" w:color="auto" w:fill="auto"/>
            <w:vAlign w:val="center"/>
          </w:tcPr>
          <w:p w14:paraId="20C230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P-ZLTC-SCOS-JSC-007-20-001</w:t>
            </w:r>
          </w:p>
        </w:tc>
        <w:tc>
          <w:tcPr>
            <w:tcW w:w="945" w:type="dxa"/>
            <w:tcBorders>
              <w:top w:val="nil"/>
              <w:left w:val="nil"/>
              <w:bottom w:val="nil"/>
              <w:right w:val="nil"/>
            </w:tcBorders>
            <w:shd w:val="clear" w:color="auto" w:fill="auto"/>
            <w:vAlign w:val="center"/>
          </w:tcPr>
          <w:p w14:paraId="56E0B0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冻结当前基线并构建沙盘快照规则</w:t>
            </w:r>
          </w:p>
        </w:tc>
        <w:tc>
          <w:tcPr>
            <w:tcW w:w="966" w:type="dxa"/>
            <w:tcBorders>
              <w:top w:val="nil"/>
              <w:left w:val="nil"/>
              <w:bottom w:val="nil"/>
              <w:right w:val="nil"/>
            </w:tcBorders>
            <w:shd w:val="clear" w:color="auto" w:fill="auto"/>
            <w:vAlign w:val="center"/>
          </w:tcPr>
          <w:p w14:paraId="78BEE3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9A933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046A8F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情景模拟任务形成后</w:t>
            </w:r>
          </w:p>
        </w:tc>
        <w:tc>
          <w:tcPr>
            <w:tcW w:w="1406" w:type="dxa"/>
            <w:tcBorders>
              <w:top w:val="nil"/>
              <w:left w:val="nil"/>
              <w:bottom w:val="nil"/>
              <w:right w:val="nil"/>
            </w:tcBorders>
            <w:shd w:val="clear" w:color="auto" w:fill="auto"/>
            <w:vAlign w:val="center"/>
          </w:tcPr>
          <w:p w14:paraId="4F93B8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使用同一时点数据作为比较基线；基线不完整或过期时禁止正式比较。</w:t>
            </w:r>
          </w:p>
        </w:tc>
        <w:tc>
          <w:tcPr>
            <w:tcW w:w="1088" w:type="dxa"/>
            <w:tcBorders>
              <w:top w:val="nil"/>
              <w:left w:val="nil"/>
              <w:bottom w:val="nil"/>
              <w:right w:val="nil"/>
            </w:tcBorders>
            <w:shd w:val="clear" w:color="auto" w:fill="auto"/>
            <w:vAlign w:val="center"/>
          </w:tcPr>
          <w:p w14:paraId="7DBE1B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基线方案、数据快照和参数集</w:t>
            </w:r>
          </w:p>
        </w:tc>
        <w:tc>
          <w:tcPr>
            <w:tcW w:w="1460" w:type="dxa"/>
            <w:tcBorders>
              <w:top w:val="nil"/>
              <w:left w:val="nil"/>
              <w:bottom w:val="nil"/>
              <w:right w:val="nil"/>
            </w:tcBorders>
            <w:shd w:val="clear" w:color="auto" w:fill="auto"/>
            <w:vAlign w:val="center"/>
          </w:tcPr>
          <w:p w14:paraId="0FAAB6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0398B">
        <w:trPr>
          <w:cantSplit/>
          <w:trHeight w:val="0" w:hRule="atLeast"/>
          <w:jc w:val="center"/>
        </w:trPr>
        <w:tc>
          <w:tcPr>
            <w:tcW w:w="2944" w:type="dxa"/>
            <w:tcBorders>
              <w:top w:val="nil"/>
              <w:left w:val="nil"/>
              <w:bottom w:val="nil"/>
              <w:right w:val="nil"/>
            </w:tcBorders>
            <w:shd w:val="clear" w:color="auto" w:fill="auto"/>
            <w:vAlign w:val="center"/>
          </w:tcPr>
          <w:p w14:paraId="7249B1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P-ZLTC-SCOS-JSC-007-30-001</w:t>
            </w:r>
          </w:p>
        </w:tc>
        <w:tc>
          <w:tcPr>
            <w:tcW w:w="945" w:type="dxa"/>
            <w:tcBorders>
              <w:top w:val="nil"/>
              <w:left w:val="nil"/>
              <w:bottom w:val="nil"/>
              <w:right w:val="nil"/>
            </w:tcBorders>
            <w:shd w:val="clear" w:color="auto" w:fill="auto"/>
            <w:vAlign w:val="center"/>
          </w:tcPr>
          <w:p w14:paraId="234A1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调用相关业务模型计算规则</w:t>
            </w:r>
          </w:p>
        </w:tc>
        <w:tc>
          <w:tcPr>
            <w:tcW w:w="966" w:type="dxa"/>
            <w:tcBorders>
              <w:top w:val="nil"/>
              <w:left w:val="nil"/>
              <w:bottom w:val="nil"/>
              <w:right w:val="nil"/>
            </w:tcBorders>
            <w:shd w:val="clear" w:color="auto" w:fill="auto"/>
            <w:vAlign w:val="center"/>
          </w:tcPr>
          <w:p w14:paraId="7A10C0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D89E3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21F44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基线方案、数据快照和参数集形成后</w:t>
            </w:r>
          </w:p>
        </w:tc>
        <w:tc>
          <w:tcPr>
            <w:tcW w:w="1406" w:type="dxa"/>
            <w:tcBorders>
              <w:top w:val="nil"/>
              <w:left w:val="nil"/>
              <w:bottom w:val="nil"/>
              <w:right w:val="nil"/>
            </w:tcBorders>
            <w:shd w:val="clear" w:color="auto" w:fill="auto"/>
            <w:vAlign w:val="center"/>
          </w:tcPr>
          <w:p w14:paraId="086080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驾驶舱调用相关业务模块进行情景模拟；计算失败时说明原因，且不改变正式业务数据。</w:t>
            </w:r>
          </w:p>
        </w:tc>
        <w:tc>
          <w:tcPr>
            <w:tcW w:w="1088" w:type="dxa"/>
            <w:tcBorders>
              <w:top w:val="nil"/>
              <w:left w:val="nil"/>
              <w:bottom w:val="nil"/>
              <w:right w:val="nil"/>
            </w:tcBorders>
            <w:shd w:val="clear" w:color="auto" w:fill="auto"/>
            <w:vAlign w:val="center"/>
          </w:tcPr>
          <w:p w14:paraId="55D10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情景计算结果</w:t>
            </w:r>
          </w:p>
        </w:tc>
        <w:tc>
          <w:tcPr>
            <w:tcW w:w="1460" w:type="dxa"/>
            <w:tcBorders>
              <w:top w:val="nil"/>
              <w:left w:val="nil"/>
              <w:bottom w:val="nil"/>
              <w:right w:val="nil"/>
            </w:tcBorders>
            <w:shd w:val="clear" w:color="auto" w:fill="auto"/>
            <w:vAlign w:val="center"/>
          </w:tcPr>
          <w:p w14:paraId="5D6B0F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5CFA7">
        <w:trPr>
          <w:cantSplit/>
          <w:trHeight w:val="0" w:hRule="atLeast"/>
          <w:jc w:val="center"/>
        </w:trPr>
        <w:tc>
          <w:tcPr>
            <w:tcW w:w="2944" w:type="dxa"/>
            <w:tcBorders>
              <w:top w:val="nil"/>
              <w:left w:val="nil"/>
              <w:bottom w:val="nil"/>
              <w:right w:val="nil"/>
            </w:tcBorders>
            <w:shd w:val="clear" w:color="auto" w:fill="auto"/>
            <w:vAlign w:val="center"/>
          </w:tcPr>
          <w:p w14:paraId="6FC9C9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P-ZLTC-SCOS-JSC-007-40-001</w:t>
            </w:r>
          </w:p>
        </w:tc>
        <w:tc>
          <w:tcPr>
            <w:tcW w:w="945" w:type="dxa"/>
            <w:tcBorders>
              <w:top w:val="nil"/>
              <w:left w:val="nil"/>
              <w:bottom w:val="nil"/>
              <w:right w:val="nil"/>
            </w:tcBorders>
            <w:shd w:val="clear" w:color="auto" w:fill="auto"/>
            <w:vAlign w:val="center"/>
          </w:tcPr>
          <w:p w14:paraId="49331D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判断模拟结果是否完整可比规则</w:t>
            </w:r>
          </w:p>
        </w:tc>
        <w:tc>
          <w:tcPr>
            <w:tcW w:w="966" w:type="dxa"/>
            <w:tcBorders>
              <w:top w:val="nil"/>
              <w:left w:val="nil"/>
              <w:bottom w:val="nil"/>
              <w:right w:val="nil"/>
            </w:tcBorders>
            <w:shd w:val="clear" w:color="auto" w:fill="auto"/>
            <w:vAlign w:val="center"/>
          </w:tcPr>
          <w:p w14:paraId="3F13502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6F45A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14CE2E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情景计算结果形成后</w:t>
            </w:r>
          </w:p>
        </w:tc>
        <w:tc>
          <w:tcPr>
            <w:tcW w:w="1406" w:type="dxa"/>
            <w:tcBorders>
              <w:top w:val="nil"/>
              <w:left w:val="nil"/>
              <w:bottom w:val="nil"/>
              <w:right w:val="nil"/>
            </w:tcBorders>
            <w:shd w:val="clear" w:color="auto" w:fill="auto"/>
            <w:vAlign w:val="center"/>
          </w:tcPr>
          <w:p w14:paraId="219430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校验结果是否齐全，时间口径、指标单位和基线是否一致；模拟结果不完整或不可比时退回重算或修正参数；模拟结果完整可比时继续处理。</w:t>
            </w:r>
          </w:p>
        </w:tc>
        <w:tc>
          <w:tcPr>
            <w:tcW w:w="1088" w:type="dxa"/>
            <w:tcBorders>
              <w:top w:val="nil"/>
              <w:left w:val="nil"/>
              <w:bottom w:val="nil"/>
              <w:right w:val="nil"/>
            </w:tcBorders>
            <w:shd w:val="clear" w:color="auto" w:fill="auto"/>
            <w:vAlign w:val="center"/>
          </w:tcPr>
          <w:p w14:paraId="42F31B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可比性判断</w:t>
            </w:r>
          </w:p>
        </w:tc>
        <w:tc>
          <w:tcPr>
            <w:tcW w:w="1460" w:type="dxa"/>
            <w:tcBorders>
              <w:top w:val="nil"/>
              <w:left w:val="nil"/>
              <w:bottom w:val="nil"/>
              <w:right w:val="nil"/>
            </w:tcBorders>
            <w:shd w:val="clear" w:color="auto" w:fill="auto"/>
            <w:vAlign w:val="center"/>
          </w:tcPr>
          <w:p w14:paraId="1BAC1F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308A90">
        <w:trPr>
          <w:cantSplit/>
          <w:trHeight w:val="0" w:hRule="atLeast"/>
          <w:jc w:val="center"/>
        </w:trPr>
        <w:tc>
          <w:tcPr>
            <w:tcW w:w="2944" w:type="dxa"/>
            <w:tcBorders>
              <w:top w:val="nil"/>
              <w:left w:val="nil"/>
              <w:bottom w:val="nil"/>
              <w:right w:val="nil"/>
            </w:tcBorders>
            <w:shd w:val="clear" w:color="auto" w:fill="auto"/>
            <w:vAlign w:val="center"/>
          </w:tcPr>
          <w:p w14:paraId="7048D9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P-ZLTC-SCOS-JSC-007-50-001</w:t>
            </w:r>
          </w:p>
        </w:tc>
        <w:tc>
          <w:tcPr>
            <w:tcW w:w="945" w:type="dxa"/>
            <w:tcBorders>
              <w:top w:val="nil"/>
              <w:left w:val="nil"/>
              <w:bottom w:val="nil"/>
              <w:right w:val="nil"/>
            </w:tcBorders>
            <w:shd w:val="clear" w:color="auto" w:fill="auto"/>
            <w:vAlign w:val="center"/>
          </w:tcPr>
          <w:p w14:paraId="0934A0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比较基线与情景并评估成本、服务与风险规则</w:t>
            </w:r>
          </w:p>
        </w:tc>
        <w:tc>
          <w:tcPr>
            <w:tcW w:w="966" w:type="dxa"/>
            <w:tcBorders>
              <w:top w:val="nil"/>
              <w:left w:val="nil"/>
              <w:bottom w:val="nil"/>
              <w:right w:val="nil"/>
            </w:tcBorders>
            <w:shd w:val="clear" w:color="auto" w:fill="auto"/>
            <w:vAlign w:val="center"/>
          </w:tcPr>
          <w:p w14:paraId="2478EF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37343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45A9F6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模拟结果完整可比时</w:t>
            </w:r>
          </w:p>
        </w:tc>
        <w:tc>
          <w:tcPr>
            <w:tcW w:w="1406" w:type="dxa"/>
            <w:tcBorders>
              <w:top w:val="nil"/>
              <w:left w:val="nil"/>
              <w:bottom w:val="nil"/>
              <w:right w:val="nil"/>
            </w:tcBorders>
            <w:shd w:val="clear" w:color="auto" w:fill="auto"/>
            <w:vAlign w:val="center"/>
          </w:tcPr>
          <w:p w14:paraId="7384B4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比较产能、库存、交付、成本、服务水平和供应风险；口径不一致时不强行形成综合结论。</w:t>
            </w:r>
          </w:p>
        </w:tc>
        <w:tc>
          <w:tcPr>
            <w:tcW w:w="1088" w:type="dxa"/>
            <w:tcBorders>
              <w:top w:val="nil"/>
              <w:left w:val="nil"/>
              <w:bottom w:val="nil"/>
              <w:right w:val="nil"/>
            </w:tcBorders>
            <w:shd w:val="clear" w:color="auto" w:fill="auto"/>
            <w:vAlign w:val="center"/>
          </w:tcPr>
          <w:p w14:paraId="5D657C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对比分析</w:t>
            </w:r>
          </w:p>
        </w:tc>
        <w:tc>
          <w:tcPr>
            <w:tcW w:w="1460" w:type="dxa"/>
            <w:tcBorders>
              <w:top w:val="nil"/>
              <w:left w:val="nil"/>
              <w:bottom w:val="nil"/>
              <w:right w:val="nil"/>
            </w:tcBorders>
            <w:shd w:val="clear" w:color="auto" w:fill="auto"/>
            <w:vAlign w:val="center"/>
          </w:tcPr>
          <w:p w14:paraId="42570E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8C38646">
        <w:trPr>
          <w:cantSplit/>
          <w:trHeight w:val="0" w:hRule="atLeast"/>
          <w:jc w:val="center"/>
        </w:trPr>
        <w:tc>
          <w:tcPr>
            <w:tcW w:w="2944" w:type="dxa"/>
            <w:tcBorders>
              <w:top w:val="nil"/>
              <w:left w:val="nil"/>
              <w:bottom w:val="nil"/>
              <w:right w:val="nil"/>
            </w:tcBorders>
            <w:shd w:val="clear" w:color="auto" w:fill="auto"/>
            <w:vAlign w:val="center"/>
          </w:tcPr>
          <w:p w14:paraId="13CB8A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P-ZLTC-SCOS-JSC-007-60-001</w:t>
            </w:r>
          </w:p>
        </w:tc>
        <w:tc>
          <w:tcPr>
            <w:tcW w:w="945" w:type="dxa"/>
            <w:tcBorders>
              <w:top w:val="nil"/>
              <w:left w:val="nil"/>
              <w:bottom w:val="nil"/>
              <w:right w:val="nil"/>
            </w:tcBorders>
            <w:shd w:val="clear" w:color="auto" w:fill="auto"/>
            <w:vAlign w:val="center"/>
          </w:tcPr>
          <w:p w14:paraId="124436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形成影响结论、风险提示与备选方案规则</w:t>
            </w:r>
          </w:p>
        </w:tc>
        <w:tc>
          <w:tcPr>
            <w:tcW w:w="966" w:type="dxa"/>
            <w:tcBorders>
              <w:top w:val="nil"/>
              <w:left w:val="nil"/>
              <w:bottom w:val="nil"/>
              <w:right w:val="nil"/>
            </w:tcBorders>
            <w:shd w:val="clear" w:color="auto" w:fill="auto"/>
            <w:vAlign w:val="center"/>
          </w:tcPr>
          <w:p w14:paraId="239D8F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CB7B4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5A20C3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对比分析形成后</w:t>
            </w:r>
          </w:p>
        </w:tc>
        <w:tc>
          <w:tcPr>
            <w:tcW w:w="1406" w:type="dxa"/>
            <w:tcBorders>
              <w:top w:val="nil"/>
              <w:left w:val="nil"/>
              <w:bottom w:val="nil"/>
              <w:right w:val="nil"/>
            </w:tcBorders>
            <w:shd w:val="clear" w:color="auto" w:fill="auto"/>
            <w:vAlign w:val="center"/>
          </w:tcPr>
          <w:p w14:paraId="2675D5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归纳各方案的收益、代价、风险和适用条件；关键评价维度缺失时标记结论限制。</w:t>
            </w:r>
          </w:p>
        </w:tc>
        <w:tc>
          <w:tcPr>
            <w:tcW w:w="1088" w:type="dxa"/>
            <w:tcBorders>
              <w:top w:val="nil"/>
              <w:left w:val="nil"/>
              <w:bottom w:val="nil"/>
              <w:right w:val="nil"/>
            </w:tcBorders>
            <w:shd w:val="clear" w:color="auto" w:fill="auto"/>
            <w:vAlign w:val="center"/>
          </w:tcPr>
          <w:p w14:paraId="0E37F1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影响结论、风险提示和备选方案</w:t>
            </w:r>
          </w:p>
        </w:tc>
        <w:tc>
          <w:tcPr>
            <w:tcW w:w="1460" w:type="dxa"/>
            <w:tcBorders>
              <w:top w:val="nil"/>
              <w:left w:val="nil"/>
              <w:bottom w:val="nil"/>
              <w:right w:val="nil"/>
            </w:tcBorders>
            <w:shd w:val="clear" w:color="auto" w:fill="auto"/>
            <w:vAlign w:val="center"/>
          </w:tcPr>
          <w:p w14:paraId="716B64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34A40C">
        <w:trPr>
          <w:cantSplit/>
          <w:trHeight w:val="0" w:hRule="atLeast"/>
          <w:jc w:val="center"/>
        </w:trPr>
        <w:tc>
          <w:tcPr>
            <w:tcW w:w="2944" w:type="dxa"/>
            <w:tcBorders>
              <w:top w:val="nil"/>
              <w:left w:val="nil"/>
              <w:bottom w:val="nil"/>
              <w:right w:val="nil"/>
            </w:tcBorders>
            <w:shd w:val="clear" w:color="auto" w:fill="auto"/>
            <w:vAlign w:val="center"/>
          </w:tcPr>
          <w:p w14:paraId="500F9D9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P-ZLTC-SCOS-JSC-007-70-001</w:t>
            </w:r>
          </w:p>
        </w:tc>
        <w:tc>
          <w:tcPr>
            <w:tcW w:w="945" w:type="dxa"/>
            <w:tcBorders>
              <w:top w:val="nil"/>
              <w:left w:val="nil"/>
              <w:bottom w:val="nil"/>
              <w:right w:val="nil"/>
            </w:tcBorders>
            <w:shd w:val="clear" w:color="auto" w:fill="auto"/>
            <w:vAlign w:val="center"/>
          </w:tcPr>
          <w:p w14:paraId="52C725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审阅模拟结果规则</w:t>
            </w:r>
          </w:p>
        </w:tc>
        <w:tc>
          <w:tcPr>
            <w:tcW w:w="966" w:type="dxa"/>
            <w:tcBorders>
              <w:top w:val="nil"/>
              <w:left w:val="nil"/>
              <w:bottom w:val="nil"/>
              <w:right w:val="nil"/>
            </w:tcBorders>
            <w:shd w:val="clear" w:color="auto" w:fill="auto"/>
            <w:vAlign w:val="center"/>
          </w:tcPr>
          <w:p w14:paraId="13FE7D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47BB7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6C0D3F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影响结论、风险提示和备选方案形成后</w:t>
            </w:r>
          </w:p>
        </w:tc>
        <w:tc>
          <w:tcPr>
            <w:tcW w:w="1406" w:type="dxa"/>
            <w:tcBorders>
              <w:top w:val="nil"/>
              <w:left w:val="nil"/>
              <w:bottom w:val="nil"/>
              <w:right w:val="nil"/>
            </w:tcBorders>
            <w:shd w:val="clear" w:color="auto" w:fill="auto"/>
            <w:vAlign w:val="center"/>
          </w:tcPr>
          <w:p w14:paraId="24722C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核实业务假设和模拟结果是否合理；需要重算时明确调整内容，修正后重新测算。</w:t>
            </w:r>
          </w:p>
        </w:tc>
        <w:tc>
          <w:tcPr>
            <w:tcW w:w="1088" w:type="dxa"/>
            <w:tcBorders>
              <w:top w:val="nil"/>
              <w:left w:val="nil"/>
              <w:bottom w:val="nil"/>
              <w:right w:val="nil"/>
            </w:tcBorders>
            <w:shd w:val="clear" w:color="auto" w:fill="auto"/>
            <w:vAlign w:val="center"/>
          </w:tcPr>
          <w:p w14:paraId="6E4BC5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审阅意见</w:t>
            </w:r>
          </w:p>
        </w:tc>
        <w:tc>
          <w:tcPr>
            <w:tcW w:w="1460" w:type="dxa"/>
            <w:tcBorders>
              <w:top w:val="nil"/>
              <w:left w:val="nil"/>
              <w:bottom w:val="nil"/>
              <w:right w:val="nil"/>
            </w:tcBorders>
            <w:shd w:val="clear" w:color="auto" w:fill="auto"/>
            <w:vAlign w:val="center"/>
          </w:tcPr>
          <w:p w14:paraId="4A1ED2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F0D767">
        <w:trPr>
          <w:cantSplit/>
          <w:trHeight w:val="0" w:hRule="atLeast"/>
          <w:jc w:val="center"/>
        </w:trPr>
        <w:tc>
          <w:tcPr>
            <w:tcW w:w="2944" w:type="dxa"/>
            <w:tcBorders>
              <w:top w:val="nil"/>
              <w:left w:val="nil"/>
              <w:bottom w:val="nil"/>
              <w:right w:val="nil"/>
            </w:tcBorders>
            <w:shd w:val="clear" w:color="auto" w:fill="auto"/>
            <w:vAlign w:val="center"/>
          </w:tcPr>
          <w:p w14:paraId="0B8BCA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P-ZLTC-SCOS-JSC-008-10-001</w:t>
            </w:r>
          </w:p>
        </w:tc>
        <w:tc>
          <w:tcPr>
            <w:tcW w:w="945" w:type="dxa"/>
            <w:tcBorders>
              <w:top w:val="nil"/>
              <w:left w:val="nil"/>
              <w:bottom w:val="nil"/>
              <w:right w:val="nil"/>
            </w:tcBorders>
            <w:shd w:val="clear" w:color="auto" w:fill="auto"/>
            <w:vAlign w:val="center"/>
          </w:tcPr>
          <w:p w14:paraId="05D12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比较备选方案并权衡成本、服务与风险规则</w:t>
            </w:r>
          </w:p>
        </w:tc>
        <w:tc>
          <w:tcPr>
            <w:tcW w:w="966" w:type="dxa"/>
            <w:tcBorders>
              <w:top w:val="nil"/>
              <w:left w:val="nil"/>
              <w:bottom w:val="nil"/>
              <w:right w:val="nil"/>
            </w:tcBorders>
            <w:shd w:val="clear" w:color="auto" w:fill="auto"/>
            <w:vAlign w:val="center"/>
          </w:tcPr>
          <w:p w14:paraId="0BDF23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3ED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8F215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决策管理人员需要判断是否把模拟建议转入正式业务调整时</w:t>
            </w:r>
          </w:p>
        </w:tc>
        <w:tc>
          <w:tcPr>
            <w:tcW w:w="1406" w:type="dxa"/>
            <w:tcBorders>
              <w:top w:val="nil"/>
              <w:left w:val="nil"/>
              <w:bottom w:val="nil"/>
              <w:right w:val="nil"/>
            </w:tcBorders>
            <w:shd w:val="clear" w:color="auto" w:fill="auto"/>
            <w:vAlign w:val="center"/>
          </w:tcPr>
          <w:p w14:paraId="34C1D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结合成本、交付、服务和供应安全选择可实施的候选方案；无可接受方案时结束并保存分析记录。</w:t>
            </w:r>
          </w:p>
        </w:tc>
        <w:tc>
          <w:tcPr>
            <w:tcW w:w="1088" w:type="dxa"/>
            <w:tcBorders>
              <w:top w:val="nil"/>
              <w:left w:val="nil"/>
              <w:bottom w:val="nil"/>
              <w:right w:val="nil"/>
            </w:tcBorders>
            <w:shd w:val="clear" w:color="auto" w:fill="auto"/>
            <w:vAlign w:val="center"/>
          </w:tcPr>
          <w:p w14:paraId="3A873C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方案选择意见</w:t>
            </w:r>
          </w:p>
        </w:tc>
        <w:tc>
          <w:tcPr>
            <w:tcW w:w="1460" w:type="dxa"/>
            <w:tcBorders>
              <w:top w:val="nil"/>
              <w:left w:val="nil"/>
              <w:bottom w:val="nil"/>
              <w:right w:val="nil"/>
            </w:tcBorders>
            <w:shd w:val="clear" w:color="auto" w:fill="auto"/>
            <w:vAlign w:val="center"/>
          </w:tcPr>
          <w:p w14:paraId="252DA5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A1173E7">
        <w:trPr>
          <w:cantSplit/>
          <w:trHeight w:val="0" w:hRule="atLeast"/>
          <w:jc w:val="center"/>
        </w:trPr>
        <w:tc>
          <w:tcPr>
            <w:tcW w:w="2944" w:type="dxa"/>
            <w:tcBorders>
              <w:top w:val="nil"/>
              <w:left w:val="nil"/>
              <w:bottom w:val="nil"/>
              <w:right w:val="nil"/>
            </w:tcBorders>
            <w:shd w:val="clear" w:color="auto" w:fill="auto"/>
            <w:vAlign w:val="center"/>
          </w:tcPr>
          <w:p w14:paraId="63543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P-ZLTC-SCOS-JSC-008-20-001</w:t>
            </w:r>
          </w:p>
        </w:tc>
        <w:tc>
          <w:tcPr>
            <w:tcW w:w="945" w:type="dxa"/>
            <w:tcBorders>
              <w:top w:val="nil"/>
              <w:left w:val="nil"/>
              <w:bottom w:val="nil"/>
              <w:right w:val="nil"/>
            </w:tcBorders>
            <w:shd w:val="clear" w:color="auto" w:fill="auto"/>
            <w:vAlign w:val="center"/>
          </w:tcPr>
          <w:p w14:paraId="6F6F06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判断是否采纳模拟建议规则</w:t>
            </w:r>
          </w:p>
        </w:tc>
        <w:tc>
          <w:tcPr>
            <w:tcW w:w="966" w:type="dxa"/>
            <w:tcBorders>
              <w:top w:val="nil"/>
              <w:left w:val="nil"/>
              <w:bottom w:val="nil"/>
              <w:right w:val="nil"/>
            </w:tcBorders>
            <w:shd w:val="clear" w:color="auto" w:fill="auto"/>
            <w:vAlign w:val="center"/>
          </w:tcPr>
          <w:p w14:paraId="0CFB06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9D83D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05F48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方案选择意见形成后</w:t>
            </w:r>
          </w:p>
        </w:tc>
        <w:tc>
          <w:tcPr>
            <w:tcW w:w="1406" w:type="dxa"/>
            <w:tcBorders>
              <w:top w:val="nil"/>
              <w:left w:val="nil"/>
              <w:bottom w:val="nil"/>
              <w:right w:val="nil"/>
            </w:tcBorders>
            <w:shd w:val="clear" w:color="auto" w:fill="auto"/>
            <w:vAlign w:val="center"/>
          </w:tcPr>
          <w:p w14:paraId="5735F5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采纳属于管理决策，不由模型或驾驶舱自动完成；未采纳模拟建议时保存模拟记录；采纳模拟建议时继续处理。</w:t>
            </w:r>
          </w:p>
        </w:tc>
        <w:tc>
          <w:tcPr>
            <w:tcW w:w="1088" w:type="dxa"/>
            <w:tcBorders>
              <w:top w:val="nil"/>
              <w:left w:val="nil"/>
              <w:bottom w:val="nil"/>
              <w:right w:val="nil"/>
            </w:tcBorders>
            <w:shd w:val="clear" w:color="auto" w:fill="auto"/>
            <w:vAlign w:val="center"/>
          </w:tcPr>
          <w:p w14:paraId="148826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采纳结论</w:t>
            </w:r>
          </w:p>
        </w:tc>
        <w:tc>
          <w:tcPr>
            <w:tcW w:w="1460" w:type="dxa"/>
            <w:tcBorders>
              <w:top w:val="nil"/>
              <w:left w:val="nil"/>
              <w:bottom w:val="nil"/>
              <w:right w:val="nil"/>
            </w:tcBorders>
            <w:shd w:val="clear" w:color="auto" w:fill="auto"/>
            <w:vAlign w:val="center"/>
          </w:tcPr>
          <w:p w14:paraId="4C3BDC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993A3E">
        <w:trPr>
          <w:cantSplit/>
          <w:trHeight w:val="0" w:hRule="atLeast"/>
          <w:jc w:val="center"/>
        </w:trPr>
        <w:tc>
          <w:tcPr>
            <w:tcW w:w="2944" w:type="dxa"/>
            <w:tcBorders>
              <w:top w:val="nil"/>
              <w:left w:val="nil"/>
              <w:bottom w:val="nil"/>
              <w:right w:val="nil"/>
            </w:tcBorders>
            <w:shd w:val="clear" w:color="auto" w:fill="auto"/>
            <w:vAlign w:val="center"/>
          </w:tcPr>
          <w:p w14:paraId="1BB00F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P-ZLTC-SCOS-JSC-008-30-001</w:t>
            </w:r>
          </w:p>
        </w:tc>
        <w:tc>
          <w:tcPr>
            <w:tcW w:w="945" w:type="dxa"/>
            <w:tcBorders>
              <w:top w:val="nil"/>
              <w:left w:val="nil"/>
              <w:bottom w:val="nil"/>
              <w:right w:val="nil"/>
            </w:tcBorders>
            <w:shd w:val="clear" w:color="auto" w:fill="auto"/>
            <w:vAlign w:val="center"/>
          </w:tcPr>
          <w:p w14:paraId="1A2532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记录决策结论及采纳依据规则</w:t>
            </w:r>
          </w:p>
        </w:tc>
        <w:tc>
          <w:tcPr>
            <w:tcW w:w="966" w:type="dxa"/>
            <w:tcBorders>
              <w:top w:val="nil"/>
              <w:left w:val="nil"/>
              <w:bottom w:val="nil"/>
              <w:right w:val="nil"/>
            </w:tcBorders>
            <w:shd w:val="clear" w:color="auto" w:fill="auto"/>
            <w:vAlign w:val="center"/>
          </w:tcPr>
          <w:p w14:paraId="7885F4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99D91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432434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采纳模拟建议时</w:t>
            </w:r>
          </w:p>
        </w:tc>
        <w:tc>
          <w:tcPr>
            <w:tcW w:w="1406" w:type="dxa"/>
            <w:tcBorders>
              <w:top w:val="nil"/>
              <w:left w:val="nil"/>
              <w:bottom w:val="nil"/>
              <w:right w:val="nil"/>
            </w:tcBorders>
            <w:shd w:val="clear" w:color="auto" w:fill="auto"/>
            <w:vAlign w:val="center"/>
          </w:tcPr>
          <w:p w14:paraId="183930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保存采纳方案、决策依据、适用范围、决策人和时间；记录失败时不发起后续业务调整。</w:t>
            </w:r>
          </w:p>
        </w:tc>
        <w:tc>
          <w:tcPr>
            <w:tcW w:w="1088" w:type="dxa"/>
            <w:tcBorders>
              <w:top w:val="nil"/>
              <w:left w:val="nil"/>
              <w:bottom w:val="nil"/>
              <w:right w:val="nil"/>
            </w:tcBorders>
            <w:shd w:val="clear" w:color="auto" w:fill="auto"/>
            <w:vAlign w:val="center"/>
          </w:tcPr>
          <w:p w14:paraId="73A344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决策记录</w:t>
            </w:r>
          </w:p>
        </w:tc>
        <w:tc>
          <w:tcPr>
            <w:tcW w:w="1460" w:type="dxa"/>
            <w:tcBorders>
              <w:top w:val="nil"/>
              <w:left w:val="nil"/>
              <w:bottom w:val="nil"/>
              <w:right w:val="nil"/>
            </w:tcBorders>
            <w:shd w:val="clear" w:color="auto" w:fill="auto"/>
            <w:vAlign w:val="center"/>
          </w:tcPr>
          <w:p w14:paraId="73E2F7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1D4CE9">
        <w:trPr>
          <w:cantSplit/>
          <w:trHeight w:val="0" w:hRule="atLeast"/>
          <w:jc w:val="center"/>
        </w:trPr>
        <w:tc>
          <w:tcPr>
            <w:tcW w:w="2944" w:type="dxa"/>
            <w:tcBorders>
              <w:top w:val="nil"/>
              <w:left w:val="nil"/>
              <w:bottom w:val="nil"/>
              <w:right w:val="nil"/>
            </w:tcBorders>
            <w:shd w:val="clear" w:color="auto" w:fill="auto"/>
            <w:vAlign w:val="center"/>
          </w:tcPr>
          <w:p w14:paraId="61A06E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P-ZLTC-SCOS-JSC-008-40-001</w:t>
            </w:r>
          </w:p>
        </w:tc>
        <w:tc>
          <w:tcPr>
            <w:tcW w:w="945" w:type="dxa"/>
            <w:tcBorders>
              <w:top w:val="nil"/>
              <w:left w:val="nil"/>
              <w:bottom w:val="nil"/>
              <w:right w:val="nil"/>
            </w:tcBorders>
            <w:shd w:val="clear" w:color="auto" w:fill="auto"/>
            <w:vAlign w:val="center"/>
          </w:tcPr>
          <w:p w14:paraId="55B135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确认调整范围与承接责任规则</w:t>
            </w:r>
          </w:p>
        </w:tc>
        <w:tc>
          <w:tcPr>
            <w:tcW w:w="966" w:type="dxa"/>
            <w:tcBorders>
              <w:top w:val="nil"/>
              <w:left w:val="nil"/>
              <w:bottom w:val="nil"/>
              <w:right w:val="nil"/>
            </w:tcBorders>
            <w:shd w:val="clear" w:color="auto" w:fill="auto"/>
            <w:vAlign w:val="center"/>
          </w:tcPr>
          <w:p w14:paraId="628401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52BF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6DC0C1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决策记录形成并具备评审条件后</w:t>
            </w:r>
          </w:p>
        </w:tc>
        <w:tc>
          <w:tcPr>
            <w:tcW w:w="1406" w:type="dxa"/>
            <w:tcBorders>
              <w:top w:val="nil"/>
              <w:left w:val="nil"/>
              <w:bottom w:val="nil"/>
              <w:right w:val="nil"/>
            </w:tcBorders>
            <w:shd w:val="clear" w:color="auto" w:fill="auto"/>
            <w:vAlign w:val="center"/>
          </w:tcPr>
          <w:p w14:paraId="3FF2A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将建议拆分为相关业务模块可以承接的调整事项；涉及范围不清时返回决策管理人员补充。</w:t>
            </w:r>
          </w:p>
        </w:tc>
        <w:tc>
          <w:tcPr>
            <w:tcW w:w="1088" w:type="dxa"/>
            <w:tcBorders>
              <w:top w:val="nil"/>
              <w:left w:val="nil"/>
              <w:bottom w:val="nil"/>
              <w:right w:val="nil"/>
            </w:tcBorders>
            <w:shd w:val="clear" w:color="auto" w:fill="auto"/>
            <w:vAlign w:val="center"/>
          </w:tcPr>
          <w:p w14:paraId="5091D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调整事项、责任人和承接模块</w:t>
            </w:r>
          </w:p>
        </w:tc>
        <w:tc>
          <w:tcPr>
            <w:tcW w:w="1460" w:type="dxa"/>
            <w:tcBorders>
              <w:top w:val="nil"/>
              <w:left w:val="nil"/>
              <w:bottom w:val="nil"/>
              <w:right w:val="nil"/>
            </w:tcBorders>
            <w:shd w:val="clear" w:color="auto" w:fill="auto"/>
            <w:vAlign w:val="center"/>
          </w:tcPr>
          <w:p w14:paraId="473566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552BB6">
        <w:trPr>
          <w:cantSplit/>
          <w:trHeight w:val="0" w:hRule="atLeast"/>
          <w:jc w:val="center"/>
        </w:trPr>
        <w:tc>
          <w:tcPr>
            <w:tcW w:w="2944" w:type="dxa"/>
            <w:tcBorders>
              <w:top w:val="nil"/>
              <w:left w:val="nil"/>
              <w:bottom w:val="nil"/>
              <w:right w:val="nil"/>
            </w:tcBorders>
            <w:shd w:val="clear" w:color="auto" w:fill="auto"/>
            <w:vAlign w:val="center"/>
          </w:tcPr>
          <w:p w14:paraId="244C57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P-ZLTC-SCOS-JSC-008-50-001</w:t>
            </w:r>
          </w:p>
        </w:tc>
        <w:tc>
          <w:tcPr>
            <w:tcW w:w="945" w:type="dxa"/>
            <w:tcBorders>
              <w:top w:val="nil"/>
              <w:left w:val="nil"/>
              <w:bottom w:val="nil"/>
              <w:right w:val="nil"/>
            </w:tcBorders>
            <w:shd w:val="clear" w:color="auto" w:fill="auto"/>
            <w:vAlign w:val="center"/>
          </w:tcPr>
          <w:p w14:paraId="52DCC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发起正式业务方案调整流程规则</w:t>
            </w:r>
          </w:p>
        </w:tc>
        <w:tc>
          <w:tcPr>
            <w:tcW w:w="966" w:type="dxa"/>
            <w:tcBorders>
              <w:top w:val="nil"/>
              <w:left w:val="nil"/>
              <w:bottom w:val="nil"/>
              <w:right w:val="nil"/>
            </w:tcBorders>
            <w:shd w:val="clear" w:color="auto" w:fill="auto"/>
            <w:vAlign w:val="center"/>
          </w:tcPr>
          <w:p w14:paraId="70A05E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3523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28AED7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调整事项、责任人和承接模块形成后</w:t>
            </w:r>
          </w:p>
        </w:tc>
        <w:tc>
          <w:tcPr>
            <w:tcW w:w="1406" w:type="dxa"/>
            <w:tcBorders>
              <w:top w:val="nil"/>
              <w:left w:val="nil"/>
              <w:bottom w:val="nil"/>
              <w:right w:val="nil"/>
            </w:tcBorders>
            <w:shd w:val="clear" w:color="auto" w:fill="auto"/>
            <w:vAlign w:val="center"/>
          </w:tcPr>
          <w:p w14:paraId="71DEF2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由相关模块按自身评审、确认和审批流程形成正式方案；原正式方案在新方案生效前继续有效。</w:t>
            </w:r>
          </w:p>
        </w:tc>
        <w:tc>
          <w:tcPr>
            <w:tcW w:w="1088" w:type="dxa"/>
            <w:tcBorders>
              <w:top w:val="nil"/>
              <w:left w:val="nil"/>
              <w:bottom w:val="nil"/>
              <w:right w:val="nil"/>
            </w:tcBorders>
            <w:shd w:val="clear" w:color="auto" w:fill="auto"/>
            <w:vAlign w:val="center"/>
          </w:tcPr>
          <w:p w14:paraId="711B74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采购方案、库存策略、生产排程或其他调整任务</w:t>
            </w:r>
          </w:p>
        </w:tc>
        <w:tc>
          <w:tcPr>
            <w:tcW w:w="1460" w:type="dxa"/>
            <w:tcBorders>
              <w:top w:val="nil"/>
              <w:left w:val="nil"/>
              <w:bottom w:val="nil"/>
              <w:right w:val="nil"/>
            </w:tcBorders>
            <w:shd w:val="clear" w:color="auto" w:fill="auto"/>
            <w:vAlign w:val="center"/>
          </w:tcPr>
          <w:p w14:paraId="5D5500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7F74D2">
        <w:trPr>
          <w:cantSplit/>
          <w:trHeight w:val="0" w:hRule="atLeast"/>
          <w:jc w:val="center"/>
        </w:trPr>
        <w:tc>
          <w:tcPr>
            <w:tcW w:w="2944" w:type="dxa"/>
            <w:tcBorders>
              <w:top w:val="nil"/>
              <w:left w:val="nil"/>
              <w:bottom w:val="nil"/>
              <w:right w:val="nil"/>
            </w:tcBorders>
            <w:shd w:val="clear" w:color="auto" w:fill="auto"/>
            <w:vAlign w:val="center"/>
          </w:tcPr>
          <w:p w14:paraId="33121D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P-ZLTC-SCOS-JSC-008-60-001</w:t>
            </w:r>
          </w:p>
        </w:tc>
        <w:tc>
          <w:tcPr>
            <w:tcW w:w="945" w:type="dxa"/>
            <w:tcBorders>
              <w:top w:val="nil"/>
              <w:left w:val="nil"/>
              <w:bottom w:val="nil"/>
              <w:right w:val="nil"/>
            </w:tcBorders>
            <w:shd w:val="clear" w:color="auto" w:fill="auto"/>
            <w:vAlign w:val="center"/>
          </w:tcPr>
          <w:p w14:paraId="02C0CF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判断调整任务是否受理规则</w:t>
            </w:r>
          </w:p>
        </w:tc>
        <w:tc>
          <w:tcPr>
            <w:tcW w:w="966" w:type="dxa"/>
            <w:tcBorders>
              <w:top w:val="nil"/>
              <w:left w:val="nil"/>
              <w:bottom w:val="nil"/>
              <w:right w:val="nil"/>
            </w:tcBorders>
            <w:shd w:val="clear" w:color="auto" w:fill="auto"/>
            <w:vAlign w:val="center"/>
          </w:tcPr>
          <w:p w14:paraId="6297AD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4848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B67C4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采购方案、库存策略、生产排程或其他调整任务形成后</w:t>
            </w:r>
          </w:p>
        </w:tc>
        <w:tc>
          <w:tcPr>
            <w:tcW w:w="1406" w:type="dxa"/>
            <w:tcBorders>
              <w:top w:val="nil"/>
              <w:left w:val="nil"/>
              <w:bottom w:val="nil"/>
              <w:right w:val="nil"/>
            </w:tcBorders>
            <w:shd w:val="clear" w:color="auto" w:fill="auto"/>
            <w:vAlign w:val="center"/>
          </w:tcPr>
          <w:p w14:paraId="0D99B2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确认相关模块是否接受调整任务及计划完成时间；调整任务未受理时反馈原因并协商调整；调整任务受理时继续处理。</w:t>
            </w:r>
          </w:p>
        </w:tc>
        <w:tc>
          <w:tcPr>
            <w:tcW w:w="1088" w:type="dxa"/>
            <w:tcBorders>
              <w:top w:val="nil"/>
              <w:left w:val="nil"/>
              <w:bottom w:val="nil"/>
              <w:right w:val="nil"/>
            </w:tcBorders>
            <w:shd w:val="clear" w:color="auto" w:fill="auto"/>
            <w:vAlign w:val="center"/>
          </w:tcPr>
          <w:p w14:paraId="550E8E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受理结论</w:t>
            </w:r>
          </w:p>
        </w:tc>
        <w:tc>
          <w:tcPr>
            <w:tcW w:w="1460" w:type="dxa"/>
            <w:tcBorders>
              <w:top w:val="nil"/>
              <w:left w:val="nil"/>
              <w:bottom w:val="nil"/>
              <w:right w:val="nil"/>
            </w:tcBorders>
            <w:shd w:val="clear" w:color="auto" w:fill="auto"/>
            <w:vAlign w:val="center"/>
          </w:tcPr>
          <w:p w14:paraId="6F6EC1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588D09A">
        <w:trPr>
          <w:cantSplit/>
          <w:trHeight w:val="0" w:hRule="atLeast"/>
          <w:jc w:val="center"/>
        </w:trPr>
        <w:tc>
          <w:tcPr>
            <w:tcW w:w="2944" w:type="dxa"/>
            <w:tcBorders>
              <w:top w:val="nil"/>
              <w:left w:val="nil"/>
              <w:bottom w:val="nil"/>
              <w:right w:val="nil"/>
            </w:tcBorders>
            <w:shd w:val="clear" w:color="auto" w:fill="auto"/>
            <w:vAlign w:val="center"/>
          </w:tcPr>
          <w:p w14:paraId="5F4AB9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P-ZLTC-SCOS-JSC-008-70-001</w:t>
            </w:r>
          </w:p>
        </w:tc>
        <w:tc>
          <w:tcPr>
            <w:tcW w:w="945" w:type="dxa"/>
            <w:tcBorders>
              <w:top w:val="nil"/>
              <w:left w:val="nil"/>
              <w:bottom w:val="nil"/>
              <w:right w:val="nil"/>
            </w:tcBorders>
            <w:shd w:val="clear" w:color="auto" w:fill="auto"/>
            <w:vAlign w:val="center"/>
          </w:tcPr>
          <w:p w14:paraId="089CA6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回写协同状态并持续跟踪结果规则</w:t>
            </w:r>
          </w:p>
        </w:tc>
        <w:tc>
          <w:tcPr>
            <w:tcW w:w="966" w:type="dxa"/>
            <w:tcBorders>
              <w:top w:val="nil"/>
              <w:left w:val="nil"/>
              <w:bottom w:val="nil"/>
              <w:right w:val="nil"/>
            </w:tcBorders>
            <w:shd w:val="clear" w:color="auto" w:fill="auto"/>
            <w:vAlign w:val="center"/>
          </w:tcPr>
          <w:p w14:paraId="6DD885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24B46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946C2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调整任务受理时</w:t>
            </w:r>
          </w:p>
        </w:tc>
        <w:tc>
          <w:tcPr>
            <w:tcW w:w="1406" w:type="dxa"/>
            <w:tcBorders>
              <w:top w:val="nil"/>
              <w:left w:val="nil"/>
              <w:bottom w:val="nil"/>
              <w:right w:val="nil"/>
            </w:tcBorders>
            <w:shd w:val="clear" w:color="auto" w:fill="auto"/>
            <w:vAlign w:val="center"/>
          </w:tcPr>
          <w:p w14:paraId="4DC926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跟踪正式调整流程状态，执行结果重新进入全局态势监测；业务调整失败时保留原正式方案并回写原因。</w:t>
            </w:r>
          </w:p>
        </w:tc>
        <w:tc>
          <w:tcPr>
            <w:tcW w:w="1088" w:type="dxa"/>
            <w:tcBorders>
              <w:top w:val="nil"/>
              <w:left w:val="nil"/>
              <w:bottom w:val="nil"/>
              <w:right w:val="nil"/>
            </w:tcBorders>
            <w:shd w:val="clear" w:color="auto" w:fill="auto"/>
            <w:vAlign w:val="center"/>
          </w:tcPr>
          <w:p w14:paraId="66053E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协同跟踪记录</w:t>
            </w:r>
          </w:p>
        </w:tc>
        <w:tc>
          <w:tcPr>
            <w:tcW w:w="1460" w:type="dxa"/>
            <w:tcBorders>
              <w:top w:val="nil"/>
              <w:left w:val="nil"/>
              <w:bottom w:val="nil"/>
              <w:right w:val="nil"/>
            </w:tcBorders>
            <w:shd w:val="clear" w:color="auto" w:fill="auto"/>
            <w:vAlign w:val="center"/>
          </w:tcPr>
          <w:p w14:paraId="2DEFF89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979C75">
        <w:trPr>
          <w:cantSplit/>
          <w:trHeight w:val="0" w:hRule="atLeast"/>
          <w:jc w:val="center"/>
        </w:trPr>
        <w:tc>
          <w:tcPr>
            <w:tcW w:w="2944" w:type="dxa"/>
            <w:tcBorders>
              <w:top w:val="nil"/>
              <w:left w:val="nil"/>
              <w:bottom w:val="nil"/>
              <w:right w:val="nil"/>
            </w:tcBorders>
            <w:shd w:val="clear" w:color="auto" w:fill="auto"/>
            <w:vAlign w:val="center"/>
          </w:tcPr>
          <w:p w14:paraId="604442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P-ZLTC-SCOS-FYCB-001-10-001</w:t>
            </w:r>
          </w:p>
        </w:tc>
        <w:tc>
          <w:tcPr>
            <w:tcW w:w="945" w:type="dxa"/>
            <w:tcBorders>
              <w:top w:val="nil"/>
              <w:left w:val="nil"/>
              <w:bottom w:val="nil"/>
              <w:right w:val="nil"/>
            </w:tcBorders>
            <w:shd w:val="clear" w:color="auto" w:fill="auto"/>
            <w:vAlign w:val="center"/>
          </w:tcPr>
          <w:p w14:paraId="0E1AA4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提供生产执行和主数据规则</w:t>
            </w:r>
          </w:p>
        </w:tc>
        <w:tc>
          <w:tcPr>
            <w:tcW w:w="966" w:type="dxa"/>
            <w:tcBorders>
              <w:top w:val="nil"/>
              <w:left w:val="nil"/>
              <w:bottom w:val="nil"/>
              <w:right w:val="nil"/>
            </w:tcBorders>
            <w:shd w:val="clear" w:color="auto" w:fill="auto"/>
            <w:vAlign w:val="center"/>
          </w:tcPr>
          <w:p w14:paraId="364072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067D4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26D4E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每月月末由SCOS启动当月生产批次生成时</w:t>
            </w:r>
          </w:p>
        </w:tc>
        <w:tc>
          <w:tcPr>
            <w:tcW w:w="1406" w:type="dxa"/>
            <w:tcBorders>
              <w:top w:val="nil"/>
              <w:left w:val="nil"/>
              <w:bottom w:val="nil"/>
              <w:right w:val="nil"/>
            </w:tcBorders>
            <w:shd w:val="clear" w:color="auto" w:fill="auto"/>
            <w:vAlign w:val="center"/>
          </w:tcPr>
          <w:p w14:paraId="1755CA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按工厂、自然月和截止时间提供标准数据；缺失字段、计量复位或来源冲突随数据质量标识返回，不按零处理。</w:t>
            </w:r>
          </w:p>
        </w:tc>
        <w:tc>
          <w:tcPr>
            <w:tcW w:w="1088" w:type="dxa"/>
            <w:tcBorders>
              <w:top w:val="nil"/>
              <w:left w:val="nil"/>
              <w:bottom w:val="nil"/>
              <w:right w:val="nil"/>
            </w:tcBorders>
            <w:shd w:val="clear" w:color="auto" w:fill="auto"/>
            <w:vAlign w:val="center"/>
          </w:tcPr>
          <w:p w14:paraId="30C86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工单、收发存、投料、设备、阀门、计量、质检、发运、路线和批次规则</w:t>
            </w:r>
          </w:p>
        </w:tc>
        <w:tc>
          <w:tcPr>
            <w:tcW w:w="1460" w:type="dxa"/>
            <w:tcBorders>
              <w:top w:val="nil"/>
              <w:left w:val="nil"/>
              <w:bottom w:val="nil"/>
              <w:right w:val="nil"/>
            </w:tcBorders>
            <w:shd w:val="clear" w:color="auto" w:fill="auto"/>
            <w:vAlign w:val="center"/>
          </w:tcPr>
          <w:p w14:paraId="794ABE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59F73CD">
        <w:trPr>
          <w:cantSplit/>
          <w:trHeight w:val="0" w:hRule="atLeast"/>
          <w:jc w:val="center"/>
        </w:trPr>
        <w:tc>
          <w:tcPr>
            <w:tcW w:w="2944" w:type="dxa"/>
            <w:tcBorders>
              <w:top w:val="nil"/>
              <w:left w:val="nil"/>
              <w:bottom w:val="nil"/>
              <w:right w:val="nil"/>
            </w:tcBorders>
            <w:shd w:val="clear" w:color="auto" w:fill="auto"/>
            <w:vAlign w:val="center"/>
          </w:tcPr>
          <w:p w14:paraId="448340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P-ZLTC-SCOS-FYCB-001-20-001</w:t>
            </w:r>
          </w:p>
        </w:tc>
        <w:tc>
          <w:tcPr>
            <w:tcW w:w="945" w:type="dxa"/>
            <w:tcBorders>
              <w:top w:val="nil"/>
              <w:left w:val="nil"/>
              <w:bottom w:val="nil"/>
              <w:right w:val="nil"/>
            </w:tcBorders>
            <w:shd w:val="clear" w:color="auto" w:fill="auto"/>
            <w:vAlign w:val="center"/>
          </w:tcPr>
          <w:p w14:paraId="0B60FF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标准化并锁定月度取数快照规则</w:t>
            </w:r>
          </w:p>
        </w:tc>
        <w:tc>
          <w:tcPr>
            <w:tcW w:w="966" w:type="dxa"/>
            <w:tcBorders>
              <w:top w:val="nil"/>
              <w:left w:val="nil"/>
              <w:bottom w:val="nil"/>
              <w:right w:val="nil"/>
            </w:tcBorders>
            <w:shd w:val="clear" w:color="auto" w:fill="auto"/>
            <w:vAlign w:val="center"/>
          </w:tcPr>
          <w:p w14:paraId="417172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F1DD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48D9D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工单、收发存、投料、设备、阀门、计量、质检、发运、路线和批次规则形成后</w:t>
            </w:r>
          </w:p>
        </w:tc>
        <w:tc>
          <w:tcPr>
            <w:tcW w:w="1406" w:type="dxa"/>
            <w:tcBorders>
              <w:top w:val="nil"/>
              <w:left w:val="nil"/>
              <w:bottom w:val="nil"/>
              <w:right w:val="nil"/>
            </w:tcBorders>
            <w:shd w:val="clear" w:color="auto" w:fill="auto"/>
            <w:vAlign w:val="center"/>
          </w:tcPr>
          <w:p w14:paraId="482077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统一时区、单位、事件序号和主数据版本；迟到或更正数据形成后续调整版本，不覆盖本轮快照。</w:t>
            </w:r>
          </w:p>
        </w:tc>
        <w:tc>
          <w:tcPr>
            <w:tcW w:w="1088" w:type="dxa"/>
            <w:tcBorders>
              <w:top w:val="nil"/>
              <w:left w:val="nil"/>
              <w:bottom w:val="nil"/>
              <w:right w:val="nil"/>
            </w:tcBorders>
            <w:shd w:val="clear" w:color="auto" w:fill="auto"/>
            <w:vAlign w:val="center"/>
          </w:tcPr>
          <w:p w14:paraId="14F7FD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月度取数快照</w:t>
            </w:r>
          </w:p>
        </w:tc>
        <w:tc>
          <w:tcPr>
            <w:tcW w:w="1460" w:type="dxa"/>
            <w:tcBorders>
              <w:top w:val="nil"/>
              <w:left w:val="nil"/>
              <w:bottom w:val="nil"/>
              <w:right w:val="nil"/>
            </w:tcBorders>
            <w:shd w:val="clear" w:color="auto" w:fill="auto"/>
            <w:vAlign w:val="center"/>
          </w:tcPr>
          <w:p w14:paraId="3F32E3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D153347">
        <w:trPr>
          <w:cantSplit/>
          <w:trHeight w:val="0" w:hRule="atLeast"/>
          <w:jc w:val="center"/>
        </w:trPr>
        <w:tc>
          <w:tcPr>
            <w:tcW w:w="2944" w:type="dxa"/>
            <w:tcBorders>
              <w:top w:val="nil"/>
              <w:left w:val="nil"/>
              <w:bottom w:val="nil"/>
              <w:right w:val="nil"/>
            </w:tcBorders>
            <w:shd w:val="clear" w:color="auto" w:fill="auto"/>
            <w:vAlign w:val="center"/>
          </w:tcPr>
          <w:p w14:paraId="44BD20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P-ZLTC-SCOS-FYCB-001-30-001</w:t>
            </w:r>
          </w:p>
        </w:tc>
        <w:tc>
          <w:tcPr>
            <w:tcW w:w="945" w:type="dxa"/>
            <w:tcBorders>
              <w:top w:val="nil"/>
              <w:left w:val="nil"/>
              <w:bottom w:val="nil"/>
              <w:right w:val="nil"/>
            </w:tcBorders>
            <w:shd w:val="clear" w:color="auto" w:fill="auto"/>
            <w:vAlign w:val="center"/>
          </w:tcPr>
          <w:p w14:paraId="6C2DC1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识别路线节点和批次对象类型规则</w:t>
            </w:r>
          </w:p>
        </w:tc>
        <w:tc>
          <w:tcPr>
            <w:tcW w:w="966" w:type="dxa"/>
            <w:tcBorders>
              <w:top w:val="nil"/>
              <w:left w:val="nil"/>
              <w:bottom w:val="nil"/>
              <w:right w:val="nil"/>
            </w:tcBorders>
            <w:shd w:val="clear" w:color="auto" w:fill="auto"/>
            <w:vAlign w:val="center"/>
          </w:tcPr>
          <w:p w14:paraId="1271DA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D3B56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29FF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月度取数快照形成后</w:t>
            </w:r>
          </w:p>
        </w:tc>
        <w:tc>
          <w:tcPr>
            <w:tcW w:w="1406" w:type="dxa"/>
            <w:tcBorders>
              <w:top w:val="nil"/>
              <w:left w:val="nil"/>
              <w:bottom w:val="nil"/>
              <w:right w:val="nil"/>
            </w:tcBorders>
            <w:shd w:val="clear" w:color="auto" w:fill="auto"/>
            <w:vAlign w:val="center"/>
          </w:tcPr>
          <w:p w14:paraId="3946C3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按实际生产路线识别各类生产批次及其所在工艺环节；短路线不补建不存在的层级；共享设备按路线和物料隔离。</w:t>
            </w:r>
          </w:p>
        </w:tc>
        <w:tc>
          <w:tcPr>
            <w:tcW w:w="1088" w:type="dxa"/>
            <w:tcBorders>
              <w:top w:val="nil"/>
              <w:left w:val="nil"/>
              <w:bottom w:val="nil"/>
              <w:right w:val="nil"/>
            </w:tcBorders>
            <w:shd w:val="clear" w:color="auto" w:fill="auto"/>
            <w:vAlign w:val="center"/>
          </w:tcPr>
          <w:p w14:paraId="6DD36D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节点级批次对象清单</w:t>
            </w:r>
          </w:p>
        </w:tc>
        <w:tc>
          <w:tcPr>
            <w:tcW w:w="1460" w:type="dxa"/>
            <w:tcBorders>
              <w:top w:val="nil"/>
              <w:left w:val="nil"/>
              <w:bottom w:val="nil"/>
              <w:right w:val="nil"/>
            </w:tcBorders>
            <w:shd w:val="clear" w:color="auto" w:fill="auto"/>
            <w:vAlign w:val="center"/>
          </w:tcPr>
          <w:p w14:paraId="3B74A4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05912C7">
        <w:trPr>
          <w:cantSplit/>
          <w:trHeight w:val="0" w:hRule="atLeast"/>
          <w:jc w:val="center"/>
        </w:trPr>
        <w:tc>
          <w:tcPr>
            <w:tcW w:w="2944" w:type="dxa"/>
            <w:tcBorders>
              <w:top w:val="nil"/>
              <w:left w:val="nil"/>
              <w:bottom w:val="nil"/>
              <w:right w:val="nil"/>
            </w:tcBorders>
            <w:shd w:val="clear" w:color="auto" w:fill="auto"/>
            <w:vAlign w:val="center"/>
          </w:tcPr>
          <w:p w14:paraId="71E6D3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P-ZLTC-SCOS-FYCB-001-40-001</w:t>
            </w:r>
          </w:p>
        </w:tc>
        <w:tc>
          <w:tcPr>
            <w:tcW w:w="945" w:type="dxa"/>
            <w:tcBorders>
              <w:top w:val="nil"/>
              <w:left w:val="nil"/>
              <w:bottom w:val="nil"/>
              <w:right w:val="nil"/>
            </w:tcBorders>
            <w:shd w:val="clear" w:color="auto" w:fill="auto"/>
            <w:vAlign w:val="center"/>
          </w:tcPr>
          <w:p w14:paraId="3B13CC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计算批次边界和投入产出量规则</w:t>
            </w:r>
          </w:p>
        </w:tc>
        <w:tc>
          <w:tcPr>
            <w:tcW w:w="966" w:type="dxa"/>
            <w:tcBorders>
              <w:top w:val="nil"/>
              <w:left w:val="nil"/>
              <w:bottom w:val="nil"/>
              <w:right w:val="nil"/>
            </w:tcBorders>
            <w:shd w:val="clear" w:color="auto" w:fill="auto"/>
            <w:vAlign w:val="center"/>
          </w:tcPr>
          <w:p w14:paraId="66C8A1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1EC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D7280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节点级批次对象清单形成后</w:t>
            </w:r>
          </w:p>
        </w:tc>
        <w:tc>
          <w:tcPr>
            <w:tcW w:w="1406" w:type="dxa"/>
            <w:tcBorders>
              <w:top w:val="nil"/>
              <w:left w:val="nil"/>
              <w:bottom w:val="nil"/>
              <w:right w:val="nil"/>
            </w:tcBorders>
            <w:shd w:val="clear" w:color="auto" w:fill="auto"/>
            <w:vAlign w:val="center"/>
          </w:tcPr>
          <w:p w14:paraId="6FC21F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连续段按切换、停机和动态到达时间划窗；停流不累计；估算边界和数量时记录方法、参数与可信度。</w:t>
            </w:r>
          </w:p>
        </w:tc>
        <w:tc>
          <w:tcPr>
            <w:tcW w:w="1088" w:type="dxa"/>
            <w:tcBorders>
              <w:top w:val="nil"/>
              <w:left w:val="nil"/>
              <w:bottom w:val="nil"/>
              <w:right w:val="nil"/>
            </w:tcBorders>
            <w:shd w:val="clear" w:color="auto" w:fill="auto"/>
            <w:vAlign w:val="center"/>
          </w:tcPr>
          <w:p w14:paraId="29D1D6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候选批次边界、投入量、产出量和合格量</w:t>
            </w:r>
          </w:p>
        </w:tc>
        <w:tc>
          <w:tcPr>
            <w:tcW w:w="1460" w:type="dxa"/>
            <w:tcBorders>
              <w:top w:val="nil"/>
              <w:left w:val="nil"/>
              <w:bottom w:val="nil"/>
              <w:right w:val="nil"/>
            </w:tcBorders>
            <w:shd w:val="clear" w:color="auto" w:fill="auto"/>
            <w:vAlign w:val="center"/>
          </w:tcPr>
          <w:p w14:paraId="6DB715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001D2">
        <w:trPr>
          <w:cantSplit/>
          <w:trHeight w:val="0" w:hRule="atLeast"/>
          <w:jc w:val="center"/>
        </w:trPr>
        <w:tc>
          <w:tcPr>
            <w:tcW w:w="2944" w:type="dxa"/>
            <w:tcBorders>
              <w:top w:val="nil"/>
              <w:left w:val="nil"/>
              <w:bottom w:val="nil"/>
              <w:right w:val="nil"/>
            </w:tcBorders>
            <w:shd w:val="clear" w:color="auto" w:fill="auto"/>
            <w:vAlign w:val="center"/>
          </w:tcPr>
          <w:p w14:paraId="67BAED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P-ZLTC-SCOS-FYCB-001-50-001</w:t>
            </w:r>
          </w:p>
        </w:tc>
        <w:tc>
          <w:tcPr>
            <w:tcW w:w="945" w:type="dxa"/>
            <w:tcBorders>
              <w:top w:val="nil"/>
              <w:left w:val="nil"/>
              <w:bottom w:val="nil"/>
              <w:right w:val="nil"/>
            </w:tcBorders>
            <w:shd w:val="clear" w:color="auto" w:fill="auto"/>
            <w:vAlign w:val="center"/>
          </w:tcPr>
          <w:p w14:paraId="26BE73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判断批次完整性和一致性规则</w:t>
            </w:r>
          </w:p>
        </w:tc>
        <w:tc>
          <w:tcPr>
            <w:tcW w:w="966" w:type="dxa"/>
            <w:tcBorders>
              <w:top w:val="nil"/>
              <w:left w:val="nil"/>
              <w:bottom w:val="nil"/>
              <w:right w:val="nil"/>
            </w:tcBorders>
            <w:shd w:val="clear" w:color="auto" w:fill="auto"/>
            <w:vAlign w:val="center"/>
          </w:tcPr>
          <w:p w14:paraId="03F81F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2C58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54E369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候选批次边界、投入量、产出量和合格量形成后</w:t>
            </w:r>
          </w:p>
        </w:tc>
        <w:tc>
          <w:tcPr>
            <w:tcW w:w="1406" w:type="dxa"/>
            <w:tcBorders>
              <w:top w:val="nil"/>
              <w:left w:val="nil"/>
              <w:bottom w:val="nil"/>
              <w:right w:val="nil"/>
            </w:tcBorders>
            <w:shd w:val="clear" w:color="auto" w:fill="auto"/>
            <w:vAlign w:val="center"/>
          </w:tcPr>
          <w:p w14:paraId="60A9F8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检查编码唯一性、时间连续性、设备占用、容量、数量平衡；未通过时补充事实；通过后生成结果。</w:t>
            </w:r>
          </w:p>
        </w:tc>
        <w:tc>
          <w:tcPr>
            <w:tcW w:w="1088" w:type="dxa"/>
            <w:tcBorders>
              <w:top w:val="nil"/>
              <w:left w:val="nil"/>
              <w:bottom w:val="nil"/>
              <w:right w:val="nil"/>
            </w:tcBorders>
            <w:shd w:val="clear" w:color="auto" w:fill="auto"/>
            <w:vAlign w:val="center"/>
          </w:tcPr>
          <w:p w14:paraId="52E543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完整性检查结果</w:t>
            </w:r>
          </w:p>
        </w:tc>
        <w:tc>
          <w:tcPr>
            <w:tcW w:w="1460" w:type="dxa"/>
            <w:tcBorders>
              <w:top w:val="nil"/>
              <w:left w:val="nil"/>
              <w:bottom w:val="nil"/>
              <w:right w:val="nil"/>
            </w:tcBorders>
            <w:shd w:val="clear" w:color="auto" w:fill="auto"/>
            <w:vAlign w:val="center"/>
          </w:tcPr>
          <w:p w14:paraId="01F690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DEE0AD">
        <w:trPr>
          <w:cantSplit/>
          <w:trHeight w:val="0" w:hRule="atLeast"/>
          <w:jc w:val="center"/>
        </w:trPr>
        <w:tc>
          <w:tcPr>
            <w:tcW w:w="2944" w:type="dxa"/>
            <w:tcBorders>
              <w:top w:val="nil"/>
              <w:left w:val="nil"/>
              <w:bottom w:val="nil"/>
              <w:right w:val="nil"/>
            </w:tcBorders>
            <w:shd w:val="clear" w:color="auto" w:fill="auto"/>
            <w:vAlign w:val="center"/>
          </w:tcPr>
          <w:p w14:paraId="6D6765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P-ZLTC-SCOS-FYCB-001-60-001</w:t>
            </w:r>
          </w:p>
        </w:tc>
        <w:tc>
          <w:tcPr>
            <w:tcW w:w="945" w:type="dxa"/>
            <w:tcBorders>
              <w:top w:val="nil"/>
              <w:left w:val="nil"/>
              <w:bottom w:val="nil"/>
              <w:right w:val="nil"/>
            </w:tcBorders>
            <w:shd w:val="clear" w:color="auto" w:fill="auto"/>
            <w:vAlign w:val="center"/>
          </w:tcPr>
          <w:p w14:paraId="0B9E64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补充异常批次业务事实规则</w:t>
            </w:r>
          </w:p>
        </w:tc>
        <w:tc>
          <w:tcPr>
            <w:tcW w:w="966" w:type="dxa"/>
            <w:tcBorders>
              <w:top w:val="nil"/>
              <w:left w:val="nil"/>
              <w:bottom w:val="nil"/>
              <w:right w:val="nil"/>
            </w:tcBorders>
            <w:shd w:val="clear" w:color="auto" w:fill="auto"/>
            <w:vAlign w:val="center"/>
          </w:tcPr>
          <w:p w14:paraId="5598AD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F7C5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0BC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判断批次完整性和一致性未通过时</w:t>
            </w:r>
          </w:p>
        </w:tc>
        <w:tc>
          <w:tcPr>
            <w:tcW w:w="1406" w:type="dxa"/>
            <w:tcBorders>
              <w:top w:val="nil"/>
              <w:left w:val="nil"/>
              <w:bottom w:val="nil"/>
              <w:right w:val="nil"/>
            </w:tcBorders>
            <w:shd w:val="clear" w:color="auto" w:fill="auto"/>
            <w:vAlign w:val="center"/>
          </w:tcPr>
          <w:p w14:paraId="4C55FE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生产负责人在SCOS查看证据并补充实际业务事实；无可靠依据的批次保持待确认，不进入正式参考结果。</w:t>
            </w:r>
          </w:p>
        </w:tc>
        <w:tc>
          <w:tcPr>
            <w:tcW w:w="1088" w:type="dxa"/>
            <w:tcBorders>
              <w:top w:val="nil"/>
              <w:left w:val="nil"/>
              <w:bottom w:val="nil"/>
              <w:right w:val="nil"/>
            </w:tcBorders>
            <w:shd w:val="clear" w:color="auto" w:fill="auto"/>
            <w:vAlign w:val="center"/>
          </w:tcPr>
          <w:p w14:paraId="08B92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停机、旁路、清洗、切换、罐底或返工注入说明</w:t>
            </w:r>
          </w:p>
        </w:tc>
        <w:tc>
          <w:tcPr>
            <w:tcW w:w="1460" w:type="dxa"/>
            <w:tcBorders>
              <w:top w:val="nil"/>
              <w:left w:val="nil"/>
              <w:bottom w:val="nil"/>
              <w:right w:val="nil"/>
            </w:tcBorders>
            <w:shd w:val="clear" w:color="auto" w:fill="auto"/>
            <w:vAlign w:val="center"/>
          </w:tcPr>
          <w:p w14:paraId="52CDA70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22A361">
        <w:trPr>
          <w:cantSplit/>
          <w:trHeight w:val="0" w:hRule="atLeast"/>
          <w:jc w:val="center"/>
        </w:trPr>
        <w:tc>
          <w:tcPr>
            <w:tcW w:w="2944" w:type="dxa"/>
            <w:tcBorders>
              <w:top w:val="nil"/>
              <w:left w:val="nil"/>
              <w:bottom w:val="nil"/>
              <w:right w:val="nil"/>
            </w:tcBorders>
            <w:shd w:val="clear" w:color="auto" w:fill="auto"/>
            <w:vAlign w:val="center"/>
          </w:tcPr>
          <w:p w14:paraId="2A3C96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P-ZLTC-SCOS-FYCB-001-70-001</w:t>
            </w:r>
          </w:p>
        </w:tc>
        <w:tc>
          <w:tcPr>
            <w:tcW w:w="945" w:type="dxa"/>
            <w:tcBorders>
              <w:top w:val="nil"/>
              <w:left w:val="nil"/>
              <w:bottom w:val="nil"/>
              <w:right w:val="nil"/>
            </w:tcBorders>
            <w:shd w:val="clear" w:color="auto" w:fill="auto"/>
            <w:vAlign w:val="center"/>
          </w:tcPr>
          <w:p w14:paraId="7163EA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生成当月生产批次结果规则</w:t>
            </w:r>
          </w:p>
        </w:tc>
        <w:tc>
          <w:tcPr>
            <w:tcW w:w="966" w:type="dxa"/>
            <w:tcBorders>
              <w:top w:val="nil"/>
              <w:left w:val="nil"/>
              <w:bottom w:val="nil"/>
              <w:right w:val="nil"/>
            </w:tcBorders>
            <w:shd w:val="clear" w:color="auto" w:fill="auto"/>
            <w:vAlign w:val="center"/>
          </w:tcPr>
          <w:p w14:paraId="5084DA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A2D7B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DA87D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判断批次完整性和一致性通过时</w:t>
            </w:r>
          </w:p>
        </w:tc>
        <w:tc>
          <w:tcPr>
            <w:tcW w:w="1406" w:type="dxa"/>
            <w:tcBorders>
              <w:top w:val="nil"/>
              <w:left w:val="nil"/>
              <w:bottom w:val="nil"/>
              <w:right w:val="nil"/>
            </w:tcBorders>
            <w:shd w:val="clear" w:color="auto" w:fill="auto"/>
            <w:vAlign w:val="center"/>
          </w:tcPr>
          <w:p w14:paraId="0B947A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汇总批次编码、类型、时间边界、数量、状态及规则版本等信息；低可信度但允许保留的批次单独标识，不与已确认批次混淆。</w:t>
            </w:r>
          </w:p>
        </w:tc>
        <w:tc>
          <w:tcPr>
            <w:tcW w:w="1088" w:type="dxa"/>
            <w:tcBorders>
              <w:top w:val="nil"/>
              <w:left w:val="nil"/>
              <w:bottom w:val="nil"/>
              <w:right w:val="nil"/>
            </w:tcBorders>
            <w:shd w:val="clear" w:color="auto" w:fill="auto"/>
            <w:vAlign w:val="center"/>
          </w:tcPr>
          <w:p w14:paraId="7D47E7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当月生产批次结果</w:t>
            </w:r>
          </w:p>
        </w:tc>
        <w:tc>
          <w:tcPr>
            <w:tcW w:w="1460" w:type="dxa"/>
            <w:tcBorders>
              <w:top w:val="nil"/>
              <w:left w:val="nil"/>
              <w:bottom w:val="nil"/>
              <w:right w:val="nil"/>
            </w:tcBorders>
            <w:shd w:val="clear" w:color="auto" w:fill="auto"/>
            <w:vAlign w:val="center"/>
          </w:tcPr>
          <w:p w14:paraId="436BAF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C6F89B">
        <w:trPr>
          <w:cantSplit/>
          <w:trHeight w:val="0" w:hRule="atLeast"/>
          <w:jc w:val="center"/>
        </w:trPr>
        <w:tc>
          <w:tcPr>
            <w:tcW w:w="2944" w:type="dxa"/>
            <w:tcBorders>
              <w:top w:val="nil"/>
              <w:left w:val="nil"/>
              <w:bottom w:val="nil"/>
              <w:right w:val="nil"/>
            </w:tcBorders>
            <w:shd w:val="clear" w:color="auto" w:fill="auto"/>
            <w:vAlign w:val="center"/>
          </w:tcPr>
          <w:p w14:paraId="3E0F3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P-ZLTC-SCOS-FYCB-001-80-001</w:t>
            </w:r>
          </w:p>
        </w:tc>
        <w:tc>
          <w:tcPr>
            <w:tcW w:w="945" w:type="dxa"/>
            <w:tcBorders>
              <w:top w:val="nil"/>
              <w:left w:val="nil"/>
              <w:bottom w:val="nil"/>
              <w:right w:val="nil"/>
            </w:tcBorders>
            <w:shd w:val="clear" w:color="auto" w:fill="auto"/>
            <w:vAlign w:val="center"/>
          </w:tcPr>
          <w:p w14:paraId="1F8EA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保存当月批次主数据规则</w:t>
            </w:r>
          </w:p>
        </w:tc>
        <w:tc>
          <w:tcPr>
            <w:tcW w:w="966" w:type="dxa"/>
            <w:tcBorders>
              <w:top w:val="nil"/>
              <w:left w:val="nil"/>
              <w:bottom w:val="nil"/>
              <w:right w:val="nil"/>
            </w:tcBorders>
            <w:shd w:val="clear" w:color="auto" w:fill="auto"/>
            <w:vAlign w:val="center"/>
          </w:tcPr>
          <w:p w14:paraId="0453B1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A9796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F5E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当月生产批次结果形成后</w:t>
            </w:r>
          </w:p>
        </w:tc>
        <w:tc>
          <w:tcPr>
            <w:tcW w:w="1406" w:type="dxa"/>
            <w:tcBorders>
              <w:top w:val="nil"/>
              <w:left w:val="nil"/>
              <w:bottom w:val="nil"/>
              <w:right w:val="nil"/>
            </w:tcBorders>
            <w:shd w:val="clear" w:color="auto" w:fill="auto"/>
            <w:vAlign w:val="center"/>
          </w:tcPr>
          <w:p w14:paraId="1C01BD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保存批次结果及版本关系，提供给谱系关联和成本追溯使用；更正时新增替代版本并保留旧版本引用。</w:t>
            </w:r>
          </w:p>
        </w:tc>
        <w:tc>
          <w:tcPr>
            <w:tcW w:w="1088" w:type="dxa"/>
            <w:tcBorders>
              <w:top w:val="nil"/>
              <w:left w:val="nil"/>
              <w:bottom w:val="nil"/>
              <w:right w:val="nil"/>
            </w:tcBorders>
            <w:shd w:val="clear" w:color="auto" w:fill="auto"/>
            <w:vAlign w:val="center"/>
          </w:tcPr>
          <w:p w14:paraId="1F6985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当月批次主数据版本</w:t>
            </w:r>
          </w:p>
        </w:tc>
        <w:tc>
          <w:tcPr>
            <w:tcW w:w="1460" w:type="dxa"/>
            <w:tcBorders>
              <w:top w:val="nil"/>
              <w:left w:val="nil"/>
              <w:bottom w:val="nil"/>
              <w:right w:val="nil"/>
            </w:tcBorders>
            <w:shd w:val="clear" w:color="auto" w:fill="auto"/>
            <w:vAlign w:val="center"/>
          </w:tcPr>
          <w:p w14:paraId="6C4FA4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203FBC">
        <w:trPr>
          <w:cantSplit/>
          <w:trHeight w:val="0" w:hRule="atLeast"/>
          <w:jc w:val="center"/>
        </w:trPr>
        <w:tc>
          <w:tcPr>
            <w:tcW w:w="2944" w:type="dxa"/>
            <w:tcBorders>
              <w:top w:val="nil"/>
              <w:left w:val="nil"/>
              <w:bottom w:val="nil"/>
              <w:right w:val="nil"/>
            </w:tcBorders>
            <w:shd w:val="clear" w:color="auto" w:fill="auto"/>
            <w:vAlign w:val="center"/>
          </w:tcPr>
          <w:p w14:paraId="79310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P-ZLTC-SCOS-FYCB-002-10-001</w:t>
            </w:r>
          </w:p>
        </w:tc>
        <w:tc>
          <w:tcPr>
            <w:tcW w:w="945" w:type="dxa"/>
            <w:tcBorders>
              <w:top w:val="nil"/>
              <w:left w:val="nil"/>
              <w:bottom w:val="nil"/>
              <w:right w:val="nil"/>
            </w:tcBorders>
            <w:shd w:val="clear" w:color="auto" w:fill="auto"/>
            <w:vAlign w:val="center"/>
          </w:tcPr>
          <w:p w14:paraId="485D1D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提供路由和关联证据规则</w:t>
            </w:r>
          </w:p>
        </w:tc>
        <w:tc>
          <w:tcPr>
            <w:tcW w:w="966" w:type="dxa"/>
            <w:tcBorders>
              <w:top w:val="nil"/>
              <w:left w:val="nil"/>
              <w:bottom w:val="nil"/>
              <w:right w:val="nil"/>
            </w:tcBorders>
            <w:shd w:val="clear" w:color="auto" w:fill="auto"/>
            <w:vAlign w:val="center"/>
          </w:tcPr>
          <w:p w14:paraId="6CD5B0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38158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EB848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批次生成完成后由SCOS启动当月谱系关联时</w:t>
            </w:r>
          </w:p>
        </w:tc>
        <w:tc>
          <w:tcPr>
            <w:tcW w:w="1406" w:type="dxa"/>
            <w:tcBorders>
              <w:top w:val="nil"/>
              <w:left w:val="nil"/>
              <w:bottom w:val="nil"/>
              <w:right w:val="nil"/>
            </w:tcBorders>
            <w:shd w:val="clear" w:color="auto" w:fill="auto"/>
            <w:vAlign w:val="center"/>
          </w:tcPr>
          <w:p w14:paraId="7E73F4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按与批次生成一致的时间、单位和版本口径提供关联证据；时钟漂移、计量复位和数据缺口随质量标识返回。</w:t>
            </w:r>
          </w:p>
        </w:tc>
        <w:tc>
          <w:tcPr>
            <w:tcW w:w="1088" w:type="dxa"/>
            <w:tcBorders>
              <w:top w:val="nil"/>
              <w:left w:val="nil"/>
              <w:bottom w:val="nil"/>
              <w:right w:val="nil"/>
            </w:tcBorders>
            <w:shd w:val="clear" w:color="auto" w:fill="auto"/>
            <w:vAlign w:val="center"/>
          </w:tcPr>
          <w:p w14:paraId="4038715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有效路由、阀门、转罐、物流、称重、计量和QC数据</w:t>
            </w:r>
          </w:p>
        </w:tc>
        <w:tc>
          <w:tcPr>
            <w:tcW w:w="1460" w:type="dxa"/>
            <w:tcBorders>
              <w:top w:val="nil"/>
              <w:left w:val="nil"/>
              <w:bottom w:val="nil"/>
              <w:right w:val="nil"/>
            </w:tcBorders>
            <w:shd w:val="clear" w:color="auto" w:fill="auto"/>
            <w:vAlign w:val="center"/>
          </w:tcPr>
          <w:p w14:paraId="7B5505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53CE2E4">
        <w:trPr>
          <w:cantSplit/>
          <w:trHeight w:val="0" w:hRule="atLeast"/>
          <w:jc w:val="center"/>
        </w:trPr>
        <w:tc>
          <w:tcPr>
            <w:tcW w:w="2944" w:type="dxa"/>
            <w:tcBorders>
              <w:top w:val="nil"/>
              <w:left w:val="nil"/>
              <w:bottom w:val="nil"/>
              <w:right w:val="nil"/>
            </w:tcBorders>
            <w:shd w:val="clear" w:color="auto" w:fill="auto"/>
            <w:vAlign w:val="center"/>
          </w:tcPr>
          <w:p w14:paraId="69EEBE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P-ZLTC-SCOS-FYCB-002-20-001</w:t>
            </w:r>
          </w:p>
        </w:tc>
        <w:tc>
          <w:tcPr>
            <w:tcW w:w="945" w:type="dxa"/>
            <w:tcBorders>
              <w:top w:val="nil"/>
              <w:left w:val="nil"/>
              <w:bottom w:val="nil"/>
              <w:right w:val="nil"/>
            </w:tcBorders>
            <w:shd w:val="clear" w:color="auto" w:fill="auto"/>
            <w:vAlign w:val="center"/>
          </w:tcPr>
          <w:p w14:paraId="70475B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加载有效路由并统一事件口径规则</w:t>
            </w:r>
          </w:p>
        </w:tc>
        <w:tc>
          <w:tcPr>
            <w:tcW w:w="966" w:type="dxa"/>
            <w:tcBorders>
              <w:top w:val="nil"/>
              <w:left w:val="nil"/>
              <w:bottom w:val="nil"/>
              <w:right w:val="nil"/>
            </w:tcBorders>
            <w:shd w:val="clear" w:color="auto" w:fill="auto"/>
            <w:vAlign w:val="center"/>
          </w:tcPr>
          <w:p w14:paraId="1969AA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9631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76D78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有效路由、阀门、转罐、物流、称重、计量和QC数据形成后</w:t>
            </w:r>
          </w:p>
        </w:tc>
        <w:tc>
          <w:tcPr>
            <w:tcW w:w="1406" w:type="dxa"/>
            <w:tcBorders>
              <w:top w:val="nil"/>
              <w:left w:val="nil"/>
              <w:bottom w:val="nil"/>
              <w:right w:val="nil"/>
            </w:tcBorders>
            <w:shd w:val="clear" w:color="auto" w:fill="auto"/>
            <w:vAlign w:val="center"/>
          </w:tcPr>
          <w:p w14:paraId="0A1EF9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按事件时间加载路由版本，统一时区、单位和事件顺序；跨版本事件不直接相连，先标记异常。</w:t>
            </w:r>
          </w:p>
        </w:tc>
        <w:tc>
          <w:tcPr>
            <w:tcW w:w="1088" w:type="dxa"/>
            <w:tcBorders>
              <w:top w:val="nil"/>
              <w:left w:val="nil"/>
              <w:bottom w:val="nil"/>
              <w:right w:val="nil"/>
            </w:tcBorders>
            <w:shd w:val="clear" w:color="auto" w:fill="auto"/>
            <w:vAlign w:val="center"/>
          </w:tcPr>
          <w:p w14:paraId="45F48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事件时点有效路由及标准化事件</w:t>
            </w:r>
          </w:p>
        </w:tc>
        <w:tc>
          <w:tcPr>
            <w:tcW w:w="1460" w:type="dxa"/>
            <w:tcBorders>
              <w:top w:val="nil"/>
              <w:left w:val="nil"/>
              <w:bottom w:val="nil"/>
              <w:right w:val="nil"/>
            </w:tcBorders>
            <w:shd w:val="clear" w:color="auto" w:fill="auto"/>
            <w:vAlign w:val="center"/>
          </w:tcPr>
          <w:p w14:paraId="680F7A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98FB22">
        <w:trPr>
          <w:cantSplit/>
          <w:trHeight w:val="0" w:hRule="atLeast"/>
          <w:jc w:val="center"/>
        </w:trPr>
        <w:tc>
          <w:tcPr>
            <w:tcW w:w="2944" w:type="dxa"/>
            <w:tcBorders>
              <w:top w:val="nil"/>
              <w:left w:val="nil"/>
              <w:bottom w:val="nil"/>
              <w:right w:val="nil"/>
            </w:tcBorders>
            <w:shd w:val="clear" w:color="auto" w:fill="auto"/>
            <w:vAlign w:val="center"/>
          </w:tcPr>
          <w:p w14:paraId="37462D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P-ZLTC-SCOS-FYCB-002-30-001</w:t>
            </w:r>
          </w:p>
        </w:tc>
        <w:tc>
          <w:tcPr>
            <w:tcW w:w="945" w:type="dxa"/>
            <w:tcBorders>
              <w:top w:val="nil"/>
              <w:left w:val="nil"/>
              <w:bottom w:val="nil"/>
              <w:right w:val="nil"/>
            </w:tcBorders>
            <w:shd w:val="clear" w:color="auto" w:fill="auto"/>
            <w:vAlign w:val="center"/>
          </w:tcPr>
          <w:p w14:paraId="57FDD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计算上游物料动态到达区间规则</w:t>
            </w:r>
          </w:p>
        </w:tc>
        <w:tc>
          <w:tcPr>
            <w:tcW w:w="966" w:type="dxa"/>
            <w:tcBorders>
              <w:top w:val="nil"/>
              <w:left w:val="nil"/>
              <w:bottom w:val="nil"/>
              <w:right w:val="nil"/>
            </w:tcBorders>
            <w:shd w:val="clear" w:color="auto" w:fill="auto"/>
            <w:vAlign w:val="center"/>
          </w:tcPr>
          <w:p w14:paraId="51E712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DC3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1DC4E0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事件时点有效路由及标准化事件形成后</w:t>
            </w:r>
          </w:p>
        </w:tc>
        <w:tc>
          <w:tcPr>
            <w:tcW w:w="1406" w:type="dxa"/>
            <w:tcBorders>
              <w:top w:val="nil"/>
              <w:left w:val="nil"/>
              <w:bottom w:val="nil"/>
              <w:right w:val="nil"/>
            </w:tcBorders>
            <w:shd w:val="clear" w:color="auto" w:fill="auto"/>
            <w:vAlign w:val="center"/>
          </w:tcPr>
          <w:p w14:paraId="40A215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连续段采用实际流量积分传递边界；固定时长仅作已维护的降级估算并降低可信度。</w:t>
            </w:r>
          </w:p>
        </w:tc>
        <w:tc>
          <w:tcPr>
            <w:tcW w:w="1088" w:type="dxa"/>
            <w:tcBorders>
              <w:top w:val="nil"/>
              <w:left w:val="nil"/>
              <w:bottom w:val="nil"/>
              <w:right w:val="nil"/>
            </w:tcBorders>
            <w:shd w:val="clear" w:color="auto" w:fill="auto"/>
            <w:vAlign w:val="center"/>
          </w:tcPr>
          <w:p w14:paraId="0D975F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各路由边到达区间</w:t>
            </w:r>
          </w:p>
        </w:tc>
        <w:tc>
          <w:tcPr>
            <w:tcW w:w="1460" w:type="dxa"/>
            <w:tcBorders>
              <w:top w:val="nil"/>
              <w:left w:val="nil"/>
              <w:bottom w:val="nil"/>
              <w:right w:val="nil"/>
            </w:tcBorders>
            <w:shd w:val="clear" w:color="auto" w:fill="auto"/>
            <w:vAlign w:val="center"/>
          </w:tcPr>
          <w:p w14:paraId="5B8EB5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4C5ADA">
        <w:trPr>
          <w:cantSplit/>
          <w:trHeight w:val="0" w:hRule="atLeast"/>
          <w:jc w:val="center"/>
        </w:trPr>
        <w:tc>
          <w:tcPr>
            <w:tcW w:w="2944" w:type="dxa"/>
            <w:tcBorders>
              <w:top w:val="nil"/>
              <w:left w:val="nil"/>
              <w:bottom w:val="nil"/>
              <w:right w:val="nil"/>
            </w:tcBorders>
            <w:shd w:val="clear" w:color="auto" w:fill="auto"/>
            <w:vAlign w:val="center"/>
          </w:tcPr>
          <w:p w14:paraId="04712F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P-ZLTC-SCOS-FYCB-002-40-001</w:t>
            </w:r>
          </w:p>
        </w:tc>
        <w:tc>
          <w:tcPr>
            <w:tcW w:w="945" w:type="dxa"/>
            <w:tcBorders>
              <w:top w:val="nil"/>
              <w:left w:val="nil"/>
              <w:bottom w:val="nil"/>
              <w:right w:val="nil"/>
            </w:tcBorders>
            <w:shd w:val="clear" w:color="auto" w:fill="auto"/>
            <w:vAlign w:val="center"/>
          </w:tcPr>
          <w:p w14:paraId="74EC0B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筛选路线连通的待确认的关联关系规则</w:t>
            </w:r>
          </w:p>
        </w:tc>
        <w:tc>
          <w:tcPr>
            <w:tcW w:w="966" w:type="dxa"/>
            <w:tcBorders>
              <w:top w:val="nil"/>
              <w:left w:val="nil"/>
              <w:bottom w:val="nil"/>
              <w:right w:val="nil"/>
            </w:tcBorders>
            <w:shd w:val="clear" w:color="auto" w:fill="auto"/>
            <w:vAlign w:val="center"/>
          </w:tcPr>
          <w:p w14:paraId="718160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38473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70DDA1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各路由边到达区间形成后</w:t>
            </w:r>
          </w:p>
        </w:tc>
        <w:tc>
          <w:tcPr>
            <w:tcW w:w="1406" w:type="dxa"/>
            <w:tcBorders>
              <w:top w:val="nil"/>
              <w:left w:val="nil"/>
              <w:bottom w:val="nil"/>
              <w:right w:val="nil"/>
            </w:tcBorders>
            <w:shd w:val="clear" w:color="auto" w:fill="auto"/>
            <w:vAlign w:val="center"/>
          </w:tcPr>
          <w:p w14:paraId="263FF0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筛选同时符合路线、物料、设备占用和时间条件的上下游批次关系；时间重叠仅筛选候选，不直接代表数量归属。</w:t>
            </w:r>
          </w:p>
        </w:tc>
        <w:tc>
          <w:tcPr>
            <w:tcW w:w="1088" w:type="dxa"/>
            <w:tcBorders>
              <w:top w:val="nil"/>
              <w:left w:val="nil"/>
              <w:bottom w:val="nil"/>
              <w:right w:val="nil"/>
            </w:tcBorders>
            <w:shd w:val="clear" w:color="auto" w:fill="auto"/>
            <w:vAlign w:val="center"/>
          </w:tcPr>
          <w:p w14:paraId="69F7F9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候选上下游关系</w:t>
            </w:r>
          </w:p>
        </w:tc>
        <w:tc>
          <w:tcPr>
            <w:tcW w:w="1460" w:type="dxa"/>
            <w:tcBorders>
              <w:top w:val="nil"/>
              <w:left w:val="nil"/>
              <w:bottom w:val="nil"/>
              <w:right w:val="nil"/>
            </w:tcBorders>
            <w:shd w:val="clear" w:color="auto" w:fill="auto"/>
            <w:vAlign w:val="center"/>
          </w:tcPr>
          <w:p w14:paraId="2879D0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D8AA9B">
        <w:trPr>
          <w:cantSplit/>
          <w:trHeight w:val="0" w:hRule="atLeast"/>
          <w:jc w:val="center"/>
        </w:trPr>
        <w:tc>
          <w:tcPr>
            <w:tcW w:w="2944" w:type="dxa"/>
            <w:tcBorders>
              <w:top w:val="nil"/>
              <w:left w:val="nil"/>
              <w:bottom w:val="nil"/>
              <w:right w:val="nil"/>
            </w:tcBorders>
            <w:shd w:val="clear" w:color="auto" w:fill="auto"/>
            <w:vAlign w:val="center"/>
          </w:tcPr>
          <w:p w14:paraId="158FFB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P-ZLTC-SCOS-FYCB-002-50-001</w:t>
            </w:r>
          </w:p>
        </w:tc>
        <w:tc>
          <w:tcPr>
            <w:tcW w:w="945" w:type="dxa"/>
            <w:tcBorders>
              <w:top w:val="nil"/>
              <w:left w:val="nil"/>
              <w:bottom w:val="nil"/>
              <w:right w:val="nil"/>
            </w:tcBorders>
            <w:shd w:val="clear" w:color="auto" w:fill="auto"/>
            <w:vAlign w:val="center"/>
          </w:tcPr>
          <w:p w14:paraId="309B0F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计算关系数量占比和转化率规则</w:t>
            </w:r>
          </w:p>
        </w:tc>
        <w:tc>
          <w:tcPr>
            <w:tcW w:w="966" w:type="dxa"/>
            <w:tcBorders>
              <w:top w:val="nil"/>
              <w:left w:val="nil"/>
              <w:bottom w:val="nil"/>
              <w:right w:val="nil"/>
            </w:tcBorders>
            <w:shd w:val="clear" w:color="auto" w:fill="auto"/>
            <w:vAlign w:val="center"/>
          </w:tcPr>
          <w:p w14:paraId="4ECFC2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6B82D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99B46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候选上下游关系形成后</w:t>
            </w:r>
          </w:p>
        </w:tc>
        <w:tc>
          <w:tcPr>
            <w:tcW w:w="1406" w:type="dxa"/>
            <w:tcBorders>
              <w:top w:val="nil"/>
              <w:left w:val="nil"/>
              <w:bottom w:val="nil"/>
              <w:right w:val="nil"/>
            </w:tcBorders>
            <w:shd w:val="clear" w:color="auto" w:fill="auto"/>
            <w:vAlign w:val="center"/>
          </w:tcPr>
          <w:p w14:paraId="316C6B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优先按支路和接收点实测质量定量；不以标准配方或固定收率改写实际谱系。</w:t>
            </w:r>
          </w:p>
        </w:tc>
        <w:tc>
          <w:tcPr>
            <w:tcW w:w="1088" w:type="dxa"/>
            <w:tcBorders>
              <w:top w:val="nil"/>
              <w:left w:val="nil"/>
              <w:bottom w:val="nil"/>
              <w:right w:val="nil"/>
            </w:tcBorders>
            <w:shd w:val="clear" w:color="auto" w:fill="auto"/>
            <w:vAlign w:val="center"/>
          </w:tcPr>
          <w:p w14:paraId="4FF6C7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转出量、接收量、去向占比、来源占比和转化率</w:t>
            </w:r>
          </w:p>
        </w:tc>
        <w:tc>
          <w:tcPr>
            <w:tcW w:w="1460" w:type="dxa"/>
            <w:tcBorders>
              <w:top w:val="nil"/>
              <w:left w:val="nil"/>
              <w:bottom w:val="nil"/>
              <w:right w:val="nil"/>
            </w:tcBorders>
            <w:shd w:val="clear" w:color="auto" w:fill="auto"/>
            <w:vAlign w:val="center"/>
          </w:tcPr>
          <w:p w14:paraId="155568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AAD4DD9">
        <w:trPr>
          <w:cantSplit/>
          <w:trHeight w:val="0" w:hRule="atLeast"/>
          <w:jc w:val="center"/>
        </w:trPr>
        <w:tc>
          <w:tcPr>
            <w:tcW w:w="2944" w:type="dxa"/>
            <w:tcBorders>
              <w:top w:val="nil"/>
              <w:left w:val="nil"/>
              <w:bottom w:val="nil"/>
              <w:right w:val="nil"/>
            </w:tcBorders>
            <w:shd w:val="clear" w:color="auto" w:fill="auto"/>
            <w:vAlign w:val="center"/>
          </w:tcPr>
          <w:p w14:paraId="475F67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P-ZLTC-SCOS-FYCB-002-60-001</w:t>
            </w:r>
          </w:p>
        </w:tc>
        <w:tc>
          <w:tcPr>
            <w:tcW w:w="945" w:type="dxa"/>
            <w:tcBorders>
              <w:top w:val="nil"/>
              <w:left w:val="nil"/>
              <w:bottom w:val="nil"/>
              <w:right w:val="nil"/>
            </w:tcBorders>
            <w:shd w:val="clear" w:color="auto" w:fill="auto"/>
            <w:vAlign w:val="center"/>
          </w:tcPr>
          <w:p w14:paraId="57A4ED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判断谱系关系是否可追溯规则</w:t>
            </w:r>
          </w:p>
        </w:tc>
        <w:tc>
          <w:tcPr>
            <w:tcW w:w="966" w:type="dxa"/>
            <w:tcBorders>
              <w:top w:val="nil"/>
              <w:left w:val="nil"/>
              <w:bottom w:val="nil"/>
              <w:right w:val="nil"/>
            </w:tcBorders>
            <w:shd w:val="clear" w:color="auto" w:fill="auto"/>
            <w:vAlign w:val="center"/>
          </w:tcPr>
          <w:p w14:paraId="784356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B846A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4F57EB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转出量、接收量、去向占比、来源占比和转化率形成后</w:t>
            </w:r>
          </w:p>
        </w:tc>
        <w:tc>
          <w:tcPr>
            <w:tcW w:w="1406" w:type="dxa"/>
            <w:tcBorders>
              <w:top w:val="nil"/>
              <w:left w:val="nil"/>
              <w:bottom w:val="nil"/>
              <w:right w:val="nil"/>
            </w:tcBorders>
            <w:shd w:val="clear" w:color="auto" w:fill="auto"/>
            <w:vAlign w:val="center"/>
          </w:tcPr>
          <w:p w14:paraId="0A449B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校验分流汇流数量、共享设备占用、质量放行及返工来源；谱系关系不可追溯时补充事实；谱系关系可追溯时生成结果。</w:t>
            </w:r>
          </w:p>
        </w:tc>
        <w:tc>
          <w:tcPr>
            <w:tcW w:w="1088" w:type="dxa"/>
            <w:tcBorders>
              <w:top w:val="nil"/>
              <w:left w:val="nil"/>
              <w:bottom w:val="nil"/>
              <w:right w:val="nil"/>
            </w:tcBorders>
            <w:shd w:val="clear" w:color="auto" w:fill="auto"/>
            <w:vAlign w:val="center"/>
          </w:tcPr>
          <w:p w14:paraId="03FB039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路线、重量、容量、顺序、配方、QC和返工校验结果</w:t>
            </w:r>
          </w:p>
        </w:tc>
        <w:tc>
          <w:tcPr>
            <w:tcW w:w="1460" w:type="dxa"/>
            <w:tcBorders>
              <w:top w:val="nil"/>
              <w:left w:val="nil"/>
              <w:bottom w:val="nil"/>
              <w:right w:val="nil"/>
            </w:tcBorders>
            <w:shd w:val="clear" w:color="auto" w:fill="auto"/>
            <w:vAlign w:val="center"/>
          </w:tcPr>
          <w:p w14:paraId="6639B3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C46A6A">
        <w:trPr>
          <w:cantSplit/>
          <w:trHeight w:val="0" w:hRule="atLeast"/>
          <w:jc w:val="center"/>
        </w:trPr>
        <w:tc>
          <w:tcPr>
            <w:tcW w:w="2944" w:type="dxa"/>
            <w:tcBorders>
              <w:top w:val="nil"/>
              <w:left w:val="nil"/>
              <w:bottom w:val="nil"/>
              <w:right w:val="nil"/>
            </w:tcBorders>
            <w:shd w:val="clear" w:color="auto" w:fill="auto"/>
            <w:vAlign w:val="center"/>
          </w:tcPr>
          <w:p w14:paraId="414532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P-ZLTC-SCOS-FYCB-002-70-001</w:t>
            </w:r>
          </w:p>
        </w:tc>
        <w:tc>
          <w:tcPr>
            <w:tcW w:w="945" w:type="dxa"/>
            <w:tcBorders>
              <w:top w:val="nil"/>
              <w:left w:val="nil"/>
              <w:bottom w:val="nil"/>
              <w:right w:val="nil"/>
            </w:tcBorders>
            <w:shd w:val="clear" w:color="auto" w:fill="auto"/>
            <w:vAlign w:val="center"/>
          </w:tcPr>
          <w:p w14:paraId="61891C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补充异常关系业务事实规则</w:t>
            </w:r>
          </w:p>
        </w:tc>
        <w:tc>
          <w:tcPr>
            <w:tcW w:w="966" w:type="dxa"/>
            <w:tcBorders>
              <w:top w:val="nil"/>
              <w:left w:val="nil"/>
              <w:bottom w:val="nil"/>
              <w:right w:val="nil"/>
            </w:tcBorders>
            <w:shd w:val="clear" w:color="auto" w:fill="auto"/>
            <w:vAlign w:val="center"/>
          </w:tcPr>
          <w:p w14:paraId="5BDDFC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89DFA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57D4BF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谱系关系不可追溯时</w:t>
            </w:r>
          </w:p>
        </w:tc>
        <w:tc>
          <w:tcPr>
            <w:tcW w:w="1406" w:type="dxa"/>
            <w:tcBorders>
              <w:top w:val="nil"/>
              <w:left w:val="nil"/>
              <w:bottom w:val="nil"/>
              <w:right w:val="nil"/>
            </w:tcBorders>
            <w:shd w:val="clear" w:color="auto" w:fill="auto"/>
            <w:vAlign w:val="center"/>
          </w:tcPr>
          <w:p w14:paraId="119443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生产负责人在SCOS核对异常关系并补充现场事实；无可靠依据的关系保持候选状态。</w:t>
            </w:r>
          </w:p>
        </w:tc>
        <w:tc>
          <w:tcPr>
            <w:tcW w:w="1088" w:type="dxa"/>
            <w:tcBorders>
              <w:top w:val="nil"/>
              <w:left w:val="nil"/>
              <w:bottom w:val="nil"/>
              <w:right w:val="nil"/>
            </w:tcBorders>
            <w:shd w:val="clear" w:color="auto" w:fill="auto"/>
            <w:vAlign w:val="center"/>
          </w:tcPr>
          <w:p w14:paraId="1F42E7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旁路、停机、切换、返工和实际操作说明</w:t>
            </w:r>
          </w:p>
        </w:tc>
        <w:tc>
          <w:tcPr>
            <w:tcW w:w="1460" w:type="dxa"/>
            <w:tcBorders>
              <w:top w:val="nil"/>
              <w:left w:val="nil"/>
              <w:bottom w:val="nil"/>
              <w:right w:val="nil"/>
            </w:tcBorders>
            <w:shd w:val="clear" w:color="auto" w:fill="auto"/>
            <w:vAlign w:val="center"/>
          </w:tcPr>
          <w:p w14:paraId="28C00C4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E3E5D8">
        <w:trPr>
          <w:cantSplit/>
          <w:trHeight w:val="0" w:hRule="atLeast"/>
          <w:jc w:val="center"/>
        </w:trPr>
        <w:tc>
          <w:tcPr>
            <w:tcW w:w="2944" w:type="dxa"/>
            <w:tcBorders>
              <w:top w:val="nil"/>
              <w:left w:val="nil"/>
              <w:bottom w:val="nil"/>
              <w:right w:val="nil"/>
            </w:tcBorders>
            <w:shd w:val="clear" w:color="auto" w:fill="auto"/>
            <w:vAlign w:val="center"/>
          </w:tcPr>
          <w:p w14:paraId="76407A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P-ZLTC-SCOS-FYCB-002-80-001</w:t>
            </w:r>
          </w:p>
        </w:tc>
        <w:tc>
          <w:tcPr>
            <w:tcW w:w="945" w:type="dxa"/>
            <w:tcBorders>
              <w:top w:val="nil"/>
              <w:left w:val="nil"/>
              <w:bottom w:val="nil"/>
              <w:right w:val="nil"/>
            </w:tcBorders>
            <w:shd w:val="clear" w:color="auto" w:fill="auto"/>
            <w:vAlign w:val="center"/>
          </w:tcPr>
          <w:p w14:paraId="3DECB6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生成当月批次谱系结果规则</w:t>
            </w:r>
          </w:p>
        </w:tc>
        <w:tc>
          <w:tcPr>
            <w:tcW w:w="966" w:type="dxa"/>
            <w:tcBorders>
              <w:top w:val="nil"/>
              <w:left w:val="nil"/>
              <w:bottom w:val="nil"/>
              <w:right w:val="nil"/>
            </w:tcBorders>
            <w:shd w:val="clear" w:color="auto" w:fill="auto"/>
            <w:vAlign w:val="center"/>
          </w:tcPr>
          <w:p w14:paraId="3664D5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4615E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0073A9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谱系关系可追溯时</w:t>
            </w:r>
          </w:p>
        </w:tc>
        <w:tc>
          <w:tcPr>
            <w:tcW w:w="1406" w:type="dxa"/>
            <w:tcBorders>
              <w:top w:val="nil"/>
              <w:left w:val="nil"/>
              <w:bottom w:val="nil"/>
              <w:right w:val="nil"/>
            </w:tcBorders>
            <w:shd w:val="clear" w:color="auto" w:fill="auto"/>
            <w:vAlign w:val="center"/>
          </w:tcPr>
          <w:p w14:paraId="6B66B9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形成上下游批次关系，记录数量、占比、依据和可信状态；候选、确认和低可信度关系分状态输出。</w:t>
            </w:r>
          </w:p>
        </w:tc>
        <w:tc>
          <w:tcPr>
            <w:tcW w:w="1088" w:type="dxa"/>
            <w:tcBorders>
              <w:top w:val="nil"/>
              <w:left w:val="nil"/>
              <w:bottom w:val="nil"/>
              <w:right w:val="nil"/>
            </w:tcBorders>
            <w:shd w:val="clear" w:color="auto" w:fill="auto"/>
            <w:vAlign w:val="center"/>
          </w:tcPr>
          <w:p w14:paraId="3383ED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当月批次谱系结果</w:t>
            </w:r>
          </w:p>
        </w:tc>
        <w:tc>
          <w:tcPr>
            <w:tcW w:w="1460" w:type="dxa"/>
            <w:tcBorders>
              <w:top w:val="nil"/>
              <w:left w:val="nil"/>
              <w:bottom w:val="nil"/>
              <w:right w:val="nil"/>
            </w:tcBorders>
            <w:shd w:val="clear" w:color="auto" w:fill="auto"/>
            <w:vAlign w:val="center"/>
          </w:tcPr>
          <w:p w14:paraId="7D7B7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CEA535">
        <w:trPr>
          <w:cantSplit/>
          <w:trHeight w:val="0" w:hRule="atLeast"/>
          <w:jc w:val="center"/>
        </w:trPr>
        <w:tc>
          <w:tcPr>
            <w:tcW w:w="2944" w:type="dxa"/>
            <w:tcBorders>
              <w:top w:val="nil"/>
              <w:left w:val="nil"/>
              <w:bottom w:val="nil"/>
              <w:right w:val="nil"/>
            </w:tcBorders>
            <w:shd w:val="clear" w:color="auto" w:fill="auto"/>
            <w:vAlign w:val="center"/>
          </w:tcPr>
          <w:p w14:paraId="78CEE3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P-ZLTC-SCOS-FYCB-002-90-001</w:t>
            </w:r>
          </w:p>
        </w:tc>
        <w:tc>
          <w:tcPr>
            <w:tcW w:w="945" w:type="dxa"/>
            <w:tcBorders>
              <w:top w:val="nil"/>
              <w:left w:val="nil"/>
              <w:bottom w:val="nil"/>
              <w:right w:val="nil"/>
            </w:tcBorders>
            <w:shd w:val="clear" w:color="auto" w:fill="auto"/>
            <w:vAlign w:val="center"/>
          </w:tcPr>
          <w:p w14:paraId="0BD9D6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保存当月批次谱系规则</w:t>
            </w:r>
          </w:p>
        </w:tc>
        <w:tc>
          <w:tcPr>
            <w:tcW w:w="966" w:type="dxa"/>
            <w:tcBorders>
              <w:top w:val="nil"/>
              <w:left w:val="nil"/>
              <w:bottom w:val="nil"/>
              <w:right w:val="nil"/>
            </w:tcBorders>
            <w:shd w:val="clear" w:color="auto" w:fill="auto"/>
            <w:vAlign w:val="center"/>
          </w:tcPr>
          <w:p w14:paraId="29D539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0B85C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6CC423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当月批次谱系结果形成后</w:t>
            </w:r>
          </w:p>
        </w:tc>
        <w:tc>
          <w:tcPr>
            <w:tcW w:w="1406" w:type="dxa"/>
            <w:tcBorders>
              <w:top w:val="nil"/>
              <w:left w:val="nil"/>
              <w:bottom w:val="nil"/>
              <w:right w:val="nil"/>
            </w:tcBorders>
            <w:shd w:val="clear" w:color="auto" w:fill="auto"/>
            <w:vAlign w:val="center"/>
          </w:tcPr>
          <w:p w14:paraId="00CB89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保存关系结果和受影响后代索引，支持成本计算与双向追溯；迟到或更正数据形成替代版本，不覆盖历史。</w:t>
            </w:r>
          </w:p>
        </w:tc>
        <w:tc>
          <w:tcPr>
            <w:tcW w:w="1088" w:type="dxa"/>
            <w:tcBorders>
              <w:top w:val="nil"/>
              <w:left w:val="nil"/>
              <w:bottom w:val="nil"/>
              <w:right w:val="nil"/>
            </w:tcBorders>
            <w:shd w:val="clear" w:color="auto" w:fill="auto"/>
            <w:vAlign w:val="center"/>
          </w:tcPr>
          <w:p w14:paraId="1AAC893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月度批次谱系版本</w:t>
            </w:r>
          </w:p>
        </w:tc>
        <w:tc>
          <w:tcPr>
            <w:tcW w:w="1460" w:type="dxa"/>
            <w:tcBorders>
              <w:top w:val="nil"/>
              <w:left w:val="nil"/>
              <w:bottom w:val="nil"/>
              <w:right w:val="nil"/>
            </w:tcBorders>
            <w:shd w:val="clear" w:color="auto" w:fill="auto"/>
            <w:vAlign w:val="center"/>
          </w:tcPr>
          <w:p w14:paraId="37162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5980DFC">
        <w:trPr>
          <w:cantSplit/>
          <w:trHeight w:val="0" w:hRule="atLeast"/>
          <w:jc w:val="center"/>
        </w:trPr>
        <w:tc>
          <w:tcPr>
            <w:tcW w:w="2944" w:type="dxa"/>
            <w:tcBorders>
              <w:top w:val="nil"/>
              <w:left w:val="nil"/>
              <w:bottom w:val="nil"/>
              <w:right w:val="nil"/>
            </w:tcBorders>
            <w:shd w:val="clear" w:color="auto" w:fill="auto"/>
            <w:vAlign w:val="center"/>
          </w:tcPr>
          <w:p w14:paraId="15F2E9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P-ZLTC-SCOS-FYCB-003-10-001</w:t>
            </w:r>
          </w:p>
        </w:tc>
        <w:tc>
          <w:tcPr>
            <w:tcW w:w="945" w:type="dxa"/>
            <w:tcBorders>
              <w:top w:val="nil"/>
              <w:left w:val="nil"/>
              <w:bottom w:val="nil"/>
              <w:right w:val="nil"/>
            </w:tcBorders>
            <w:shd w:val="clear" w:color="auto" w:fill="auto"/>
            <w:vAlign w:val="center"/>
          </w:tcPr>
          <w:p w14:paraId="412701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提供当月成本事实数据规则</w:t>
            </w:r>
          </w:p>
        </w:tc>
        <w:tc>
          <w:tcPr>
            <w:tcW w:w="966" w:type="dxa"/>
            <w:tcBorders>
              <w:top w:val="nil"/>
              <w:left w:val="nil"/>
              <w:bottom w:val="nil"/>
              <w:right w:val="nil"/>
            </w:tcBorders>
            <w:shd w:val="clear" w:color="auto" w:fill="auto"/>
            <w:vAlign w:val="center"/>
          </w:tcPr>
          <w:p w14:paraId="2A474A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16731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B418F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谱系可用后由SCOS启动直接成本归集时</w:t>
            </w:r>
          </w:p>
        </w:tc>
        <w:tc>
          <w:tcPr>
            <w:tcW w:w="1406" w:type="dxa"/>
            <w:tcBorders>
              <w:top w:val="nil"/>
              <w:left w:val="nil"/>
              <w:bottom w:val="nil"/>
              <w:right w:val="nil"/>
            </w:tcBorders>
            <w:shd w:val="clear" w:color="auto" w:fill="auto"/>
            <w:vAlign w:val="center"/>
          </w:tcPr>
          <w:p w14:paraId="761EA7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提供成本记录的来源、时间、数量、单价、金额及税额；缺失、重复或期间外记录携带数据质量标识。</w:t>
            </w:r>
          </w:p>
        </w:tc>
        <w:tc>
          <w:tcPr>
            <w:tcW w:w="1088" w:type="dxa"/>
            <w:tcBorders>
              <w:top w:val="nil"/>
              <w:left w:val="nil"/>
              <w:bottom w:val="nil"/>
              <w:right w:val="nil"/>
            </w:tcBorders>
            <w:shd w:val="clear" w:color="auto" w:fill="auto"/>
            <w:vAlign w:val="center"/>
          </w:tcPr>
          <w:p w14:paraId="77CFD7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采购、领料、能源、维修、检验、包装和运输成本事实</w:t>
            </w:r>
          </w:p>
        </w:tc>
        <w:tc>
          <w:tcPr>
            <w:tcW w:w="1460" w:type="dxa"/>
            <w:tcBorders>
              <w:top w:val="nil"/>
              <w:left w:val="nil"/>
              <w:bottom w:val="nil"/>
              <w:right w:val="nil"/>
            </w:tcBorders>
            <w:shd w:val="clear" w:color="auto" w:fill="auto"/>
            <w:vAlign w:val="center"/>
          </w:tcPr>
          <w:p w14:paraId="7CBB8F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81D461">
        <w:trPr>
          <w:cantSplit/>
          <w:trHeight w:val="0" w:hRule="atLeast"/>
          <w:jc w:val="center"/>
        </w:trPr>
        <w:tc>
          <w:tcPr>
            <w:tcW w:w="2944" w:type="dxa"/>
            <w:tcBorders>
              <w:top w:val="nil"/>
              <w:left w:val="nil"/>
              <w:bottom w:val="nil"/>
              <w:right w:val="nil"/>
            </w:tcBorders>
            <w:shd w:val="clear" w:color="auto" w:fill="auto"/>
            <w:vAlign w:val="center"/>
          </w:tcPr>
          <w:p w14:paraId="1B7230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P-ZLTC-SCOS-FYCB-003-20-001</w:t>
            </w:r>
          </w:p>
        </w:tc>
        <w:tc>
          <w:tcPr>
            <w:tcW w:w="945" w:type="dxa"/>
            <w:tcBorders>
              <w:top w:val="nil"/>
              <w:left w:val="nil"/>
              <w:bottom w:val="nil"/>
              <w:right w:val="nil"/>
            </w:tcBorders>
            <w:shd w:val="clear" w:color="auto" w:fill="auto"/>
            <w:vAlign w:val="center"/>
          </w:tcPr>
          <w:p w14:paraId="2032FD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标准化并去重成本事实规则</w:t>
            </w:r>
          </w:p>
        </w:tc>
        <w:tc>
          <w:tcPr>
            <w:tcW w:w="966" w:type="dxa"/>
            <w:tcBorders>
              <w:top w:val="nil"/>
              <w:left w:val="nil"/>
              <w:bottom w:val="nil"/>
              <w:right w:val="nil"/>
            </w:tcBorders>
            <w:shd w:val="clear" w:color="auto" w:fill="auto"/>
            <w:vAlign w:val="center"/>
          </w:tcPr>
          <w:p w14:paraId="4CE77C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515C8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73F444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采购、领料、能源、维修、检验、包装和运输成本事实形成后</w:t>
            </w:r>
          </w:p>
        </w:tc>
        <w:tc>
          <w:tcPr>
            <w:tcW w:w="1406" w:type="dxa"/>
            <w:tcBorders>
              <w:top w:val="nil"/>
              <w:left w:val="nil"/>
              <w:bottom w:val="nil"/>
              <w:right w:val="nil"/>
            </w:tcBorders>
            <w:shd w:val="clear" w:color="auto" w:fill="auto"/>
            <w:vAlign w:val="center"/>
          </w:tcPr>
          <w:p w14:paraId="6849F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统一期间、币种、税口径、数量单位和成本要素；重复记录拒绝进入后续计算；暂估与实际保留关联。</w:t>
            </w:r>
          </w:p>
        </w:tc>
        <w:tc>
          <w:tcPr>
            <w:tcW w:w="1088" w:type="dxa"/>
            <w:tcBorders>
              <w:top w:val="nil"/>
              <w:left w:val="nil"/>
              <w:bottom w:val="nil"/>
              <w:right w:val="nil"/>
            </w:tcBorders>
            <w:shd w:val="clear" w:color="auto" w:fill="auto"/>
            <w:vAlign w:val="center"/>
          </w:tcPr>
          <w:p w14:paraId="41646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标准化且唯一的成本记录</w:t>
            </w:r>
          </w:p>
        </w:tc>
        <w:tc>
          <w:tcPr>
            <w:tcW w:w="1460" w:type="dxa"/>
            <w:tcBorders>
              <w:top w:val="nil"/>
              <w:left w:val="nil"/>
              <w:bottom w:val="nil"/>
              <w:right w:val="nil"/>
            </w:tcBorders>
            <w:shd w:val="clear" w:color="auto" w:fill="auto"/>
            <w:vAlign w:val="center"/>
          </w:tcPr>
          <w:p w14:paraId="3D5065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54B727">
        <w:trPr>
          <w:cantSplit/>
          <w:trHeight w:val="0" w:hRule="atLeast"/>
          <w:jc w:val="center"/>
        </w:trPr>
        <w:tc>
          <w:tcPr>
            <w:tcW w:w="2944" w:type="dxa"/>
            <w:tcBorders>
              <w:top w:val="nil"/>
              <w:left w:val="nil"/>
              <w:bottom w:val="nil"/>
              <w:right w:val="nil"/>
            </w:tcBorders>
            <w:shd w:val="clear" w:color="auto" w:fill="auto"/>
            <w:vAlign w:val="center"/>
          </w:tcPr>
          <w:p w14:paraId="3455F7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P-ZLTC-SCOS-FYCB-003-30-001</w:t>
            </w:r>
          </w:p>
        </w:tc>
        <w:tc>
          <w:tcPr>
            <w:tcW w:w="945" w:type="dxa"/>
            <w:tcBorders>
              <w:top w:val="nil"/>
              <w:left w:val="nil"/>
              <w:bottom w:val="nil"/>
              <w:right w:val="nil"/>
            </w:tcBorders>
            <w:shd w:val="clear" w:color="auto" w:fill="auto"/>
            <w:vAlign w:val="center"/>
          </w:tcPr>
          <w:p w14:paraId="2EDC62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识别直接计批与待分摊费用规则</w:t>
            </w:r>
          </w:p>
        </w:tc>
        <w:tc>
          <w:tcPr>
            <w:tcW w:w="966" w:type="dxa"/>
            <w:tcBorders>
              <w:top w:val="nil"/>
              <w:left w:val="nil"/>
              <w:bottom w:val="nil"/>
              <w:right w:val="nil"/>
            </w:tcBorders>
            <w:shd w:val="clear" w:color="auto" w:fill="auto"/>
            <w:vAlign w:val="center"/>
          </w:tcPr>
          <w:p w14:paraId="538D7C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34E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0F775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标准化且唯一的成本记录形成后</w:t>
            </w:r>
          </w:p>
        </w:tc>
        <w:tc>
          <w:tcPr>
            <w:tcW w:w="1406" w:type="dxa"/>
            <w:tcBorders>
              <w:top w:val="nil"/>
              <w:left w:val="nil"/>
              <w:bottom w:val="nil"/>
              <w:right w:val="nil"/>
            </w:tcBorders>
            <w:shd w:val="clear" w:color="auto" w:fill="auto"/>
            <w:vAlign w:val="center"/>
          </w:tcPr>
          <w:p w14:paraId="0F35B5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检查产线环节、批次范围、数量金额及费用归属是否明确；不能可靠定位的成本进入待确认费用池，不强行平均。</w:t>
            </w:r>
          </w:p>
        </w:tc>
        <w:tc>
          <w:tcPr>
            <w:tcW w:w="1088" w:type="dxa"/>
            <w:tcBorders>
              <w:top w:val="nil"/>
              <w:left w:val="nil"/>
              <w:bottom w:val="nil"/>
              <w:right w:val="nil"/>
            </w:tcBorders>
            <w:shd w:val="clear" w:color="auto" w:fill="auto"/>
            <w:vAlign w:val="center"/>
          </w:tcPr>
          <w:p w14:paraId="15DBA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可直接计批记录和待确认费用池记录</w:t>
            </w:r>
          </w:p>
        </w:tc>
        <w:tc>
          <w:tcPr>
            <w:tcW w:w="1460" w:type="dxa"/>
            <w:tcBorders>
              <w:top w:val="nil"/>
              <w:left w:val="nil"/>
              <w:bottom w:val="nil"/>
              <w:right w:val="nil"/>
            </w:tcBorders>
            <w:shd w:val="clear" w:color="auto" w:fill="auto"/>
            <w:vAlign w:val="center"/>
          </w:tcPr>
          <w:p w14:paraId="494758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0B5A67">
        <w:trPr>
          <w:cantSplit/>
          <w:trHeight w:val="0" w:hRule="atLeast"/>
          <w:jc w:val="center"/>
        </w:trPr>
        <w:tc>
          <w:tcPr>
            <w:tcW w:w="2944" w:type="dxa"/>
            <w:tcBorders>
              <w:top w:val="nil"/>
              <w:left w:val="nil"/>
              <w:bottom w:val="nil"/>
              <w:right w:val="nil"/>
            </w:tcBorders>
            <w:shd w:val="clear" w:color="auto" w:fill="auto"/>
            <w:vAlign w:val="center"/>
          </w:tcPr>
          <w:p w14:paraId="040C23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P-ZLTC-SCOS-FYCB-003-40-001</w:t>
            </w:r>
          </w:p>
        </w:tc>
        <w:tc>
          <w:tcPr>
            <w:tcW w:w="945" w:type="dxa"/>
            <w:tcBorders>
              <w:top w:val="nil"/>
              <w:left w:val="nil"/>
              <w:bottom w:val="nil"/>
              <w:right w:val="nil"/>
            </w:tcBorders>
            <w:shd w:val="clear" w:color="auto" w:fill="auto"/>
            <w:vAlign w:val="center"/>
          </w:tcPr>
          <w:p w14:paraId="1BF234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计算批次直接成本规则</w:t>
            </w:r>
          </w:p>
        </w:tc>
        <w:tc>
          <w:tcPr>
            <w:tcW w:w="966" w:type="dxa"/>
            <w:tcBorders>
              <w:top w:val="nil"/>
              <w:left w:val="nil"/>
              <w:bottom w:val="nil"/>
              <w:right w:val="nil"/>
            </w:tcBorders>
            <w:shd w:val="clear" w:color="auto" w:fill="auto"/>
            <w:vAlign w:val="center"/>
          </w:tcPr>
          <w:p w14:paraId="7A26C1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C53D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8F065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可直接计批记录和待确认费用池记录形成后</w:t>
            </w:r>
          </w:p>
        </w:tc>
        <w:tc>
          <w:tcPr>
            <w:tcW w:w="1406" w:type="dxa"/>
            <w:tcBorders>
              <w:top w:val="nil"/>
              <w:left w:val="nil"/>
              <w:bottom w:val="nil"/>
              <w:right w:val="nil"/>
            </w:tcBorders>
            <w:shd w:val="clear" w:color="auto" w:fill="auto"/>
            <w:vAlign w:val="center"/>
          </w:tcPr>
          <w:p w14:paraId="478A14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按实际业务数量拆分金额，计入成本实际发生节点；发票未到时保留采购批暂估，实际到达后形成差异版本。</w:t>
            </w:r>
          </w:p>
        </w:tc>
        <w:tc>
          <w:tcPr>
            <w:tcW w:w="1088" w:type="dxa"/>
            <w:tcBorders>
              <w:top w:val="nil"/>
              <w:left w:val="nil"/>
              <w:bottom w:val="nil"/>
              <w:right w:val="nil"/>
            </w:tcBorders>
            <w:shd w:val="clear" w:color="auto" w:fill="auto"/>
            <w:vAlign w:val="center"/>
          </w:tcPr>
          <w:p w14:paraId="7B8233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批次直接成本明细</w:t>
            </w:r>
          </w:p>
        </w:tc>
        <w:tc>
          <w:tcPr>
            <w:tcW w:w="1460" w:type="dxa"/>
            <w:tcBorders>
              <w:top w:val="nil"/>
              <w:left w:val="nil"/>
              <w:bottom w:val="nil"/>
              <w:right w:val="nil"/>
            </w:tcBorders>
            <w:shd w:val="clear" w:color="auto" w:fill="auto"/>
            <w:vAlign w:val="center"/>
          </w:tcPr>
          <w:p w14:paraId="4F8D9F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B8C59D">
        <w:trPr>
          <w:cantSplit/>
          <w:trHeight w:val="0" w:hRule="atLeast"/>
          <w:jc w:val="center"/>
        </w:trPr>
        <w:tc>
          <w:tcPr>
            <w:tcW w:w="2944" w:type="dxa"/>
            <w:tcBorders>
              <w:top w:val="nil"/>
              <w:left w:val="nil"/>
              <w:bottom w:val="nil"/>
              <w:right w:val="nil"/>
            </w:tcBorders>
            <w:shd w:val="clear" w:color="auto" w:fill="auto"/>
            <w:vAlign w:val="center"/>
          </w:tcPr>
          <w:p w14:paraId="3E75BD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P-ZLTC-SCOS-FYCB-003-50-001</w:t>
            </w:r>
          </w:p>
        </w:tc>
        <w:tc>
          <w:tcPr>
            <w:tcW w:w="945" w:type="dxa"/>
            <w:tcBorders>
              <w:top w:val="nil"/>
              <w:left w:val="nil"/>
              <w:bottom w:val="nil"/>
              <w:right w:val="nil"/>
            </w:tcBorders>
            <w:shd w:val="clear" w:color="auto" w:fill="auto"/>
            <w:vAlign w:val="center"/>
          </w:tcPr>
          <w:p w14:paraId="496FA0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判断来源和追溯链是否完整规则</w:t>
            </w:r>
          </w:p>
        </w:tc>
        <w:tc>
          <w:tcPr>
            <w:tcW w:w="966" w:type="dxa"/>
            <w:tcBorders>
              <w:top w:val="nil"/>
              <w:left w:val="nil"/>
              <w:bottom w:val="nil"/>
              <w:right w:val="nil"/>
            </w:tcBorders>
            <w:shd w:val="clear" w:color="auto" w:fill="auto"/>
            <w:vAlign w:val="center"/>
          </w:tcPr>
          <w:p w14:paraId="506156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FB019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38AC9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批次直接成本明细形成后</w:t>
            </w:r>
          </w:p>
        </w:tc>
        <w:tc>
          <w:tcPr>
            <w:tcW w:w="1406" w:type="dxa"/>
            <w:tcBorders>
              <w:top w:val="nil"/>
              <w:left w:val="nil"/>
              <w:bottom w:val="nil"/>
              <w:right w:val="nil"/>
            </w:tcBorders>
            <w:shd w:val="clear" w:color="auto" w:fill="auto"/>
            <w:vAlign w:val="center"/>
          </w:tcPr>
          <w:p w14:paraId="25B571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确认每笔成本可回到来源记录、只进入一种归集结果；来源和追溯链不完整时补充成本口径；来源和追溯链完整时生成结果。</w:t>
            </w:r>
          </w:p>
        </w:tc>
        <w:tc>
          <w:tcPr>
            <w:tcW w:w="1088" w:type="dxa"/>
            <w:tcBorders>
              <w:top w:val="nil"/>
              <w:left w:val="nil"/>
              <w:bottom w:val="nil"/>
              <w:right w:val="nil"/>
            </w:tcBorders>
            <w:shd w:val="clear" w:color="auto" w:fill="auto"/>
            <w:vAlign w:val="center"/>
          </w:tcPr>
          <w:p w14:paraId="0F50A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来源唯一性、分类完整性和追溯链检查结果</w:t>
            </w:r>
          </w:p>
        </w:tc>
        <w:tc>
          <w:tcPr>
            <w:tcW w:w="1460" w:type="dxa"/>
            <w:tcBorders>
              <w:top w:val="nil"/>
              <w:left w:val="nil"/>
              <w:bottom w:val="nil"/>
              <w:right w:val="nil"/>
            </w:tcBorders>
            <w:shd w:val="clear" w:color="auto" w:fill="auto"/>
            <w:vAlign w:val="center"/>
          </w:tcPr>
          <w:p w14:paraId="032A8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350F82">
        <w:trPr>
          <w:cantSplit/>
          <w:trHeight w:val="0" w:hRule="atLeast"/>
          <w:jc w:val="center"/>
        </w:trPr>
        <w:tc>
          <w:tcPr>
            <w:tcW w:w="2944" w:type="dxa"/>
            <w:tcBorders>
              <w:top w:val="nil"/>
              <w:left w:val="nil"/>
              <w:bottom w:val="nil"/>
              <w:right w:val="nil"/>
            </w:tcBorders>
            <w:shd w:val="clear" w:color="auto" w:fill="auto"/>
            <w:vAlign w:val="center"/>
          </w:tcPr>
          <w:p w14:paraId="222BF1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P-ZLTC-SCOS-FYCB-003-60-001</w:t>
            </w:r>
          </w:p>
        </w:tc>
        <w:tc>
          <w:tcPr>
            <w:tcW w:w="945" w:type="dxa"/>
            <w:tcBorders>
              <w:top w:val="nil"/>
              <w:left w:val="nil"/>
              <w:bottom w:val="nil"/>
              <w:right w:val="nil"/>
            </w:tcBorders>
            <w:shd w:val="clear" w:color="auto" w:fill="auto"/>
            <w:vAlign w:val="center"/>
          </w:tcPr>
          <w:p w14:paraId="12A8A5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补充成本口径和异常分类规则</w:t>
            </w:r>
          </w:p>
        </w:tc>
        <w:tc>
          <w:tcPr>
            <w:tcW w:w="966" w:type="dxa"/>
            <w:tcBorders>
              <w:top w:val="nil"/>
              <w:left w:val="nil"/>
              <w:bottom w:val="nil"/>
              <w:right w:val="nil"/>
            </w:tcBorders>
            <w:shd w:val="clear" w:color="auto" w:fill="auto"/>
            <w:vAlign w:val="center"/>
          </w:tcPr>
          <w:p w14:paraId="366565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663F7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0B6A8B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来源和追溯链不完整时</w:t>
            </w:r>
          </w:p>
        </w:tc>
        <w:tc>
          <w:tcPr>
            <w:tcW w:w="1406" w:type="dxa"/>
            <w:tcBorders>
              <w:top w:val="nil"/>
              <w:left w:val="nil"/>
              <w:bottom w:val="nil"/>
              <w:right w:val="nil"/>
            </w:tcBorders>
            <w:shd w:val="clear" w:color="auto" w:fill="auto"/>
            <w:vAlign w:val="center"/>
          </w:tcPr>
          <w:p w14:paraId="428E7C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财务负责人在SCOS核对业务事实并维护参考映射或说明；修正后由SCOS重新分类和计算；无依据记录保持待处理。</w:t>
            </w:r>
          </w:p>
        </w:tc>
        <w:tc>
          <w:tcPr>
            <w:tcW w:w="1088" w:type="dxa"/>
            <w:tcBorders>
              <w:top w:val="nil"/>
              <w:left w:val="nil"/>
              <w:bottom w:val="nil"/>
              <w:right w:val="nil"/>
            </w:tcBorders>
            <w:shd w:val="clear" w:color="auto" w:fill="auto"/>
            <w:vAlign w:val="center"/>
          </w:tcPr>
          <w:p w14:paraId="15A33E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成本要素映射和分类说明</w:t>
            </w:r>
          </w:p>
        </w:tc>
        <w:tc>
          <w:tcPr>
            <w:tcW w:w="1460" w:type="dxa"/>
            <w:tcBorders>
              <w:top w:val="nil"/>
              <w:left w:val="nil"/>
              <w:bottom w:val="nil"/>
              <w:right w:val="nil"/>
            </w:tcBorders>
            <w:shd w:val="clear" w:color="auto" w:fill="auto"/>
            <w:vAlign w:val="center"/>
          </w:tcPr>
          <w:p w14:paraId="4CD7D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D26B6E">
        <w:trPr>
          <w:cantSplit/>
          <w:trHeight w:val="0" w:hRule="atLeast"/>
          <w:jc w:val="center"/>
        </w:trPr>
        <w:tc>
          <w:tcPr>
            <w:tcW w:w="2944" w:type="dxa"/>
            <w:tcBorders>
              <w:top w:val="nil"/>
              <w:left w:val="nil"/>
              <w:bottom w:val="nil"/>
              <w:right w:val="nil"/>
            </w:tcBorders>
            <w:shd w:val="clear" w:color="auto" w:fill="auto"/>
            <w:vAlign w:val="center"/>
          </w:tcPr>
          <w:p w14:paraId="202C84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P-ZLTC-SCOS-FYCB-003-70-001</w:t>
            </w:r>
          </w:p>
        </w:tc>
        <w:tc>
          <w:tcPr>
            <w:tcW w:w="945" w:type="dxa"/>
            <w:tcBorders>
              <w:top w:val="nil"/>
              <w:left w:val="nil"/>
              <w:bottom w:val="nil"/>
              <w:right w:val="nil"/>
            </w:tcBorders>
            <w:shd w:val="clear" w:color="auto" w:fill="auto"/>
            <w:vAlign w:val="center"/>
          </w:tcPr>
          <w:p w14:paraId="391E97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生成批次直接成本结果规则</w:t>
            </w:r>
          </w:p>
        </w:tc>
        <w:tc>
          <w:tcPr>
            <w:tcW w:w="966" w:type="dxa"/>
            <w:tcBorders>
              <w:top w:val="nil"/>
              <w:left w:val="nil"/>
              <w:bottom w:val="nil"/>
              <w:right w:val="nil"/>
            </w:tcBorders>
            <w:shd w:val="clear" w:color="auto" w:fill="auto"/>
            <w:vAlign w:val="center"/>
          </w:tcPr>
          <w:p w14:paraId="1B9B1A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C0A25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54C4AB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来源和追溯链完整时</w:t>
            </w:r>
          </w:p>
        </w:tc>
        <w:tc>
          <w:tcPr>
            <w:tcW w:w="1406" w:type="dxa"/>
            <w:tcBorders>
              <w:top w:val="nil"/>
              <w:left w:val="nil"/>
              <w:bottom w:val="nil"/>
              <w:right w:val="nil"/>
            </w:tcBorders>
            <w:shd w:val="clear" w:color="auto" w:fill="auto"/>
            <w:vAlign w:val="center"/>
          </w:tcPr>
          <w:p w14:paraId="2FA2B3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形成批次直接成本明细，记录来源、成本要素、金额和暂估状态；待处理差异单列，不阻断其他可追溯成本。</w:t>
            </w:r>
          </w:p>
        </w:tc>
        <w:tc>
          <w:tcPr>
            <w:tcW w:w="1088" w:type="dxa"/>
            <w:tcBorders>
              <w:top w:val="nil"/>
              <w:left w:val="nil"/>
              <w:bottom w:val="nil"/>
              <w:right w:val="nil"/>
            </w:tcBorders>
            <w:shd w:val="clear" w:color="auto" w:fill="auto"/>
            <w:vAlign w:val="center"/>
          </w:tcPr>
          <w:p w14:paraId="7BD498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批次直接成本结果</w:t>
            </w:r>
          </w:p>
        </w:tc>
        <w:tc>
          <w:tcPr>
            <w:tcW w:w="1460" w:type="dxa"/>
            <w:tcBorders>
              <w:top w:val="nil"/>
              <w:left w:val="nil"/>
              <w:bottom w:val="nil"/>
              <w:right w:val="nil"/>
            </w:tcBorders>
            <w:shd w:val="clear" w:color="auto" w:fill="auto"/>
            <w:vAlign w:val="center"/>
          </w:tcPr>
          <w:p w14:paraId="184811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A5605A">
        <w:trPr>
          <w:cantSplit/>
          <w:trHeight w:val="0" w:hRule="atLeast"/>
          <w:jc w:val="center"/>
        </w:trPr>
        <w:tc>
          <w:tcPr>
            <w:tcW w:w="2944" w:type="dxa"/>
            <w:tcBorders>
              <w:top w:val="nil"/>
              <w:left w:val="nil"/>
              <w:bottom w:val="nil"/>
              <w:right w:val="nil"/>
            </w:tcBorders>
            <w:shd w:val="clear" w:color="auto" w:fill="auto"/>
            <w:vAlign w:val="center"/>
          </w:tcPr>
          <w:p w14:paraId="28D68C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P-ZLTC-SCOS-FYCB-003-80-001</w:t>
            </w:r>
          </w:p>
        </w:tc>
        <w:tc>
          <w:tcPr>
            <w:tcW w:w="945" w:type="dxa"/>
            <w:tcBorders>
              <w:top w:val="nil"/>
              <w:left w:val="nil"/>
              <w:bottom w:val="nil"/>
              <w:right w:val="nil"/>
            </w:tcBorders>
            <w:shd w:val="clear" w:color="auto" w:fill="auto"/>
            <w:vAlign w:val="center"/>
          </w:tcPr>
          <w:p w14:paraId="3CCBA4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保存批次直接成本结果规则</w:t>
            </w:r>
          </w:p>
        </w:tc>
        <w:tc>
          <w:tcPr>
            <w:tcW w:w="966" w:type="dxa"/>
            <w:tcBorders>
              <w:top w:val="nil"/>
              <w:left w:val="nil"/>
              <w:bottom w:val="nil"/>
              <w:right w:val="nil"/>
            </w:tcBorders>
            <w:shd w:val="clear" w:color="auto" w:fill="auto"/>
            <w:vAlign w:val="center"/>
          </w:tcPr>
          <w:p w14:paraId="2B1746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6857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6C7EAA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批次直接成本结果形成后</w:t>
            </w:r>
          </w:p>
        </w:tc>
        <w:tc>
          <w:tcPr>
            <w:tcW w:w="1406" w:type="dxa"/>
            <w:tcBorders>
              <w:top w:val="nil"/>
              <w:left w:val="nil"/>
              <w:bottom w:val="nil"/>
              <w:right w:val="nil"/>
            </w:tcBorders>
            <w:shd w:val="clear" w:color="auto" w:fill="auto"/>
            <w:vAlign w:val="center"/>
          </w:tcPr>
          <w:p w14:paraId="1B104F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保存直接成本、待确认费用池和来源引用；结果用于经营分析参考，不替代财务实际核算。</w:t>
            </w:r>
          </w:p>
        </w:tc>
        <w:tc>
          <w:tcPr>
            <w:tcW w:w="1088" w:type="dxa"/>
            <w:tcBorders>
              <w:top w:val="nil"/>
              <w:left w:val="nil"/>
              <w:bottom w:val="nil"/>
              <w:right w:val="nil"/>
            </w:tcBorders>
            <w:shd w:val="clear" w:color="auto" w:fill="auto"/>
            <w:vAlign w:val="center"/>
          </w:tcPr>
          <w:p w14:paraId="5E27A50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批次直接成本参考版本</w:t>
            </w:r>
          </w:p>
        </w:tc>
        <w:tc>
          <w:tcPr>
            <w:tcW w:w="1460" w:type="dxa"/>
            <w:tcBorders>
              <w:top w:val="nil"/>
              <w:left w:val="nil"/>
              <w:bottom w:val="nil"/>
              <w:right w:val="nil"/>
            </w:tcBorders>
            <w:shd w:val="clear" w:color="auto" w:fill="auto"/>
            <w:vAlign w:val="center"/>
          </w:tcPr>
          <w:p w14:paraId="176800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03A46C">
        <w:trPr>
          <w:cantSplit/>
          <w:trHeight w:val="0" w:hRule="atLeast"/>
          <w:jc w:val="center"/>
        </w:trPr>
        <w:tc>
          <w:tcPr>
            <w:tcW w:w="2944" w:type="dxa"/>
            <w:tcBorders>
              <w:top w:val="nil"/>
              <w:left w:val="nil"/>
              <w:bottom w:val="nil"/>
              <w:right w:val="nil"/>
            </w:tcBorders>
            <w:shd w:val="clear" w:color="auto" w:fill="auto"/>
            <w:vAlign w:val="center"/>
          </w:tcPr>
          <w:p w14:paraId="46F82A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P-ZLTC-SCOS-FYCB-004-10-001</w:t>
            </w:r>
          </w:p>
        </w:tc>
        <w:tc>
          <w:tcPr>
            <w:tcW w:w="945" w:type="dxa"/>
            <w:tcBorders>
              <w:top w:val="nil"/>
              <w:left w:val="nil"/>
              <w:bottom w:val="nil"/>
              <w:right w:val="nil"/>
            </w:tcBorders>
            <w:shd w:val="clear" w:color="auto" w:fill="auto"/>
            <w:vAlign w:val="center"/>
          </w:tcPr>
          <w:p w14:paraId="55D4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提供费用金额和动因数据规则</w:t>
            </w:r>
          </w:p>
        </w:tc>
        <w:tc>
          <w:tcPr>
            <w:tcW w:w="966" w:type="dxa"/>
            <w:tcBorders>
              <w:top w:val="nil"/>
              <w:left w:val="nil"/>
              <w:bottom w:val="nil"/>
              <w:right w:val="nil"/>
            </w:tcBorders>
            <w:shd w:val="clear" w:color="auto" w:fill="auto"/>
            <w:vAlign w:val="center"/>
          </w:tcPr>
          <w:p w14:paraId="077309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424F0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587F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直接成本分类完成后由SCOS启动费用池分摊时</w:t>
            </w:r>
          </w:p>
        </w:tc>
        <w:tc>
          <w:tcPr>
            <w:tcW w:w="1406" w:type="dxa"/>
            <w:tcBorders>
              <w:top w:val="nil"/>
              <w:left w:val="nil"/>
              <w:bottom w:val="nil"/>
              <w:right w:val="nil"/>
            </w:tcBorders>
            <w:shd w:val="clear" w:color="auto" w:fill="auto"/>
            <w:vAlign w:val="center"/>
          </w:tcPr>
          <w:p w14:paraId="1DDE54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按期间和费用类型提供费用总额、直接计入额及待分摊额；数据缺失时明确缺失范围，不自动补零。</w:t>
            </w:r>
          </w:p>
        </w:tc>
        <w:tc>
          <w:tcPr>
            <w:tcW w:w="1088" w:type="dxa"/>
            <w:tcBorders>
              <w:top w:val="nil"/>
              <w:left w:val="nil"/>
              <w:bottom w:val="nil"/>
              <w:right w:val="nil"/>
            </w:tcBorders>
            <w:shd w:val="clear" w:color="auto" w:fill="auto"/>
            <w:vAlign w:val="center"/>
          </w:tcPr>
          <w:p w14:paraId="51C697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期间费用、工时、设备占用、能耗、处理量、绝干量和发运数据</w:t>
            </w:r>
          </w:p>
        </w:tc>
        <w:tc>
          <w:tcPr>
            <w:tcW w:w="1460" w:type="dxa"/>
            <w:tcBorders>
              <w:top w:val="nil"/>
              <w:left w:val="nil"/>
              <w:bottom w:val="nil"/>
              <w:right w:val="nil"/>
            </w:tcBorders>
            <w:shd w:val="clear" w:color="auto" w:fill="auto"/>
            <w:vAlign w:val="center"/>
          </w:tcPr>
          <w:p w14:paraId="0D541C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F77AE36">
        <w:trPr>
          <w:cantSplit/>
          <w:trHeight w:val="0" w:hRule="atLeast"/>
          <w:jc w:val="center"/>
        </w:trPr>
        <w:tc>
          <w:tcPr>
            <w:tcW w:w="2944" w:type="dxa"/>
            <w:tcBorders>
              <w:top w:val="nil"/>
              <w:left w:val="nil"/>
              <w:bottom w:val="nil"/>
              <w:right w:val="nil"/>
            </w:tcBorders>
            <w:shd w:val="clear" w:color="auto" w:fill="auto"/>
            <w:vAlign w:val="center"/>
          </w:tcPr>
          <w:p w14:paraId="1EAD6D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P-ZLTC-SCOS-FYCB-004-20-001</w:t>
            </w:r>
          </w:p>
        </w:tc>
        <w:tc>
          <w:tcPr>
            <w:tcW w:w="945" w:type="dxa"/>
            <w:tcBorders>
              <w:top w:val="nil"/>
              <w:left w:val="nil"/>
              <w:bottom w:val="nil"/>
              <w:right w:val="nil"/>
            </w:tcBorders>
            <w:shd w:val="clear" w:color="auto" w:fill="auto"/>
            <w:vAlign w:val="center"/>
          </w:tcPr>
          <w:p w14:paraId="289D9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维护费用池范围和动因规则</w:t>
            </w:r>
          </w:p>
        </w:tc>
        <w:tc>
          <w:tcPr>
            <w:tcW w:w="966" w:type="dxa"/>
            <w:tcBorders>
              <w:top w:val="nil"/>
              <w:left w:val="nil"/>
              <w:bottom w:val="nil"/>
              <w:right w:val="nil"/>
            </w:tcBorders>
            <w:shd w:val="clear" w:color="auto" w:fill="auto"/>
            <w:vAlign w:val="center"/>
          </w:tcPr>
          <w:p w14:paraId="7EABC8A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E086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A4BC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期间费用、工时、设备占用、能耗、处理量、绝干量和发运数据形成后</w:t>
            </w:r>
          </w:p>
        </w:tc>
        <w:tc>
          <w:tcPr>
            <w:tcW w:w="1406" w:type="dxa"/>
            <w:tcBorders>
              <w:top w:val="nil"/>
              <w:left w:val="nil"/>
              <w:bottom w:val="nil"/>
              <w:right w:val="nil"/>
            </w:tcBorders>
            <w:shd w:val="clear" w:color="auto" w:fill="auto"/>
            <w:vAlign w:val="center"/>
          </w:tcPr>
          <w:p w14:paraId="2DDBCF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财务负责人在SCOS维护人工、折旧、公共能源、维修；共享设备按实际占用或处理量定义受益范围。</w:t>
            </w:r>
          </w:p>
        </w:tc>
        <w:tc>
          <w:tcPr>
            <w:tcW w:w="1088" w:type="dxa"/>
            <w:tcBorders>
              <w:top w:val="nil"/>
              <w:left w:val="nil"/>
              <w:bottom w:val="nil"/>
              <w:right w:val="nil"/>
            </w:tcBorders>
            <w:shd w:val="clear" w:color="auto" w:fill="auto"/>
            <w:vAlign w:val="center"/>
          </w:tcPr>
          <w:p w14:paraId="1A49B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受益范围、首选和备选动因</w:t>
            </w:r>
          </w:p>
        </w:tc>
        <w:tc>
          <w:tcPr>
            <w:tcW w:w="1460" w:type="dxa"/>
            <w:tcBorders>
              <w:top w:val="nil"/>
              <w:left w:val="nil"/>
              <w:bottom w:val="nil"/>
              <w:right w:val="nil"/>
            </w:tcBorders>
            <w:shd w:val="clear" w:color="auto" w:fill="auto"/>
            <w:vAlign w:val="center"/>
          </w:tcPr>
          <w:p w14:paraId="387A8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1E238">
        <w:trPr>
          <w:cantSplit/>
          <w:trHeight w:val="0" w:hRule="atLeast"/>
          <w:jc w:val="center"/>
        </w:trPr>
        <w:tc>
          <w:tcPr>
            <w:tcW w:w="2944" w:type="dxa"/>
            <w:tcBorders>
              <w:top w:val="nil"/>
              <w:left w:val="nil"/>
              <w:bottom w:val="nil"/>
              <w:right w:val="nil"/>
            </w:tcBorders>
            <w:shd w:val="clear" w:color="auto" w:fill="auto"/>
            <w:vAlign w:val="center"/>
          </w:tcPr>
          <w:p w14:paraId="086592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P-ZLTC-SCOS-FYCB-004-30-001</w:t>
            </w:r>
          </w:p>
        </w:tc>
        <w:tc>
          <w:tcPr>
            <w:tcW w:w="945" w:type="dxa"/>
            <w:tcBorders>
              <w:top w:val="nil"/>
              <w:left w:val="nil"/>
              <w:bottom w:val="nil"/>
              <w:right w:val="nil"/>
            </w:tcBorders>
            <w:shd w:val="clear" w:color="auto" w:fill="auto"/>
            <w:vAlign w:val="center"/>
          </w:tcPr>
          <w:p w14:paraId="26D053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计算费用池可分摊金额规则</w:t>
            </w:r>
          </w:p>
        </w:tc>
        <w:tc>
          <w:tcPr>
            <w:tcW w:w="966" w:type="dxa"/>
            <w:tcBorders>
              <w:top w:val="nil"/>
              <w:left w:val="nil"/>
              <w:bottom w:val="nil"/>
              <w:right w:val="nil"/>
            </w:tcBorders>
            <w:shd w:val="clear" w:color="auto" w:fill="auto"/>
            <w:vAlign w:val="center"/>
          </w:tcPr>
          <w:p w14:paraId="7E0E76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68BC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E668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受益范围、首选和备选动因形成后</w:t>
            </w:r>
          </w:p>
        </w:tc>
        <w:tc>
          <w:tcPr>
            <w:tcW w:w="1406" w:type="dxa"/>
            <w:tcBorders>
              <w:top w:val="nil"/>
              <w:left w:val="nil"/>
              <w:bottom w:val="nil"/>
              <w:right w:val="nil"/>
            </w:tcBorders>
            <w:shd w:val="clear" w:color="auto" w:fill="auto"/>
            <w:vAlign w:val="center"/>
          </w:tcPr>
          <w:p w14:paraId="116203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按期间、成本中心、成本要素和费用池计算可分摊净额；重复来源或扣减项不清时保持待处理。</w:t>
            </w:r>
          </w:p>
        </w:tc>
        <w:tc>
          <w:tcPr>
            <w:tcW w:w="1088" w:type="dxa"/>
            <w:tcBorders>
              <w:top w:val="nil"/>
              <w:left w:val="nil"/>
              <w:bottom w:val="nil"/>
              <w:right w:val="nil"/>
            </w:tcBorders>
            <w:shd w:val="clear" w:color="auto" w:fill="auto"/>
            <w:vAlign w:val="center"/>
          </w:tcPr>
          <w:p w14:paraId="5A8EA4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费用池可分摊金额</w:t>
            </w:r>
          </w:p>
        </w:tc>
        <w:tc>
          <w:tcPr>
            <w:tcW w:w="1460" w:type="dxa"/>
            <w:tcBorders>
              <w:top w:val="nil"/>
              <w:left w:val="nil"/>
              <w:bottom w:val="nil"/>
              <w:right w:val="nil"/>
            </w:tcBorders>
            <w:shd w:val="clear" w:color="auto" w:fill="auto"/>
            <w:vAlign w:val="center"/>
          </w:tcPr>
          <w:p w14:paraId="006E9E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C02C40">
        <w:trPr>
          <w:cantSplit/>
          <w:trHeight w:val="0" w:hRule="atLeast"/>
          <w:jc w:val="center"/>
        </w:trPr>
        <w:tc>
          <w:tcPr>
            <w:tcW w:w="2944" w:type="dxa"/>
            <w:tcBorders>
              <w:top w:val="nil"/>
              <w:left w:val="nil"/>
              <w:bottom w:val="nil"/>
              <w:right w:val="nil"/>
            </w:tcBorders>
            <w:shd w:val="clear" w:color="auto" w:fill="auto"/>
            <w:vAlign w:val="center"/>
          </w:tcPr>
          <w:p w14:paraId="70A365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P-ZLTC-SCOS-FYCB-004-40-001</w:t>
            </w:r>
          </w:p>
        </w:tc>
        <w:tc>
          <w:tcPr>
            <w:tcW w:w="945" w:type="dxa"/>
            <w:tcBorders>
              <w:top w:val="nil"/>
              <w:left w:val="nil"/>
              <w:bottom w:val="nil"/>
              <w:right w:val="nil"/>
            </w:tcBorders>
            <w:shd w:val="clear" w:color="auto" w:fill="auto"/>
            <w:vAlign w:val="center"/>
          </w:tcPr>
          <w:p w14:paraId="7210CF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识别受益批次并计算分母规则</w:t>
            </w:r>
          </w:p>
        </w:tc>
        <w:tc>
          <w:tcPr>
            <w:tcW w:w="966" w:type="dxa"/>
            <w:tcBorders>
              <w:top w:val="nil"/>
              <w:left w:val="nil"/>
              <w:bottom w:val="nil"/>
              <w:right w:val="nil"/>
            </w:tcBorders>
            <w:shd w:val="clear" w:color="auto" w:fill="auto"/>
            <w:vAlign w:val="center"/>
          </w:tcPr>
          <w:p w14:paraId="557828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A1980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7CE0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费用池可分摊金额形成后</w:t>
            </w:r>
          </w:p>
        </w:tc>
        <w:tc>
          <w:tcPr>
            <w:tcW w:w="1406" w:type="dxa"/>
            <w:tcBorders>
              <w:top w:val="nil"/>
              <w:left w:val="nil"/>
              <w:bottom w:val="nil"/>
              <w:right w:val="nil"/>
            </w:tcBorders>
            <w:shd w:val="clear" w:color="auto" w:fill="auto"/>
            <w:vAlign w:val="center"/>
          </w:tcPr>
          <w:p w14:paraId="30AE5C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按期间和服务边界筛选受益批次；首选动因缺失时仅使用已维护的备选动因。</w:t>
            </w:r>
          </w:p>
        </w:tc>
        <w:tc>
          <w:tcPr>
            <w:tcW w:w="1088" w:type="dxa"/>
            <w:tcBorders>
              <w:top w:val="nil"/>
              <w:left w:val="nil"/>
              <w:bottom w:val="nil"/>
              <w:right w:val="nil"/>
            </w:tcBorders>
            <w:shd w:val="clear" w:color="auto" w:fill="auto"/>
            <w:vAlign w:val="center"/>
          </w:tcPr>
          <w:p w14:paraId="4EDDAB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受益批次、批次动因量和有效分母</w:t>
            </w:r>
          </w:p>
        </w:tc>
        <w:tc>
          <w:tcPr>
            <w:tcW w:w="1460" w:type="dxa"/>
            <w:tcBorders>
              <w:top w:val="nil"/>
              <w:left w:val="nil"/>
              <w:bottom w:val="nil"/>
              <w:right w:val="nil"/>
            </w:tcBorders>
            <w:shd w:val="clear" w:color="auto" w:fill="auto"/>
            <w:vAlign w:val="center"/>
          </w:tcPr>
          <w:p w14:paraId="4B51701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8ED211">
        <w:trPr>
          <w:cantSplit/>
          <w:trHeight w:val="0" w:hRule="atLeast"/>
          <w:jc w:val="center"/>
        </w:trPr>
        <w:tc>
          <w:tcPr>
            <w:tcW w:w="2944" w:type="dxa"/>
            <w:tcBorders>
              <w:top w:val="nil"/>
              <w:left w:val="nil"/>
              <w:bottom w:val="nil"/>
              <w:right w:val="nil"/>
            </w:tcBorders>
            <w:shd w:val="clear" w:color="auto" w:fill="auto"/>
            <w:vAlign w:val="center"/>
          </w:tcPr>
          <w:p w14:paraId="45051C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P-ZLTC-SCOS-FYCB-004-50-001</w:t>
            </w:r>
          </w:p>
        </w:tc>
        <w:tc>
          <w:tcPr>
            <w:tcW w:w="945" w:type="dxa"/>
            <w:tcBorders>
              <w:top w:val="nil"/>
              <w:left w:val="nil"/>
              <w:bottom w:val="nil"/>
              <w:right w:val="nil"/>
            </w:tcBorders>
            <w:shd w:val="clear" w:color="auto" w:fill="auto"/>
            <w:vAlign w:val="center"/>
          </w:tcPr>
          <w:p w14:paraId="64683D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判断分摊依据是否有效规则</w:t>
            </w:r>
          </w:p>
        </w:tc>
        <w:tc>
          <w:tcPr>
            <w:tcW w:w="966" w:type="dxa"/>
            <w:tcBorders>
              <w:top w:val="nil"/>
              <w:left w:val="nil"/>
              <w:bottom w:val="nil"/>
              <w:right w:val="nil"/>
            </w:tcBorders>
            <w:shd w:val="clear" w:color="auto" w:fill="auto"/>
            <w:vAlign w:val="center"/>
          </w:tcPr>
          <w:p w14:paraId="106DE50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B2C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生产费用分摊依据校验</w:t>
            </w:r>
          </w:p>
        </w:tc>
        <w:tc>
          <w:tcPr>
            <w:tcW w:w="1098" w:type="dxa"/>
            <w:tcBorders>
              <w:top w:val="nil"/>
              <w:left w:val="nil"/>
              <w:bottom w:val="nil"/>
              <w:right w:val="nil"/>
            </w:tcBorders>
            <w:shd w:val="clear" w:color="auto" w:fill="auto"/>
            <w:vAlign w:val="center"/>
          </w:tcPr>
          <w:p w14:paraId="25E61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受益批次、批次动因量和有效分母形成后</w:t>
            </w:r>
          </w:p>
        </w:tc>
        <w:tc>
          <w:tcPr>
            <w:tcW w:w="1406" w:type="dxa"/>
            <w:tcBorders>
              <w:top w:val="nil"/>
              <w:left w:val="nil"/>
              <w:bottom w:val="nil"/>
              <w:right w:val="nil"/>
            </w:tcBorders>
            <w:shd w:val="clear" w:color="auto" w:fill="auto"/>
            <w:vAlign w:val="center"/>
          </w:tcPr>
          <w:p w14:paraId="61A612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检查分母大于零、动因口径一致、受益范围非空且期间匹配；分摊依据无效时选择处理方式；分摊依据有效时计算分摊。</w:t>
            </w:r>
          </w:p>
        </w:tc>
        <w:tc>
          <w:tcPr>
            <w:tcW w:w="1088" w:type="dxa"/>
            <w:tcBorders>
              <w:top w:val="nil"/>
              <w:left w:val="nil"/>
              <w:bottom w:val="nil"/>
              <w:right w:val="nil"/>
            </w:tcBorders>
            <w:shd w:val="clear" w:color="auto" w:fill="auto"/>
            <w:vAlign w:val="center"/>
          </w:tcPr>
          <w:p w14:paraId="386E19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动因可用性判断</w:t>
            </w:r>
          </w:p>
        </w:tc>
        <w:tc>
          <w:tcPr>
            <w:tcW w:w="1460" w:type="dxa"/>
            <w:tcBorders>
              <w:top w:val="nil"/>
              <w:left w:val="nil"/>
              <w:bottom w:val="nil"/>
              <w:right w:val="nil"/>
            </w:tcBorders>
            <w:shd w:val="clear" w:color="auto" w:fill="auto"/>
            <w:vAlign w:val="center"/>
          </w:tcPr>
          <w:p w14:paraId="77CA01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650293">
        <w:trPr>
          <w:cantSplit/>
          <w:trHeight w:val="0" w:hRule="atLeast"/>
          <w:jc w:val="center"/>
        </w:trPr>
        <w:tc>
          <w:tcPr>
            <w:tcW w:w="2944" w:type="dxa"/>
            <w:tcBorders>
              <w:top w:val="nil"/>
              <w:left w:val="nil"/>
              <w:bottom w:val="nil"/>
              <w:right w:val="nil"/>
            </w:tcBorders>
            <w:shd w:val="clear" w:color="auto" w:fill="auto"/>
            <w:vAlign w:val="center"/>
          </w:tcPr>
          <w:p w14:paraId="185733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P-ZLTC-SCOS-FYCB-004-60-001</w:t>
            </w:r>
          </w:p>
        </w:tc>
        <w:tc>
          <w:tcPr>
            <w:tcW w:w="945" w:type="dxa"/>
            <w:tcBorders>
              <w:top w:val="nil"/>
              <w:left w:val="nil"/>
              <w:bottom w:val="nil"/>
              <w:right w:val="nil"/>
            </w:tcBorders>
            <w:shd w:val="clear" w:color="auto" w:fill="auto"/>
            <w:vAlign w:val="center"/>
          </w:tcPr>
          <w:p w14:paraId="3406D7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处理缺失动因和无效分母规则</w:t>
            </w:r>
          </w:p>
        </w:tc>
        <w:tc>
          <w:tcPr>
            <w:tcW w:w="966" w:type="dxa"/>
            <w:tcBorders>
              <w:top w:val="nil"/>
              <w:left w:val="nil"/>
              <w:bottom w:val="nil"/>
              <w:right w:val="nil"/>
            </w:tcBorders>
            <w:shd w:val="clear" w:color="auto" w:fill="auto"/>
            <w:vAlign w:val="center"/>
          </w:tcPr>
          <w:p w14:paraId="462016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A98A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B58BF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分摊依据无效时</w:t>
            </w:r>
          </w:p>
        </w:tc>
        <w:tc>
          <w:tcPr>
            <w:tcW w:w="1406" w:type="dxa"/>
            <w:tcBorders>
              <w:top w:val="nil"/>
              <w:left w:val="nil"/>
              <w:bottom w:val="nil"/>
              <w:right w:val="nil"/>
            </w:tcBorders>
            <w:shd w:val="clear" w:color="auto" w:fill="auto"/>
            <w:vAlign w:val="center"/>
          </w:tcPr>
          <w:p w14:paraId="228035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选用已确认的备选分摊依据；仍无可靠依据的费用暂不分配给生产批次。</w:t>
            </w:r>
          </w:p>
        </w:tc>
        <w:tc>
          <w:tcPr>
            <w:tcW w:w="1088" w:type="dxa"/>
            <w:tcBorders>
              <w:top w:val="nil"/>
              <w:left w:val="nil"/>
              <w:bottom w:val="nil"/>
              <w:right w:val="nil"/>
            </w:tcBorders>
            <w:shd w:val="clear" w:color="auto" w:fill="auto"/>
            <w:vAlign w:val="center"/>
          </w:tcPr>
          <w:p w14:paraId="1A688D6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备选动因、停工闲置或未分摊说明</w:t>
            </w:r>
          </w:p>
        </w:tc>
        <w:tc>
          <w:tcPr>
            <w:tcW w:w="1460" w:type="dxa"/>
            <w:tcBorders>
              <w:top w:val="nil"/>
              <w:left w:val="nil"/>
              <w:bottom w:val="nil"/>
              <w:right w:val="nil"/>
            </w:tcBorders>
            <w:shd w:val="clear" w:color="auto" w:fill="auto"/>
            <w:vAlign w:val="center"/>
          </w:tcPr>
          <w:p w14:paraId="7EC137D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CCB030">
        <w:trPr>
          <w:cantSplit/>
          <w:trHeight w:val="0" w:hRule="atLeast"/>
          <w:jc w:val="center"/>
        </w:trPr>
        <w:tc>
          <w:tcPr>
            <w:tcW w:w="2944" w:type="dxa"/>
            <w:tcBorders>
              <w:top w:val="nil"/>
              <w:left w:val="nil"/>
              <w:bottom w:val="nil"/>
              <w:right w:val="nil"/>
            </w:tcBorders>
            <w:shd w:val="clear" w:color="auto" w:fill="auto"/>
            <w:vAlign w:val="center"/>
          </w:tcPr>
          <w:p w14:paraId="2D330F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P-ZLTC-SCOS-FYCB-004-70-001</w:t>
            </w:r>
          </w:p>
        </w:tc>
        <w:tc>
          <w:tcPr>
            <w:tcW w:w="945" w:type="dxa"/>
            <w:tcBorders>
              <w:top w:val="nil"/>
              <w:left w:val="nil"/>
              <w:bottom w:val="nil"/>
              <w:right w:val="nil"/>
            </w:tcBorders>
            <w:shd w:val="clear" w:color="auto" w:fill="auto"/>
            <w:vAlign w:val="center"/>
          </w:tcPr>
          <w:p w14:paraId="01CDD3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计算分摊率批次金额和尾差规则</w:t>
            </w:r>
          </w:p>
        </w:tc>
        <w:tc>
          <w:tcPr>
            <w:tcW w:w="966" w:type="dxa"/>
            <w:tcBorders>
              <w:top w:val="nil"/>
              <w:left w:val="nil"/>
              <w:bottom w:val="nil"/>
              <w:right w:val="nil"/>
            </w:tcBorders>
            <w:shd w:val="clear" w:color="auto" w:fill="auto"/>
            <w:vAlign w:val="center"/>
          </w:tcPr>
          <w:p w14:paraId="7D5B36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E0A7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5DCE8A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分摊依据有效时</w:t>
            </w:r>
          </w:p>
        </w:tc>
        <w:tc>
          <w:tcPr>
            <w:tcW w:w="1406" w:type="dxa"/>
            <w:tcBorders>
              <w:top w:val="nil"/>
              <w:left w:val="nil"/>
              <w:bottom w:val="nil"/>
              <w:right w:val="nil"/>
            </w:tcBorders>
            <w:shd w:val="clear" w:color="auto" w:fill="auto"/>
            <w:vAlign w:val="center"/>
          </w:tcPr>
          <w:p w14:paraId="7541EF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按动因量计算各批次参考金额；无可靠动因的数据保持未分摊。</w:t>
            </w:r>
          </w:p>
        </w:tc>
        <w:tc>
          <w:tcPr>
            <w:tcW w:w="1088" w:type="dxa"/>
            <w:tcBorders>
              <w:top w:val="nil"/>
              <w:left w:val="nil"/>
              <w:bottom w:val="nil"/>
              <w:right w:val="nil"/>
            </w:tcBorders>
            <w:shd w:val="clear" w:color="auto" w:fill="auto"/>
            <w:vAlign w:val="center"/>
          </w:tcPr>
          <w:p w14:paraId="53E9FC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分摊率、批次金额、尾差和未分摊项</w:t>
            </w:r>
          </w:p>
        </w:tc>
        <w:tc>
          <w:tcPr>
            <w:tcW w:w="1460" w:type="dxa"/>
            <w:tcBorders>
              <w:top w:val="nil"/>
              <w:left w:val="nil"/>
              <w:bottom w:val="nil"/>
              <w:right w:val="nil"/>
            </w:tcBorders>
            <w:shd w:val="clear" w:color="auto" w:fill="auto"/>
            <w:vAlign w:val="center"/>
          </w:tcPr>
          <w:p w14:paraId="5E11B8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C58F16">
        <w:trPr>
          <w:cantSplit/>
          <w:trHeight w:val="0" w:hRule="atLeast"/>
          <w:jc w:val="center"/>
        </w:trPr>
        <w:tc>
          <w:tcPr>
            <w:tcW w:w="2944" w:type="dxa"/>
            <w:tcBorders>
              <w:top w:val="nil"/>
              <w:left w:val="nil"/>
              <w:bottom w:val="nil"/>
              <w:right w:val="nil"/>
            </w:tcBorders>
            <w:shd w:val="clear" w:color="auto" w:fill="auto"/>
            <w:vAlign w:val="center"/>
          </w:tcPr>
          <w:p w14:paraId="12684A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P-ZLTC-SCOS-FYCB-004-80-001</w:t>
            </w:r>
          </w:p>
        </w:tc>
        <w:tc>
          <w:tcPr>
            <w:tcW w:w="945" w:type="dxa"/>
            <w:tcBorders>
              <w:top w:val="nil"/>
              <w:left w:val="nil"/>
              <w:bottom w:val="nil"/>
              <w:right w:val="nil"/>
            </w:tcBorders>
            <w:shd w:val="clear" w:color="auto" w:fill="auto"/>
            <w:vAlign w:val="center"/>
          </w:tcPr>
          <w:p w14:paraId="36B349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生成费用池分摊结果规则</w:t>
            </w:r>
          </w:p>
        </w:tc>
        <w:tc>
          <w:tcPr>
            <w:tcW w:w="966" w:type="dxa"/>
            <w:tcBorders>
              <w:top w:val="nil"/>
              <w:left w:val="nil"/>
              <w:bottom w:val="nil"/>
              <w:right w:val="nil"/>
            </w:tcBorders>
            <w:shd w:val="clear" w:color="auto" w:fill="auto"/>
            <w:vAlign w:val="center"/>
          </w:tcPr>
          <w:p w14:paraId="1CC7AD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BDDCA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6FCAE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分摊率、批次金额、尾差和未分摊项形成后</w:t>
            </w:r>
          </w:p>
        </w:tc>
        <w:tc>
          <w:tcPr>
            <w:tcW w:w="1406" w:type="dxa"/>
            <w:tcBorders>
              <w:top w:val="nil"/>
              <w:left w:val="nil"/>
              <w:bottom w:val="nil"/>
              <w:right w:val="nil"/>
            </w:tcBorders>
            <w:shd w:val="clear" w:color="auto" w:fill="auto"/>
            <w:vAlign w:val="center"/>
          </w:tcPr>
          <w:p w14:paraId="24E730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汇总费用池、受益批次、分摊依据、分摊率和金额；结果仅用于成本追溯和经营分析。</w:t>
            </w:r>
          </w:p>
        </w:tc>
        <w:tc>
          <w:tcPr>
            <w:tcW w:w="1088" w:type="dxa"/>
            <w:tcBorders>
              <w:top w:val="nil"/>
              <w:left w:val="nil"/>
              <w:bottom w:val="nil"/>
              <w:right w:val="nil"/>
            </w:tcBorders>
            <w:shd w:val="clear" w:color="auto" w:fill="auto"/>
            <w:vAlign w:val="center"/>
          </w:tcPr>
          <w:p w14:paraId="68AA15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w:t>
            </w:r>
          </w:p>
        </w:tc>
        <w:tc>
          <w:tcPr>
            <w:tcW w:w="1460" w:type="dxa"/>
            <w:tcBorders>
              <w:top w:val="nil"/>
              <w:left w:val="nil"/>
              <w:bottom w:val="nil"/>
              <w:right w:val="nil"/>
            </w:tcBorders>
            <w:shd w:val="clear" w:color="auto" w:fill="auto"/>
            <w:vAlign w:val="center"/>
          </w:tcPr>
          <w:p w14:paraId="564E6F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61D63B">
        <w:trPr>
          <w:cantSplit/>
          <w:trHeight w:val="0" w:hRule="atLeast"/>
          <w:jc w:val="center"/>
        </w:trPr>
        <w:tc>
          <w:tcPr>
            <w:tcW w:w="2944" w:type="dxa"/>
            <w:tcBorders>
              <w:top w:val="nil"/>
              <w:left w:val="nil"/>
              <w:bottom w:val="nil"/>
              <w:right w:val="nil"/>
            </w:tcBorders>
            <w:shd w:val="clear" w:color="auto" w:fill="auto"/>
            <w:vAlign w:val="center"/>
          </w:tcPr>
          <w:p w14:paraId="48E812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P-ZLTC-SCOS-FYCB-004-90-001</w:t>
            </w:r>
          </w:p>
        </w:tc>
        <w:tc>
          <w:tcPr>
            <w:tcW w:w="945" w:type="dxa"/>
            <w:tcBorders>
              <w:top w:val="nil"/>
              <w:left w:val="nil"/>
              <w:bottom w:val="nil"/>
              <w:right w:val="nil"/>
            </w:tcBorders>
            <w:shd w:val="clear" w:color="auto" w:fill="auto"/>
            <w:vAlign w:val="center"/>
          </w:tcPr>
          <w:p w14:paraId="380707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保存费用池分摊结果规则</w:t>
            </w:r>
          </w:p>
        </w:tc>
        <w:tc>
          <w:tcPr>
            <w:tcW w:w="966" w:type="dxa"/>
            <w:tcBorders>
              <w:top w:val="nil"/>
              <w:left w:val="nil"/>
              <w:bottom w:val="nil"/>
              <w:right w:val="nil"/>
            </w:tcBorders>
            <w:shd w:val="clear" w:color="auto" w:fill="auto"/>
            <w:vAlign w:val="center"/>
          </w:tcPr>
          <w:p w14:paraId="20417A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5A7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29E8E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费用池分摊结果形成后</w:t>
            </w:r>
          </w:p>
        </w:tc>
        <w:tc>
          <w:tcPr>
            <w:tcW w:w="1406" w:type="dxa"/>
            <w:tcBorders>
              <w:top w:val="nil"/>
              <w:left w:val="nil"/>
              <w:bottom w:val="nil"/>
              <w:right w:val="nil"/>
            </w:tcBorders>
            <w:shd w:val="clear" w:color="auto" w:fill="auto"/>
            <w:vAlign w:val="center"/>
          </w:tcPr>
          <w:p w14:paraId="060C01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保存分摊结果及计算依据，供批次成本和订单成本计算使用；不生成实际财务结算凭证。</w:t>
            </w:r>
          </w:p>
        </w:tc>
        <w:tc>
          <w:tcPr>
            <w:tcW w:w="1088" w:type="dxa"/>
            <w:tcBorders>
              <w:top w:val="nil"/>
              <w:left w:val="nil"/>
              <w:bottom w:val="nil"/>
              <w:right w:val="nil"/>
            </w:tcBorders>
            <w:shd w:val="clear" w:color="auto" w:fill="auto"/>
            <w:vAlign w:val="center"/>
          </w:tcPr>
          <w:p w14:paraId="442BEE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费用池分摊结果版本</w:t>
            </w:r>
          </w:p>
        </w:tc>
        <w:tc>
          <w:tcPr>
            <w:tcW w:w="1460" w:type="dxa"/>
            <w:tcBorders>
              <w:top w:val="nil"/>
              <w:left w:val="nil"/>
              <w:bottom w:val="nil"/>
              <w:right w:val="nil"/>
            </w:tcBorders>
            <w:shd w:val="clear" w:color="auto" w:fill="auto"/>
            <w:vAlign w:val="center"/>
          </w:tcPr>
          <w:p w14:paraId="0065B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8112F65">
        <w:trPr>
          <w:cantSplit/>
          <w:trHeight w:val="0" w:hRule="atLeast"/>
          <w:jc w:val="center"/>
        </w:trPr>
        <w:tc>
          <w:tcPr>
            <w:tcW w:w="2944" w:type="dxa"/>
            <w:tcBorders>
              <w:top w:val="nil"/>
              <w:left w:val="nil"/>
              <w:bottom w:val="nil"/>
              <w:right w:val="nil"/>
            </w:tcBorders>
            <w:shd w:val="clear" w:color="auto" w:fill="auto"/>
            <w:vAlign w:val="center"/>
          </w:tcPr>
          <w:p w14:paraId="60E165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P-ZLTC-SCOS-FYCB-005-10-001</w:t>
            </w:r>
          </w:p>
        </w:tc>
        <w:tc>
          <w:tcPr>
            <w:tcW w:w="945" w:type="dxa"/>
            <w:tcBorders>
              <w:top w:val="nil"/>
              <w:left w:val="nil"/>
              <w:bottom w:val="nil"/>
              <w:right w:val="nil"/>
            </w:tcBorders>
            <w:shd w:val="clear" w:color="auto" w:fill="auto"/>
            <w:vAlign w:val="center"/>
          </w:tcPr>
          <w:p w14:paraId="575ACC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提供生产订单和报工数据规则</w:t>
            </w:r>
          </w:p>
        </w:tc>
        <w:tc>
          <w:tcPr>
            <w:tcW w:w="966" w:type="dxa"/>
            <w:tcBorders>
              <w:top w:val="nil"/>
              <w:left w:val="nil"/>
              <w:bottom w:val="nil"/>
              <w:right w:val="nil"/>
            </w:tcBorders>
            <w:shd w:val="clear" w:color="auto" w:fill="auto"/>
            <w:vAlign w:val="center"/>
          </w:tcPr>
          <w:p w14:paraId="2DBA4E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9F34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2473D8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批次成本更新后由SCOS启动生产订单聚合时</w:t>
            </w:r>
          </w:p>
        </w:tc>
        <w:tc>
          <w:tcPr>
            <w:tcW w:w="1406" w:type="dxa"/>
            <w:tcBorders>
              <w:top w:val="nil"/>
              <w:left w:val="nil"/>
              <w:bottom w:val="nil"/>
              <w:right w:val="nil"/>
            </w:tcBorders>
            <w:shd w:val="clear" w:color="auto" w:fill="auto"/>
            <w:vAlign w:val="center"/>
          </w:tcPr>
          <w:p w14:paraId="01B6E0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提供生产订单与实际批次、投料和产出的映射数据；映射缺失时标记待补充，不用计划量替代实际。</w:t>
            </w:r>
          </w:p>
        </w:tc>
        <w:tc>
          <w:tcPr>
            <w:tcW w:w="1088" w:type="dxa"/>
            <w:tcBorders>
              <w:top w:val="nil"/>
              <w:left w:val="nil"/>
              <w:bottom w:val="nil"/>
              <w:right w:val="nil"/>
            </w:tcBorders>
            <w:shd w:val="clear" w:color="auto" w:fill="auto"/>
            <w:vAlign w:val="center"/>
          </w:tcPr>
          <w:p w14:paraId="4AE307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工单、产品、路线、投料、产出、报工和状态数据</w:t>
            </w:r>
          </w:p>
        </w:tc>
        <w:tc>
          <w:tcPr>
            <w:tcW w:w="1460" w:type="dxa"/>
            <w:tcBorders>
              <w:top w:val="nil"/>
              <w:left w:val="nil"/>
              <w:bottom w:val="nil"/>
              <w:right w:val="nil"/>
            </w:tcBorders>
            <w:shd w:val="clear" w:color="auto" w:fill="auto"/>
            <w:vAlign w:val="center"/>
          </w:tcPr>
          <w:p w14:paraId="34E8483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6BF4080">
        <w:trPr>
          <w:cantSplit/>
          <w:trHeight w:val="0" w:hRule="atLeast"/>
          <w:jc w:val="center"/>
        </w:trPr>
        <w:tc>
          <w:tcPr>
            <w:tcW w:w="2944" w:type="dxa"/>
            <w:tcBorders>
              <w:top w:val="nil"/>
              <w:left w:val="nil"/>
              <w:bottom w:val="nil"/>
              <w:right w:val="nil"/>
            </w:tcBorders>
            <w:shd w:val="clear" w:color="auto" w:fill="auto"/>
            <w:vAlign w:val="center"/>
          </w:tcPr>
          <w:p w14:paraId="66B19E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P-ZLTC-SCOS-FYCB-005-20-001</w:t>
            </w:r>
          </w:p>
        </w:tc>
        <w:tc>
          <w:tcPr>
            <w:tcW w:w="945" w:type="dxa"/>
            <w:tcBorders>
              <w:top w:val="nil"/>
              <w:left w:val="nil"/>
              <w:bottom w:val="nil"/>
              <w:right w:val="nil"/>
            </w:tcBorders>
            <w:shd w:val="clear" w:color="auto" w:fill="auto"/>
            <w:vAlign w:val="center"/>
          </w:tcPr>
          <w:p w14:paraId="6159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校验订单批次映射和成本版本规则</w:t>
            </w:r>
          </w:p>
        </w:tc>
        <w:tc>
          <w:tcPr>
            <w:tcW w:w="966" w:type="dxa"/>
            <w:tcBorders>
              <w:top w:val="nil"/>
              <w:left w:val="nil"/>
              <w:bottom w:val="nil"/>
              <w:right w:val="nil"/>
            </w:tcBorders>
            <w:shd w:val="clear" w:color="auto" w:fill="auto"/>
            <w:vAlign w:val="center"/>
          </w:tcPr>
          <w:p w14:paraId="63013C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FC57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37E9B9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工单、产品、路线、投料、产出、报工和状态数据形成后</w:t>
            </w:r>
          </w:p>
        </w:tc>
        <w:tc>
          <w:tcPr>
            <w:tcW w:w="1406" w:type="dxa"/>
            <w:tcBorders>
              <w:top w:val="nil"/>
              <w:left w:val="nil"/>
              <w:bottom w:val="nil"/>
              <w:right w:val="nil"/>
            </w:tcBorders>
            <w:shd w:val="clear" w:color="auto" w:fill="auto"/>
            <w:vAlign w:val="center"/>
          </w:tcPr>
          <w:p w14:paraId="029774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检查订单路线、批次状态、映射数量、成本版本和谱系版本；对版本不一致或待确认的关联关系单独标识，不混入已确认结果。</w:t>
            </w:r>
          </w:p>
        </w:tc>
        <w:tc>
          <w:tcPr>
            <w:tcW w:w="1088" w:type="dxa"/>
            <w:tcBorders>
              <w:top w:val="nil"/>
              <w:left w:val="nil"/>
              <w:bottom w:val="nil"/>
              <w:right w:val="nil"/>
            </w:tcBorders>
            <w:shd w:val="clear" w:color="auto" w:fill="auto"/>
            <w:vAlign w:val="center"/>
          </w:tcPr>
          <w:p w14:paraId="40FFAF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可聚合订单范围</w:t>
            </w:r>
          </w:p>
        </w:tc>
        <w:tc>
          <w:tcPr>
            <w:tcW w:w="1460" w:type="dxa"/>
            <w:tcBorders>
              <w:top w:val="nil"/>
              <w:left w:val="nil"/>
              <w:bottom w:val="nil"/>
              <w:right w:val="nil"/>
            </w:tcBorders>
            <w:shd w:val="clear" w:color="auto" w:fill="auto"/>
            <w:vAlign w:val="center"/>
          </w:tcPr>
          <w:p w14:paraId="64E716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7FB115">
        <w:trPr>
          <w:cantSplit/>
          <w:trHeight w:val="0" w:hRule="atLeast"/>
          <w:jc w:val="center"/>
        </w:trPr>
        <w:tc>
          <w:tcPr>
            <w:tcW w:w="2944" w:type="dxa"/>
            <w:tcBorders>
              <w:top w:val="nil"/>
              <w:left w:val="nil"/>
              <w:bottom w:val="nil"/>
              <w:right w:val="nil"/>
            </w:tcBorders>
            <w:shd w:val="clear" w:color="auto" w:fill="auto"/>
            <w:vAlign w:val="center"/>
          </w:tcPr>
          <w:p w14:paraId="012BF9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P-ZLTC-SCOS-FYCB-005-30-001</w:t>
            </w:r>
          </w:p>
        </w:tc>
        <w:tc>
          <w:tcPr>
            <w:tcW w:w="945" w:type="dxa"/>
            <w:tcBorders>
              <w:top w:val="nil"/>
              <w:left w:val="nil"/>
              <w:bottom w:val="nil"/>
              <w:right w:val="nil"/>
            </w:tcBorders>
            <w:shd w:val="clear" w:color="auto" w:fill="auto"/>
            <w:vAlign w:val="center"/>
          </w:tcPr>
          <w:p w14:paraId="4CA7E8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汇总订单关联批次成本规则</w:t>
            </w:r>
          </w:p>
        </w:tc>
        <w:tc>
          <w:tcPr>
            <w:tcW w:w="966" w:type="dxa"/>
            <w:tcBorders>
              <w:top w:val="nil"/>
              <w:left w:val="nil"/>
              <w:bottom w:val="nil"/>
              <w:right w:val="nil"/>
            </w:tcBorders>
            <w:shd w:val="clear" w:color="auto" w:fill="auto"/>
            <w:vAlign w:val="center"/>
          </w:tcPr>
          <w:p w14:paraId="68F213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42A07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2B96E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可聚合订单范围形成后</w:t>
            </w:r>
          </w:p>
        </w:tc>
        <w:tc>
          <w:tcPr>
            <w:tcW w:w="1406" w:type="dxa"/>
            <w:tcBorders>
              <w:top w:val="nil"/>
              <w:left w:val="nil"/>
              <w:bottom w:val="nil"/>
              <w:right w:val="nil"/>
            </w:tcBorders>
            <w:shd w:val="clear" w:color="auto" w:fill="auto"/>
            <w:vAlign w:val="center"/>
          </w:tcPr>
          <w:p w14:paraId="1BBBF1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沿实际批次关系按成本要素汇总；重复批次成本通过版本和唯一键排除。</w:t>
            </w:r>
          </w:p>
        </w:tc>
        <w:tc>
          <w:tcPr>
            <w:tcW w:w="1088" w:type="dxa"/>
            <w:tcBorders>
              <w:top w:val="nil"/>
              <w:left w:val="nil"/>
              <w:bottom w:val="nil"/>
              <w:right w:val="nil"/>
            </w:tcBorders>
            <w:shd w:val="clear" w:color="auto" w:fill="auto"/>
            <w:vAlign w:val="center"/>
          </w:tcPr>
          <w:p w14:paraId="2FEA67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订单传入、直接、费用池和调整成本</w:t>
            </w:r>
          </w:p>
        </w:tc>
        <w:tc>
          <w:tcPr>
            <w:tcW w:w="1460" w:type="dxa"/>
            <w:tcBorders>
              <w:top w:val="nil"/>
              <w:left w:val="nil"/>
              <w:bottom w:val="nil"/>
              <w:right w:val="nil"/>
            </w:tcBorders>
            <w:shd w:val="clear" w:color="auto" w:fill="auto"/>
            <w:vAlign w:val="center"/>
          </w:tcPr>
          <w:p w14:paraId="7B8FB0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AFEC6B">
        <w:trPr>
          <w:cantSplit/>
          <w:trHeight w:val="0" w:hRule="atLeast"/>
          <w:jc w:val="center"/>
        </w:trPr>
        <w:tc>
          <w:tcPr>
            <w:tcW w:w="2944" w:type="dxa"/>
            <w:tcBorders>
              <w:top w:val="nil"/>
              <w:left w:val="nil"/>
              <w:bottom w:val="nil"/>
              <w:right w:val="nil"/>
            </w:tcBorders>
            <w:shd w:val="clear" w:color="auto" w:fill="auto"/>
            <w:vAlign w:val="center"/>
          </w:tcPr>
          <w:p w14:paraId="64DD9A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P-ZLTC-SCOS-FYCB-005-40-001</w:t>
            </w:r>
          </w:p>
        </w:tc>
        <w:tc>
          <w:tcPr>
            <w:tcW w:w="945" w:type="dxa"/>
            <w:tcBorders>
              <w:top w:val="nil"/>
              <w:left w:val="nil"/>
              <w:bottom w:val="nil"/>
              <w:right w:val="nil"/>
            </w:tcBorders>
            <w:shd w:val="clear" w:color="auto" w:fill="auto"/>
            <w:vAlign w:val="center"/>
          </w:tcPr>
          <w:p w14:paraId="5965E1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拆分完工在制库存和损失成本规则</w:t>
            </w:r>
          </w:p>
        </w:tc>
        <w:tc>
          <w:tcPr>
            <w:tcW w:w="966" w:type="dxa"/>
            <w:tcBorders>
              <w:top w:val="nil"/>
              <w:left w:val="nil"/>
              <w:bottom w:val="nil"/>
              <w:right w:val="nil"/>
            </w:tcBorders>
            <w:shd w:val="clear" w:color="auto" w:fill="auto"/>
            <w:vAlign w:val="center"/>
          </w:tcPr>
          <w:p w14:paraId="06F9B7C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5E63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6665B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订单传入、直接、费用池和调整成本形成后</w:t>
            </w:r>
          </w:p>
        </w:tc>
        <w:tc>
          <w:tcPr>
            <w:tcW w:w="1406" w:type="dxa"/>
            <w:tcBorders>
              <w:top w:val="nil"/>
              <w:left w:val="nil"/>
              <w:bottom w:val="nil"/>
              <w:right w:val="nil"/>
            </w:tcBorders>
            <w:shd w:val="clear" w:color="auto" w:fill="auto"/>
            <w:vAlign w:val="center"/>
          </w:tcPr>
          <w:p w14:paraId="399508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已转出成本按实际关系量进入产出；不为月末展示将未转出余额全部计入完工产出。</w:t>
            </w:r>
          </w:p>
        </w:tc>
        <w:tc>
          <w:tcPr>
            <w:tcW w:w="1088" w:type="dxa"/>
            <w:tcBorders>
              <w:top w:val="nil"/>
              <w:left w:val="nil"/>
              <w:bottom w:val="nil"/>
              <w:right w:val="nil"/>
            </w:tcBorders>
            <w:shd w:val="clear" w:color="auto" w:fill="auto"/>
            <w:vAlign w:val="center"/>
          </w:tcPr>
          <w:p w14:paraId="167927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完工、在制、库存、正常损耗和异常损失成本</w:t>
            </w:r>
          </w:p>
        </w:tc>
        <w:tc>
          <w:tcPr>
            <w:tcW w:w="1460" w:type="dxa"/>
            <w:tcBorders>
              <w:top w:val="nil"/>
              <w:left w:val="nil"/>
              <w:bottom w:val="nil"/>
              <w:right w:val="nil"/>
            </w:tcBorders>
            <w:shd w:val="clear" w:color="auto" w:fill="auto"/>
            <w:vAlign w:val="center"/>
          </w:tcPr>
          <w:p w14:paraId="0052B05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8F0262">
        <w:trPr>
          <w:cantSplit/>
          <w:trHeight w:val="0" w:hRule="atLeast"/>
          <w:jc w:val="center"/>
        </w:trPr>
        <w:tc>
          <w:tcPr>
            <w:tcW w:w="2944" w:type="dxa"/>
            <w:tcBorders>
              <w:top w:val="nil"/>
              <w:left w:val="nil"/>
              <w:bottom w:val="nil"/>
              <w:right w:val="nil"/>
            </w:tcBorders>
            <w:shd w:val="clear" w:color="auto" w:fill="auto"/>
            <w:vAlign w:val="center"/>
          </w:tcPr>
          <w:p w14:paraId="7A0976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P-ZLTC-SCOS-FYCB-005-50-001</w:t>
            </w:r>
          </w:p>
        </w:tc>
        <w:tc>
          <w:tcPr>
            <w:tcW w:w="945" w:type="dxa"/>
            <w:tcBorders>
              <w:top w:val="nil"/>
              <w:left w:val="nil"/>
              <w:bottom w:val="nil"/>
              <w:right w:val="nil"/>
            </w:tcBorders>
            <w:shd w:val="clear" w:color="auto" w:fill="auto"/>
            <w:vAlign w:val="center"/>
          </w:tcPr>
          <w:p w14:paraId="72A5FB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计算订单总成本和单位成本规则</w:t>
            </w:r>
          </w:p>
        </w:tc>
        <w:tc>
          <w:tcPr>
            <w:tcW w:w="966" w:type="dxa"/>
            <w:tcBorders>
              <w:top w:val="nil"/>
              <w:left w:val="nil"/>
              <w:bottom w:val="nil"/>
              <w:right w:val="nil"/>
            </w:tcBorders>
            <w:shd w:val="clear" w:color="auto" w:fill="auto"/>
            <w:vAlign w:val="center"/>
          </w:tcPr>
          <w:p w14:paraId="2FFB5DD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D7024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124687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完工、在制、库存、正常损耗和异常损失成本形成后</w:t>
            </w:r>
          </w:p>
        </w:tc>
        <w:tc>
          <w:tcPr>
            <w:tcW w:w="1406" w:type="dxa"/>
            <w:tcBorders>
              <w:top w:val="nil"/>
              <w:left w:val="nil"/>
              <w:bottom w:val="nil"/>
              <w:right w:val="nil"/>
            </w:tcBorders>
            <w:shd w:val="clear" w:color="auto" w:fill="auto"/>
            <w:vAlign w:val="center"/>
          </w:tcPr>
          <w:p w14:paraId="543D2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按订单有效产出计算单位成本；分母为空或为零时单位成本显示不可用。</w:t>
            </w:r>
          </w:p>
        </w:tc>
        <w:tc>
          <w:tcPr>
            <w:tcW w:w="1088" w:type="dxa"/>
            <w:tcBorders>
              <w:top w:val="nil"/>
              <w:left w:val="nil"/>
              <w:bottom w:val="nil"/>
              <w:right w:val="nil"/>
            </w:tcBorders>
            <w:shd w:val="clear" w:color="auto" w:fill="auto"/>
            <w:vAlign w:val="center"/>
          </w:tcPr>
          <w:p w14:paraId="342F70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总成本、湿基单位成本和绝干单位成本</w:t>
            </w:r>
          </w:p>
        </w:tc>
        <w:tc>
          <w:tcPr>
            <w:tcW w:w="1460" w:type="dxa"/>
            <w:tcBorders>
              <w:top w:val="nil"/>
              <w:left w:val="nil"/>
              <w:bottom w:val="nil"/>
              <w:right w:val="nil"/>
            </w:tcBorders>
            <w:shd w:val="clear" w:color="auto" w:fill="auto"/>
            <w:vAlign w:val="center"/>
          </w:tcPr>
          <w:p w14:paraId="0B71CE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A97B41">
        <w:trPr>
          <w:cantSplit/>
          <w:trHeight w:val="0" w:hRule="atLeast"/>
          <w:jc w:val="center"/>
        </w:trPr>
        <w:tc>
          <w:tcPr>
            <w:tcW w:w="2944" w:type="dxa"/>
            <w:tcBorders>
              <w:top w:val="nil"/>
              <w:left w:val="nil"/>
              <w:bottom w:val="nil"/>
              <w:right w:val="nil"/>
            </w:tcBorders>
            <w:shd w:val="clear" w:color="auto" w:fill="auto"/>
            <w:vAlign w:val="center"/>
          </w:tcPr>
          <w:p w14:paraId="735411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P-ZLTC-SCOS-FYCB-005-60-001</w:t>
            </w:r>
          </w:p>
        </w:tc>
        <w:tc>
          <w:tcPr>
            <w:tcW w:w="945" w:type="dxa"/>
            <w:tcBorders>
              <w:top w:val="nil"/>
              <w:left w:val="nil"/>
              <w:bottom w:val="nil"/>
              <w:right w:val="nil"/>
            </w:tcBorders>
            <w:shd w:val="clear" w:color="auto" w:fill="auto"/>
            <w:vAlign w:val="center"/>
          </w:tcPr>
          <w:p w14:paraId="6FBDA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查看订单成本追溯并补充说明规则</w:t>
            </w:r>
          </w:p>
        </w:tc>
        <w:tc>
          <w:tcPr>
            <w:tcW w:w="966" w:type="dxa"/>
            <w:tcBorders>
              <w:top w:val="nil"/>
              <w:left w:val="nil"/>
              <w:bottom w:val="nil"/>
              <w:right w:val="nil"/>
            </w:tcBorders>
            <w:shd w:val="clear" w:color="auto" w:fill="auto"/>
            <w:vAlign w:val="center"/>
          </w:tcPr>
          <w:p w14:paraId="3742B70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D9D9B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24782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总成本、湿基单位成本和绝干单位成本形成后</w:t>
            </w:r>
          </w:p>
        </w:tc>
        <w:tc>
          <w:tcPr>
            <w:tcW w:w="1406" w:type="dxa"/>
            <w:tcBorders>
              <w:top w:val="nil"/>
              <w:left w:val="nil"/>
              <w:bottom w:val="nil"/>
              <w:right w:val="nil"/>
            </w:tcBorders>
            <w:shd w:val="clear" w:color="auto" w:fill="auto"/>
            <w:vAlign w:val="center"/>
          </w:tcPr>
          <w:p w14:paraId="2BD578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生产负责人在SCOS查看批次贡献和成本变化；说明不直接改写底层计算；需修正数据时进入新版本。</w:t>
            </w:r>
          </w:p>
        </w:tc>
        <w:tc>
          <w:tcPr>
            <w:tcW w:w="1088" w:type="dxa"/>
            <w:tcBorders>
              <w:top w:val="nil"/>
              <w:left w:val="nil"/>
              <w:bottom w:val="nil"/>
              <w:right w:val="nil"/>
            </w:tcBorders>
            <w:shd w:val="clear" w:color="auto" w:fill="auto"/>
            <w:vAlign w:val="center"/>
          </w:tcPr>
          <w:p w14:paraId="26AEA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停机、返工、工艺或收率差异说明</w:t>
            </w:r>
          </w:p>
        </w:tc>
        <w:tc>
          <w:tcPr>
            <w:tcW w:w="1460" w:type="dxa"/>
            <w:tcBorders>
              <w:top w:val="nil"/>
              <w:left w:val="nil"/>
              <w:bottom w:val="nil"/>
              <w:right w:val="nil"/>
            </w:tcBorders>
            <w:shd w:val="clear" w:color="auto" w:fill="auto"/>
            <w:vAlign w:val="center"/>
          </w:tcPr>
          <w:p w14:paraId="6A3FD6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7B26DF">
        <w:trPr>
          <w:cantSplit/>
          <w:trHeight w:val="0" w:hRule="atLeast"/>
          <w:jc w:val="center"/>
        </w:trPr>
        <w:tc>
          <w:tcPr>
            <w:tcW w:w="2944" w:type="dxa"/>
            <w:tcBorders>
              <w:top w:val="nil"/>
              <w:left w:val="nil"/>
              <w:bottom w:val="nil"/>
              <w:right w:val="nil"/>
            </w:tcBorders>
            <w:shd w:val="clear" w:color="auto" w:fill="auto"/>
            <w:vAlign w:val="center"/>
          </w:tcPr>
          <w:p w14:paraId="3629B0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P-ZLTC-SCOS-FYCB-005-70-001</w:t>
            </w:r>
          </w:p>
        </w:tc>
        <w:tc>
          <w:tcPr>
            <w:tcW w:w="945" w:type="dxa"/>
            <w:tcBorders>
              <w:top w:val="nil"/>
              <w:left w:val="nil"/>
              <w:bottom w:val="nil"/>
              <w:right w:val="nil"/>
            </w:tcBorders>
            <w:shd w:val="clear" w:color="auto" w:fill="auto"/>
            <w:vAlign w:val="center"/>
          </w:tcPr>
          <w:p w14:paraId="3A7007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生成生产订单成本结果规则</w:t>
            </w:r>
          </w:p>
        </w:tc>
        <w:tc>
          <w:tcPr>
            <w:tcW w:w="966" w:type="dxa"/>
            <w:tcBorders>
              <w:top w:val="nil"/>
              <w:left w:val="nil"/>
              <w:bottom w:val="nil"/>
              <w:right w:val="nil"/>
            </w:tcBorders>
            <w:shd w:val="clear" w:color="auto" w:fill="auto"/>
            <w:vAlign w:val="center"/>
          </w:tcPr>
          <w:p w14:paraId="77B5709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0282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679FA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停机、返工、工艺或收率差异说明形成后</w:t>
            </w:r>
          </w:p>
        </w:tc>
        <w:tc>
          <w:tcPr>
            <w:tcW w:w="1406" w:type="dxa"/>
            <w:tcBorders>
              <w:top w:val="nil"/>
              <w:left w:val="nil"/>
              <w:bottom w:val="nil"/>
              <w:right w:val="nil"/>
            </w:tcBorders>
            <w:shd w:val="clear" w:color="auto" w:fill="auto"/>
            <w:vAlign w:val="center"/>
          </w:tcPr>
          <w:p w14:paraId="6C0A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形成订单总成本、单位成本、在制余额、损失、批次追溯；待确认关系和不可用指标保留状态标识。</w:t>
            </w:r>
          </w:p>
        </w:tc>
        <w:tc>
          <w:tcPr>
            <w:tcW w:w="1088" w:type="dxa"/>
            <w:tcBorders>
              <w:top w:val="nil"/>
              <w:left w:val="nil"/>
              <w:bottom w:val="nil"/>
              <w:right w:val="nil"/>
            </w:tcBorders>
            <w:shd w:val="clear" w:color="auto" w:fill="auto"/>
            <w:vAlign w:val="center"/>
          </w:tcPr>
          <w:p w14:paraId="0EAD75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生产订单成本结果</w:t>
            </w:r>
          </w:p>
        </w:tc>
        <w:tc>
          <w:tcPr>
            <w:tcW w:w="1460" w:type="dxa"/>
            <w:tcBorders>
              <w:top w:val="nil"/>
              <w:left w:val="nil"/>
              <w:bottom w:val="nil"/>
              <w:right w:val="nil"/>
            </w:tcBorders>
            <w:shd w:val="clear" w:color="auto" w:fill="auto"/>
            <w:vAlign w:val="center"/>
          </w:tcPr>
          <w:p w14:paraId="1E4A9B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00B1C5">
        <w:trPr>
          <w:cantSplit/>
          <w:trHeight w:val="0" w:hRule="atLeast"/>
          <w:jc w:val="center"/>
        </w:trPr>
        <w:tc>
          <w:tcPr>
            <w:tcW w:w="2944" w:type="dxa"/>
            <w:tcBorders>
              <w:top w:val="nil"/>
              <w:left w:val="nil"/>
              <w:bottom w:val="nil"/>
              <w:right w:val="nil"/>
            </w:tcBorders>
            <w:shd w:val="clear" w:color="auto" w:fill="auto"/>
            <w:vAlign w:val="center"/>
          </w:tcPr>
          <w:p w14:paraId="190192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P-ZLTC-SCOS-FYCB-005-80-001</w:t>
            </w:r>
          </w:p>
        </w:tc>
        <w:tc>
          <w:tcPr>
            <w:tcW w:w="945" w:type="dxa"/>
            <w:tcBorders>
              <w:top w:val="nil"/>
              <w:left w:val="nil"/>
              <w:bottom w:val="nil"/>
              <w:right w:val="nil"/>
            </w:tcBorders>
            <w:shd w:val="clear" w:color="auto" w:fill="auto"/>
            <w:vAlign w:val="center"/>
          </w:tcPr>
          <w:p w14:paraId="70BD6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保存生产订单成本结果规则</w:t>
            </w:r>
          </w:p>
        </w:tc>
        <w:tc>
          <w:tcPr>
            <w:tcW w:w="966" w:type="dxa"/>
            <w:tcBorders>
              <w:top w:val="nil"/>
              <w:left w:val="nil"/>
              <w:bottom w:val="nil"/>
              <w:right w:val="nil"/>
            </w:tcBorders>
            <w:shd w:val="clear" w:color="auto" w:fill="auto"/>
            <w:vAlign w:val="center"/>
          </w:tcPr>
          <w:p w14:paraId="2C6487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AAEB2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F9908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生产订单成本结果形成后</w:t>
            </w:r>
          </w:p>
        </w:tc>
        <w:tc>
          <w:tcPr>
            <w:tcW w:w="1406" w:type="dxa"/>
            <w:tcBorders>
              <w:top w:val="nil"/>
              <w:left w:val="nil"/>
              <w:bottom w:val="nil"/>
              <w:right w:val="nil"/>
            </w:tcBorders>
            <w:shd w:val="clear" w:color="auto" w:fill="auto"/>
            <w:vAlign w:val="center"/>
          </w:tcPr>
          <w:p w14:paraId="13792B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保存订单结果及批次追溯明细；底层批次成本更新时生成替代版本。</w:t>
            </w:r>
          </w:p>
        </w:tc>
        <w:tc>
          <w:tcPr>
            <w:tcW w:w="1088" w:type="dxa"/>
            <w:tcBorders>
              <w:top w:val="nil"/>
              <w:left w:val="nil"/>
              <w:bottom w:val="nil"/>
              <w:right w:val="nil"/>
            </w:tcBorders>
            <w:shd w:val="clear" w:color="auto" w:fill="auto"/>
            <w:vAlign w:val="center"/>
          </w:tcPr>
          <w:p w14:paraId="147BCC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生产订单成本参考版本</w:t>
            </w:r>
          </w:p>
        </w:tc>
        <w:tc>
          <w:tcPr>
            <w:tcW w:w="1460" w:type="dxa"/>
            <w:tcBorders>
              <w:top w:val="nil"/>
              <w:left w:val="nil"/>
              <w:bottom w:val="nil"/>
              <w:right w:val="nil"/>
            </w:tcBorders>
            <w:shd w:val="clear" w:color="auto" w:fill="auto"/>
            <w:vAlign w:val="center"/>
          </w:tcPr>
          <w:p w14:paraId="45B5C6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6EF2EA5">
        <w:trPr>
          <w:cantSplit/>
          <w:trHeight w:val="0" w:hRule="atLeast"/>
          <w:jc w:val="center"/>
        </w:trPr>
        <w:tc>
          <w:tcPr>
            <w:tcW w:w="2944" w:type="dxa"/>
            <w:tcBorders>
              <w:top w:val="nil"/>
              <w:left w:val="nil"/>
              <w:bottom w:val="nil"/>
              <w:right w:val="nil"/>
            </w:tcBorders>
            <w:shd w:val="clear" w:color="auto" w:fill="auto"/>
            <w:vAlign w:val="center"/>
          </w:tcPr>
          <w:p w14:paraId="5D3DD2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P-ZLTC-SCOS-FYCB-006-10-001</w:t>
            </w:r>
          </w:p>
        </w:tc>
        <w:tc>
          <w:tcPr>
            <w:tcW w:w="945" w:type="dxa"/>
            <w:tcBorders>
              <w:top w:val="nil"/>
              <w:left w:val="nil"/>
              <w:bottom w:val="nil"/>
              <w:right w:val="nil"/>
            </w:tcBorders>
            <w:shd w:val="clear" w:color="auto" w:fill="auto"/>
            <w:vAlign w:val="center"/>
          </w:tcPr>
          <w:p w14:paraId="5E1A85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提供销售订单和发运数据规则</w:t>
            </w:r>
          </w:p>
        </w:tc>
        <w:tc>
          <w:tcPr>
            <w:tcW w:w="966" w:type="dxa"/>
            <w:tcBorders>
              <w:top w:val="nil"/>
              <w:left w:val="nil"/>
              <w:bottom w:val="nil"/>
              <w:right w:val="nil"/>
            </w:tcBorders>
            <w:shd w:val="clear" w:color="auto" w:fill="auto"/>
            <w:vAlign w:val="center"/>
          </w:tcPr>
          <w:p w14:paraId="1C0D24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E7BA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41CC60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生产订单成本可用后由SCOS启动销售订单聚合时</w:t>
            </w:r>
          </w:p>
        </w:tc>
        <w:tc>
          <w:tcPr>
            <w:tcW w:w="1406" w:type="dxa"/>
            <w:tcBorders>
              <w:top w:val="nil"/>
              <w:left w:val="nil"/>
              <w:bottom w:val="nil"/>
              <w:right w:val="nil"/>
            </w:tcBorders>
            <w:shd w:val="clear" w:color="auto" w:fill="auto"/>
            <w:vAlign w:val="center"/>
          </w:tcPr>
          <w:p w14:paraId="158E1FD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提供销售订单、实际发运、装载来源、运输和签收数量；订单、车次或来源批缺失时标记待补充。</w:t>
            </w:r>
          </w:p>
        </w:tc>
        <w:tc>
          <w:tcPr>
            <w:tcW w:w="1088" w:type="dxa"/>
            <w:tcBorders>
              <w:top w:val="nil"/>
              <w:left w:val="nil"/>
              <w:bottom w:val="nil"/>
              <w:right w:val="nil"/>
            </w:tcBorders>
            <w:shd w:val="clear" w:color="auto" w:fill="auto"/>
            <w:vAlign w:val="center"/>
          </w:tcPr>
          <w:p w14:paraId="391478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销售单、客户、发运批、来源库存批、车辆、装载量、签收和交付费用</w:t>
            </w:r>
          </w:p>
        </w:tc>
        <w:tc>
          <w:tcPr>
            <w:tcW w:w="1460" w:type="dxa"/>
            <w:tcBorders>
              <w:top w:val="nil"/>
              <w:left w:val="nil"/>
              <w:bottom w:val="nil"/>
              <w:right w:val="nil"/>
            </w:tcBorders>
            <w:shd w:val="clear" w:color="auto" w:fill="auto"/>
            <w:vAlign w:val="center"/>
          </w:tcPr>
          <w:p w14:paraId="68471D9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D445B27">
        <w:trPr>
          <w:cantSplit/>
          <w:trHeight w:val="0" w:hRule="atLeast"/>
          <w:jc w:val="center"/>
        </w:trPr>
        <w:tc>
          <w:tcPr>
            <w:tcW w:w="2944" w:type="dxa"/>
            <w:tcBorders>
              <w:top w:val="nil"/>
              <w:left w:val="nil"/>
              <w:bottom w:val="nil"/>
              <w:right w:val="nil"/>
            </w:tcBorders>
            <w:shd w:val="clear" w:color="auto" w:fill="auto"/>
            <w:vAlign w:val="center"/>
          </w:tcPr>
          <w:p w14:paraId="203A18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P-ZLTC-SCOS-FYCB-006-20-001</w:t>
            </w:r>
          </w:p>
        </w:tc>
        <w:tc>
          <w:tcPr>
            <w:tcW w:w="945" w:type="dxa"/>
            <w:tcBorders>
              <w:top w:val="nil"/>
              <w:left w:val="nil"/>
              <w:bottom w:val="nil"/>
              <w:right w:val="nil"/>
            </w:tcBorders>
            <w:shd w:val="clear" w:color="auto" w:fill="auto"/>
            <w:vAlign w:val="center"/>
          </w:tcPr>
          <w:p w14:paraId="790E24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校验订单发运和来源批映射规则</w:t>
            </w:r>
          </w:p>
        </w:tc>
        <w:tc>
          <w:tcPr>
            <w:tcW w:w="966" w:type="dxa"/>
            <w:tcBorders>
              <w:top w:val="nil"/>
              <w:left w:val="nil"/>
              <w:bottom w:val="nil"/>
              <w:right w:val="nil"/>
            </w:tcBorders>
            <w:shd w:val="clear" w:color="auto" w:fill="auto"/>
            <w:vAlign w:val="center"/>
          </w:tcPr>
          <w:p w14:paraId="3B2327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19E0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31788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销售单、客户、发运批、来源库存批、车辆、装载量、签收和交付费用形成后</w:t>
            </w:r>
          </w:p>
        </w:tc>
        <w:tc>
          <w:tcPr>
            <w:tcW w:w="1406" w:type="dxa"/>
            <w:tcBorders>
              <w:top w:val="nil"/>
              <w:left w:val="nil"/>
              <w:bottom w:val="nil"/>
              <w:right w:val="nil"/>
            </w:tcBorders>
            <w:shd w:val="clear" w:color="auto" w:fill="auto"/>
            <w:vAlign w:val="center"/>
          </w:tcPr>
          <w:p w14:paraId="1CA1500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检查一单多车、一车多批、来源库存批及装载量关系；来源缺失时不使用全月平均成本替代。</w:t>
            </w:r>
          </w:p>
        </w:tc>
        <w:tc>
          <w:tcPr>
            <w:tcW w:w="1088" w:type="dxa"/>
            <w:tcBorders>
              <w:top w:val="nil"/>
              <w:left w:val="nil"/>
              <w:bottom w:val="nil"/>
              <w:right w:val="nil"/>
            </w:tcBorders>
            <w:shd w:val="clear" w:color="auto" w:fill="auto"/>
            <w:vAlign w:val="center"/>
          </w:tcPr>
          <w:p w14:paraId="3E508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可计算销售订单范围</w:t>
            </w:r>
          </w:p>
        </w:tc>
        <w:tc>
          <w:tcPr>
            <w:tcW w:w="1460" w:type="dxa"/>
            <w:tcBorders>
              <w:top w:val="nil"/>
              <w:left w:val="nil"/>
              <w:bottom w:val="nil"/>
              <w:right w:val="nil"/>
            </w:tcBorders>
            <w:shd w:val="clear" w:color="auto" w:fill="auto"/>
            <w:vAlign w:val="center"/>
          </w:tcPr>
          <w:p w14:paraId="4AD86B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FC5D3">
        <w:trPr>
          <w:cantSplit/>
          <w:trHeight w:val="0" w:hRule="atLeast"/>
          <w:jc w:val="center"/>
        </w:trPr>
        <w:tc>
          <w:tcPr>
            <w:tcW w:w="2944" w:type="dxa"/>
            <w:tcBorders>
              <w:top w:val="nil"/>
              <w:left w:val="nil"/>
              <w:bottom w:val="nil"/>
              <w:right w:val="nil"/>
            </w:tcBorders>
            <w:shd w:val="clear" w:color="auto" w:fill="auto"/>
            <w:vAlign w:val="center"/>
          </w:tcPr>
          <w:p w14:paraId="2FDDED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P-ZLTC-SCOS-FYCB-006-30-001</w:t>
            </w:r>
          </w:p>
        </w:tc>
        <w:tc>
          <w:tcPr>
            <w:tcW w:w="945" w:type="dxa"/>
            <w:tcBorders>
              <w:top w:val="nil"/>
              <w:left w:val="nil"/>
              <w:bottom w:val="nil"/>
              <w:right w:val="nil"/>
            </w:tcBorders>
            <w:shd w:val="clear" w:color="auto" w:fill="auto"/>
            <w:vAlign w:val="center"/>
          </w:tcPr>
          <w:p w14:paraId="13E466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追溯发运对应生产订单成本规则</w:t>
            </w:r>
          </w:p>
        </w:tc>
        <w:tc>
          <w:tcPr>
            <w:tcW w:w="966" w:type="dxa"/>
            <w:tcBorders>
              <w:top w:val="nil"/>
              <w:left w:val="nil"/>
              <w:bottom w:val="nil"/>
              <w:right w:val="nil"/>
            </w:tcBorders>
            <w:shd w:val="clear" w:color="auto" w:fill="auto"/>
            <w:vAlign w:val="center"/>
          </w:tcPr>
          <w:p w14:paraId="0615A1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D64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C0EFD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可计算销售订单范围形成后</w:t>
            </w:r>
          </w:p>
        </w:tc>
        <w:tc>
          <w:tcPr>
            <w:tcW w:w="1406" w:type="dxa"/>
            <w:tcBorders>
              <w:top w:val="nil"/>
              <w:left w:val="nil"/>
              <w:bottom w:val="nil"/>
              <w:right w:val="nil"/>
            </w:tcBorders>
            <w:shd w:val="clear" w:color="auto" w:fill="auto"/>
            <w:vAlign w:val="center"/>
          </w:tcPr>
          <w:p w14:paraId="560900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从发运批反向追溯库存批、生产批和生产订单；候选谱系和低可信度来源单独标识。</w:t>
            </w:r>
          </w:p>
        </w:tc>
        <w:tc>
          <w:tcPr>
            <w:tcW w:w="1088" w:type="dxa"/>
            <w:tcBorders>
              <w:top w:val="nil"/>
              <w:left w:val="nil"/>
              <w:bottom w:val="nil"/>
              <w:right w:val="nil"/>
            </w:tcBorders>
            <w:shd w:val="clear" w:color="auto" w:fill="auto"/>
            <w:vAlign w:val="center"/>
          </w:tcPr>
          <w:p w14:paraId="26548A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来源生产批和制造成本贡献</w:t>
            </w:r>
          </w:p>
        </w:tc>
        <w:tc>
          <w:tcPr>
            <w:tcW w:w="1460" w:type="dxa"/>
            <w:tcBorders>
              <w:top w:val="nil"/>
              <w:left w:val="nil"/>
              <w:bottom w:val="nil"/>
              <w:right w:val="nil"/>
            </w:tcBorders>
            <w:shd w:val="clear" w:color="auto" w:fill="auto"/>
            <w:vAlign w:val="center"/>
          </w:tcPr>
          <w:p w14:paraId="79E6EE6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CE407E">
        <w:trPr>
          <w:cantSplit/>
          <w:trHeight w:val="0" w:hRule="atLeast"/>
          <w:jc w:val="center"/>
        </w:trPr>
        <w:tc>
          <w:tcPr>
            <w:tcW w:w="2944" w:type="dxa"/>
            <w:tcBorders>
              <w:top w:val="nil"/>
              <w:left w:val="nil"/>
              <w:bottom w:val="nil"/>
              <w:right w:val="nil"/>
            </w:tcBorders>
            <w:shd w:val="clear" w:color="auto" w:fill="auto"/>
            <w:vAlign w:val="center"/>
          </w:tcPr>
          <w:p w14:paraId="19E2BB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P-ZLTC-SCOS-FYCB-006-40-001</w:t>
            </w:r>
          </w:p>
        </w:tc>
        <w:tc>
          <w:tcPr>
            <w:tcW w:w="945" w:type="dxa"/>
            <w:tcBorders>
              <w:top w:val="nil"/>
              <w:left w:val="nil"/>
              <w:bottom w:val="nil"/>
              <w:right w:val="nil"/>
            </w:tcBorders>
            <w:shd w:val="clear" w:color="auto" w:fill="auto"/>
            <w:vAlign w:val="center"/>
          </w:tcPr>
          <w:p w14:paraId="4D5E34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按实际装载量分配制造成本规则</w:t>
            </w:r>
          </w:p>
        </w:tc>
        <w:tc>
          <w:tcPr>
            <w:tcW w:w="966" w:type="dxa"/>
            <w:tcBorders>
              <w:top w:val="nil"/>
              <w:left w:val="nil"/>
              <w:bottom w:val="nil"/>
              <w:right w:val="nil"/>
            </w:tcBorders>
            <w:shd w:val="clear" w:color="auto" w:fill="auto"/>
            <w:vAlign w:val="center"/>
          </w:tcPr>
          <w:p w14:paraId="0968AB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EDA69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销售订单制造成本归集</w:t>
            </w:r>
          </w:p>
        </w:tc>
        <w:tc>
          <w:tcPr>
            <w:tcW w:w="1098" w:type="dxa"/>
            <w:tcBorders>
              <w:top w:val="nil"/>
              <w:left w:val="nil"/>
              <w:bottom w:val="nil"/>
              <w:right w:val="nil"/>
            </w:tcBorders>
            <w:shd w:val="clear" w:color="auto" w:fill="auto"/>
            <w:vAlign w:val="center"/>
          </w:tcPr>
          <w:p w14:paraId="3CBEB6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来源生产批和制造成本贡献形成后</w:t>
            </w:r>
          </w:p>
        </w:tc>
        <w:tc>
          <w:tcPr>
            <w:tcW w:w="1406" w:type="dxa"/>
            <w:tcBorders>
              <w:top w:val="nil"/>
              <w:left w:val="nil"/>
              <w:bottom w:val="nil"/>
              <w:right w:val="nil"/>
            </w:tcBorders>
            <w:shd w:val="clear" w:color="auto" w:fill="auto"/>
            <w:vAlign w:val="center"/>
          </w:tcPr>
          <w:p w14:paraId="356104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同一来源批服务多订单时按实际装载质量拆分；退货、补发或更正形成独立调整版本。</w:t>
            </w:r>
          </w:p>
        </w:tc>
        <w:tc>
          <w:tcPr>
            <w:tcW w:w="1088" w:type="dxa"/>
            <w:tcBorders>
              <w:top w:val="nil"/>
              <w:left w:val="nil"/>
              <w:bottom w:val="nil"/>
              <w:right w:val="nil"/>
            </w:tcBorders>
            <w:shd w:val="clear" w:color="auto" w:fill="auto"/>
            <w:vAlign w:val="center"/>
          </w:tcPr>
          <w:p w14:paraId="018B87B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销售订单承接制造成本</w:t>
            </w:r>
          </w:p>
        </w:tc>
        <w:tc>
          <w:tcPr>
            <w:tcW w:w="1460" w:type="dxa"/>
            <w:tcBorders>
              <w:top w:val="nil"/>
              <w:left w:val="nil"/>
              <w:bottom w:val="nil"/>
              <w:right w:val="nil"/>
            </w:tcBorders>
            <w:shd w:val="clear" w:color="auto" w:fill="auto"/>
            <w:vAlign w:val="center"/>
          </w:tcPr>
          <w:p w14:paraId="1D7DE2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5C9913">
        <w:trPr>
          <w:cantSplit/>
          <w:trHeight w:val="0" w:hRule="atLeast"/>
          <w:jc w:val="center"/>
        </w:trPr>
        <w:tc>
          <w:tcPr>
            <w:tcW w:w="2944" w:type="dxa"/>
            <w:tcBorders>
              <w:top w:val="nil"/>
              <w:left w:val="nil"/>
              <w:bottom w:val="nil"/>
              <w:right w:val="nil"/>
            </w:tcBorders>
            <w:shd w:val="clear" w:color="auto" w:fill="auto"/>
            <w:vAlign w:val="center"/>
          </w:tcPr>
          <w:p w14:paraId="6521A1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P-ZLTC-SCOS-FYCB-006-50-001</w:t>
            </w:r>
          </w:p>
        </w:tc>
        <w:tc>
          <w:tcPr>
            <w:tcW w:w="945" w:type="dxa"/>
            <w:tcBorders>
              <w:top w:val="nil"/>
              <w:left w:val="nil"/>
              <w:bottom w:val="nil"/>
              <w:right w:val="nil"/>
            </w:tcBorders>
            <w:shd w:val="clear" w:color="auto" w:fill="auto"/>
            <w:vAlign w:val="center"/>
          </w:tcPr>
          <w:p w14:paraId="1FF79E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叠加交付成本并形成成本视图规则</w:t>
            </w:r>
          </w:p>
        </w:tc>
        <w:tc>
          <w:tcPr>
            <w:tcW w:w="966" w:type="dxa"/>
            <w:tcBorders>
              <w:top w:val="nil"/>
              <w:left w:val="nil"/>
              <w:bottom w:val="nil"/>
              <w:right w:val="nil"/>
            </w:tcBorders>
            <w:shd w:val="clear" w:color="auto" w:fill="auto"/>
            <w:vAlign w:val="center"/>
          </w:tcPr>
          <w:p w14:paraId="6B327A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B59F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销售订单交付成本归集</w:t>
            </w:r>
          </w:p>
        </w:tc>
        <w:tc>
          <w:tcPr>
            <w:tcW w:w="1098" w:type="dxa"/>
            <w:tcBorders>
              <w:top w:val="nil"/>
              <w:left w:val="nil"/>
              <w:bottom w:val="nil"/>
              <w:right w:val="nil"/>
            </w:tcBorders>
            <w:shd w:val="clear" w:color="auto" w:fill="auto"/>
            <w:vAlign w:val="center"/>
          </w:tcPr>
          <w:p w14:paraId="093767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销售订单承接制造成本形成后</w:t>
            </w:r>
          </w:p>
        </w:tc>
        <w:tc>
          <w:tcPr>
            <w:tcW w:w="1406" w:type="dxa"/>
            <w:tcBorders>
              <w:top w:val="nil"/>
              <w:left w:val="nil"/>
              <w:bottom w:val="nil"/>
              <w:right w:val="nil"/>
            </w:tcBorders>
            <w:shd w:val="clear" w:color="auto" w:fill="auto"/>
            <w:vAlign w:val="center"/>
          </w:tcPr>
          <w:p w14:paraId="5A34F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可定位订单和车次的费用直接计入；经营期间费用只在完整成本视图展示，不回写生产工序成本。</w:t>
            </w:r>
          </w:p>
        </w:tc>
        <w:tc>
          <w:tcPr>
            <w:tcW w:w="1088" w:type="dxa"/>
            <w:tcBorders>
              <w:top w:val="nil"/>
              <w:left w:val="nil"/>
              <w:bottom w:val="nil"/>
              <w:right w:val="nil"/>
            </w:tcBorders>
            <w:shd w:val="clear" w:color="auto" w:fill="auto"/>
            <w:vAlign w:val="center"/>
          </w:tcPr>
          <w:p w14:paraId="0B293ED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制造成本、交付成本和完整成本视图</w:t>
            </w:r>
          </w:p>
        </w:tc>
        <w:tc>
          <w:tcPr>
            <w:tcW w:w="1460" w:type="dxa"/>
            <w:tcBorders>
              <w:top w:val="nil"/>
              <w:left w:val="nil"/>
              <w:bottom w:val="nil"/>
              <w:right w:val="nil"/>
            </w:tcBorders>
            <w:shd w:val="clear" w:color="auto" w:fill="auto"/>
            <w:vAlign w:val="center"/>
          </w:tcPr>
          <w:p w14:paraId="71786C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3DDD25">
        <w:trPr>
          <w:cantSplit/>
          <w:trHeight w:val="0" w:hRule="atLeast"/>
          <w:jc w:val="center"/>
        </w:trPr>
        <w:tc>
          <w:tcPr>
            <w:tcW w:w="2944" w:type="dxa"/>
            <w:tcBorders>
              <w:top w:val="nil"/>
              <w:left w:val="nil"/>
              <w:bottom w:val="nil"/>
              <w:right w:val="nil"/>
            </w:tcBorders>
            <w:shd w:val="clear" w:color="auto" w:fill="auto"/>
            <w:vAlign w:val="center"/>
          </w:tcPr>
          <w:p w14:paraId="290D83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P-ZLTC-SCOS-FYCB-006-60-001</w:t>
            </w:r>
          </w:p>
        </w:tc>
        <w:tc>
          <w:tcPr>
            <w:tcW w:w="945" w:type="dxa"/>
            <w:tcBorders>
              <w:top w:val="nil"/>
              <w:left w:val="nil"/>
              <w:bottom w:val="nil"/>
              <w:right w:val="nil"/>
            </w:tcBorders>
            <w:shd w:val="clear" w:color="auto" w:fill="auto"/>
            <w:vAlign w:val="center"/>
          </w:tcPr>
          <w:p w14:paraId="2CB9A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查看销售订单成本并补充说明规则</w:t>
            </w:r>
          </w:p>
        </w:tc>
        <w:tc>
          <w:tcPr>
            <w:tcW w:w="966" w:type="dxa"/>
            <w:tcBorders>
              <w:top w:val="nil"/>
              <w:left w:val="nil"/>
              <w:bottom w:val="nil"/>
              <w:right w:val="nil"/>
            </w:tcBorders>
            <w:shd w:val="clear" w:color="auto" w:fill="auto"/>
            <w:vAlign w:val="center"/>
          </w:tcPr>
          <w:p w14:paraId="00CFB5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5CD70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21758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制造成本、交付成本和完整成本视图形成后</w:t>
            </w:r>
          </w:p>
        </w:tc>
        <w:tc>
          <w:tcPr>
            <w:tcW w:w="1406" w:type="dxa"/>
            <w:tcBorders>
              <w:top w:val="nil"/>
              <w:left w:val="nil"/>
              <w:bottom w:val="nil"/>
              <w:right w:val="nil"/>
            </w:tcBorders>
            <w:shd w:val="clear" w:color="auto" w:fill="auto"/>
            <w:vAlign w:val="center"/>
          </w:tcPr>
          <w:p w14:paraId="2294D9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销售负责人在SCOS查看制造成本、交付成本、单位成本；说明用于经营分析，不替代实际销售结算。</w:t>
            </w:r>
          </w:p>
        </w:tc>
        <w:tc>
          <w:tcPr>
            <w:tcW w:w="1088" w:type="dxa"/>
            <w:tcBorders>
              <w:top w:val="nil"/>
              <w:left w:val="nil"/>
              <w:bottom w:val="nil"/>
              <w:right w:val="nil"/>
            </w:tcBorders>
            <w:shd w:val="clear" w:color="auto" w:fill="auto"/>
            <w:vAlign w:val="center"/>
          </w:tcPr>
          <w:p w14:paraId="191C50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订单或运输差异说明</w:t>
            </w:r>
          </w:p>
        </w:tc>
        <w:tc>
          <w:tcPr>
            <w:tcW w:w="1460" w:type="dxa"/>
            <w:tcBorders>
              <w:top w:val="nil"/>
              <w:left w:val="nil"/>
              <w:bottom w:val="nil"/>
              <w:right w:val="nil"/>
            </w:tcBorders>
            <w:shd w:val="clear" w:color="auto" w:fill="auto"/>
            <w:vAlign w:val="center"/>
          </w:tcPr>
          <w:p w14:paraId="7C2FE0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9F037C">
        <w:trPr>
          <w:cantSplit/>
          <w:trHeight w:val="0" w:hRule="atLeast"/>
          <w:jc w:val="center"/>
        </w:trPr>
        <w:tc>
          <w:tcPr>
            <w:tcW w:w="2944" w:type="dxa"/>
            <w:tcBorders>
              <w:top w:val="nil"/>
              <w:left w:val="nil"/>
              <w:bottom w:val="nil"/>
              <w:right w:val="nil"/>
            </w:tcBorders>
            <w:shd w:val="clear" w:color="auto" w:fill="auto"/>
            <w:vAlign w:val="center"/>
          </w:tcPr>
          <w:p w14:paraId="14C7FC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P-ZLTC-SCOS-FYCB-006-70-001</w:t>
            </w:r>
          </w:p>
        </w:tc>
        <w:tc>
          <w:tcPr>
            <w:tcW w:w="945" w:type="dxa"/>
            <w:tcBorders>
              <w:top w:val="nil"/>
              <w:left w:val="nil"/>
              <w:bottom w:val="nil"/>
              <w:right w:val="nil"/>
            </w:tcBorders>
            <w:shd w:val="clear" w:color="auto" w:fill="auto"/>
            <w:vAlign w:val="center"/>
          </w:tcPr>
          <w:p w14:paraId="153A6A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生成销售订单成本结果规则</w:t>
            </w:r>
          </w:p>
        </w:tc>
        <w:tc>
          <w:tcPr>
            <w:tcW w:w="966" w:type="dxa"/>
            <w:tcBorders>
              <w:top w:val="nil"/>
              <w:left w:val="nil"/>
              <w:bottom w:val="nil"/>
              <w:right w:val="nil"/>
            </w:tcBorders>
            <w:shd w:val="clear" w:color="auto" w:fill="auto"/>
            <w:vAlign w:val="center"/>
          </w:tcPr>
          <w:p w14:paraId="5F08ED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E606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4603F2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订单或运输差异说明形成后</w:t>
            </w:r>
          </w:p>
        </w:tc>
        <w:tc>
          <w:tcPr>
            <w:tcW w:w="1406" w:type="dxa"/>
            <w:tcBorders>
              <w:top w:val="nil"/>
              <w:left w:val="nil"/>
              <w:bottom w:val="nil"/>
              <w:right w:val="nil"/>
            </w:tcBorders>
            <w:shd w:val="clear" w:color="auto" w:fill="auto"/>
            <w:vAlign w:val="center"/>
          </w:tcPr>
          <w:p w14:paraId="55BEAD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形成订单总成本、单位成本及来源订单和批次的追溯关系；底层成本或发运数据更正时生成新版本。</w:t>
            </w:r>
          </w:p>
        </w:tc>
        <w:tc>
          <w:tcPr>
            <w:tcW w:w="1088" w:type="dxa"/>
            <w:tcBorders>
              <w:top w:val="nil"/>
              <w:left w:val="nil"/>
              <w:bottom w:val="nil"/>
              <w:right w:val="nil"/>
            </w:tcBorders>
            <w:shd w:val="clear" w:color="auto" w:fill="auto"/>
            <w:vAlign w:val="center"/>
          </w:tcPr>
          <w:p w14:paraId="22A358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销售订单成本结果</w:t>
            </w:r>
          </w:p>
        </w:tc>
        <w:tc>
          <w:tcPr>
            <w:tcW w:w="1460" w:type="dxa"/>
            <w:tcBorders>
              <w:top w:val="nil"/>
              <w:left w:val="nil"/>
              <w:bottom w:val="nil"/>
              <w:right w:val="nil"/>
            </w:tcBorders>
            <w:shd w:val="clear" w:color="auto" w:fill="auto"/>
            <w:vAlign w:val="center"/>
          </w:tcPr>
          <w:p w14:paraId="1DE7F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5EB2D9">
        <w:trPr>
          <w:cantSplit/>
          <w:trHeight w:val="0" w:hRule="atLeast"/>
          <w:jc w:val="center"/>
        </w:trPr>
        <w:tc>
          <w:tcPr>
            <w:tcW w:w="2944" w:type="dxa"/>
            <w:tcBorders>
              <w:top w:val="nil"/>
              <w:left w:val="nil"/>
              <w:bottom w:val="nil"/>
              <w:right w:val="nil"/>
            </w:tcBorders>
            <w:shd w:val="clear" w:color="auto" w:fill="auto"/>
            <w:vAlign w:val="center"/>
          </w:tcPr>
          <w:p w14:paraId="29A2AD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P-ZLTC-SCOS-FYCB-006-80-001</w:t>
            </w:r>
          </w:p>
        </w:tc>
        <w:tc>
          <w:tcPr>
            <w:tcW w:w="945" w:type="dxa"/>
            <w:tcBorders>
              <w:top w:val="nil"/>
              <w:left w:val="nil"/>
              <w:bottom w:val="nil"/>
              <w:right w:val="nil"/>
            </w:tcBorders>
            <w:shd w:val="clear" w:color="auto" w:fill="auto"/>
            <w:vAlign w:val="center"/>
          </w:tcPr>
          <w:p w14:paraId="59F433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保存销售订单成本结果规则</w:t>
            </w:r>
          </w:p>
        </w:tc>
        <w:tc>
          <w:tcPr>
            <w:tcW w:w="966" w:type="dxa"/>
            <w:tcBorders>
              <w:top w:val="nil"/>
              <w:left w:val="nil"/>
              <w:bottom w:val="nil"/>
              <w:right w:val="nil"/>
            </w:tcBorders>
            <w:shd w:val="clear" w:color="auto" w:fill="auto"/>
            <w:vAlign w:val="center"/>
          </w:tcPr>
          <w:p w14:paraId="7DE4B8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C292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2BA9BD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销售订单成本结果形成后</w:t>
            </w:r>
          </w:p>
        </w:tc>
        <w:tc>
          <w:tcPr>
            <w:tcW w:w="1406" w:type="dxa"/>
            <w:tcBorders>
              <w:top w:val="nil"/>
              <w:left w:val="nil"/>
              <w:bottom w:val="nil"/>
              <w:right w:val="nil"/>
            </w:tcBorders>
            <w:shd w:val="clear" w:color="auto" w:fill="auto"/>
            <w:vAlign w:val="center"/>
          </w:tcPr>
          <w:p w14:paraId="0EC99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保存销售订单结果和追溯明细，供多维成本分析使用；历史版本保留，不原地覆盖。</w:t>
            </w:r>
          </w:p>
        </w:tc>
        <w:tc>
          <w:tcPr>
            <w:tcW w:w="1088" w:type="dxa"/>
            <w:tcBorders>
              <w:top w:val="nil"/>
              <w:left w:val="nil"/>
              <w:bottom w:val="nil"/>
              <w:right w:val="nil"/>
            </w:tcBorders>
            <w:shd w:val="clear" w:color="auto" w:fill="auto"/>
            <w:vAlign w:val="center"/>
          </w:tcPr>
          <w:p w14:paraId="0A58C4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销售订单成本参考版本</w:t>
            </w:r>
          </w:p>
        </w:tc>
        <w:tc>
          <w:tcPr>
            <w:tcW w:w="1460" w:type="dxa"/>
            <w:tcBorders>
              <w:top w:val="nil"/>
              <w:left w:val="nil"/>
              <w:bottom w:val="nil"/>
              <w:right w:val="nil"/>
            </w:tcBorders>
            <w:shd w:val="clear" w:color="auto" w:fill="auto"/>
            <w:vAlign w:val="center"/>
          </w:tcPr>
          <w:p w14:paraId="5F2C115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FCF424">
        <w:trPr>
          <w:cantSplit/>
          <w:trHeight w:val="0" w:hRule="atLeast"/>
          <w:jc w:val="center"/>
        </w:trPr>
        <w:tc>
          <w:tcPr>
            <w:tcW w:w="2944" w:type="dxa"/>
            <w:tcBorders>
              <w:top w:val="nil"/>
              <w:left w:val="nil"/>
              <w:bottom w:val="nil"/>
              <w:right w:val="nil"/>
            </w:tcBorders>
            <w:shd w:val="clear" w:color="auto" w:fill="auto"/>
            <w:vAlign w:val="center"/>
          </w:tcPr>
          <w:p w14:paraId="42858B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P-ZLTC-SCOS-FYCB-007-10-001</w:t>
            </w:r>
          </w:p>
        </w:tc>
        <w:tc>
          <w:tcPr>
            <w:tcW w:w="945" w:type="dxa"/>
            <w:tcBorders>
              <w:top w:val="nil"/>
              <w:left w:val="nil"/>
              <w:bottom w:val="nil"/>
              <w:right w:val="nil"/>
            </w:tcBorders>
            <w:shd w:val="clear" w:color="auto" w:fill="auto"/>
            <w:vAlign w:val="center"/>
          </w:tcPr>
          <w:p w14:paraId="4FD342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生成并分发多维成本分析数据集规则</w:t>
            </w:r>
          </w:p>
        </w:tc>
        <w:tc>
          <w:tcPr>
            <w:tcW w:w="966" w:type="dxa"/>
            <w:tcBorders>
              <w:top w:val="nil"/>
              <w:left w:val="nil"/>
              <w:bottom w:val="nil"/>
              <w:right w:val="nil"/>
            </w:tcBorders>
            <w:shd w:val="clear" w:color="auto" w:fill="auto"/>
            <w:vAlign w:val="center"/>
          </w:tcPr>
          <w:p w14:paraId="0A95A8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778A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152D9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SCOS按用户查询或月度更新启动多维分析时</w:t>
            </w:r>
          </w:p>
        </w:tc>
        <w:tc>
          <w:tcPr>
            <w:tcW w:w="1406" w:type="dxa"/>
            <w:tcBorders>
              <w:top w:val="nil"/>
              <w:left w:val="nil"/>
              <w:bottom w:val="nil"/>
              <w:right w:val="nil"/>
            </w:tcBorders>
            <w:shd w:val="clear" w:color="auto" w:fill="auto"/>
            <w:vAlign w:val="center"/>
          </w:tcPr>
          <w:p w14:paraId="7D013C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按同一时间范围、成本版本和维度口径汇集数据；维度映射缺失时单列待映射；三个角色接收的数据版本一致。</w:t>
            </w:r>
          </w:p>
        </w:tc>
        <w:tc>
          <w:tcPr>
            <w:tcW w:w="1088" w:type="dxa"/>
            <w:tcBorders>
              <w:top w:val="nil"/>
              <w:left w:val="nil"/>
              <w:bottom w:val="nil"/>
              <w:right w:val="nil"/>
            </w:tcBorders>
            <w:shd w:val="clear" w:color="auto" w:fill="auto"/>
            <w:vAlign w:val="center"/>
          </w:tcPr>
          <w:p w14:paraId="2158AB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统一多维成本分析数据集</w:t>
            </w:r>
          </w:p>
        </w:tc>
        <w:tc>
          <w:tcPr>
            <w:tcW w:w="1460" w:type="dxa"/>
            <w:tcBorders>
              <w:top w:val="nil"/>
              <w:left w:val="nil"/>
              <w:bottom w:val="nil"/>
              <w:right w:val="nil"/>
            </w:tcBorders>
            <w:shd w:val="clear" w:color="auto" w:fill="auto"/>
            <w:vAlign w:val="center"/>
          </w:tcPr>
          <w:p w14:paraId="2865EE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E89E8EF">
        <w:trPr>
          <w:cantSplit/>
          <w:trHeight w:val="0" w:hRule="atLeast"/>
          <w:jc w:val="center"/>
        </w:trPr>
        <w:tc>
          <w:tcPr>
            <w:tcW w:w="2944" w:type="dxa"/>
            <w:tcBorders>
              <w:top w:val="nil"/>
              <w:left w:val="nil"/>
              <w:bottom w:val="nil"/>
              <w:right w:val="nil"/>
            </w:tcBorders>
            <w:shd w:val="clear" w:color="auto" w:fill="auto"/>
            <w:vAlign w:val="center"/>
          </w:tcPr>
          <w:p w14:paraId="2885BA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P-ZLTC-SCOS-FYCB-007-20-001</w:t>
            </w:r>
          </w:p>
        </w:tc>
        <w:tc>
          <w:tcPr>
            <w:tcW w:w="945" w:type="dxa"/>
            <w:tcBorders>
              <w:top w:val="nil"/>
              <w:left w:val="nil"/>
              <w:bottom w:val="nil"/>
              <w:right w:val="nil"/>
            </w:tcBorders>
            <w:shd w:val="clear" w:color="auto" w:fill="auto"/>
            <w:vAlign w:val="center"/>
          </w:tcPr>
          <w:p w14:paraId="39CA10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接收生产批次和产品成本视图规则</w:t>
            </w:r>
          </w:p>
        </w:tc>
        <w:tc>
          <w:tcPr>
            <w:tcW w:w="966" w:type="dxa"/>
            <w:tcBorders>
              <w:top w:val="nil"/>
              <w:left w:val="nil"/>
              <w:bottom w:val="nil"/>
              <w:right w:val="nil"/>
            </w:tcBorders>
            <w:shd w:val="clear" w:color="auto" w:fill="auto"/>
            <w:vAlign w:val="center"/>
          </w:tcPr>
          <w:p w14:paraId="2062EB2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2BC06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0D4A8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统一多维成本分析数据集形成后</w:t>
            </w:r>
          </w:p>
        </w:tc>
        <w:tc>
          <w:tcPr>
            <w:tcW w:w="1406" w:type="dxa"/>
            <w:tcBorders>
              <w:top w:val="nil"/>
              <w:left w:val="nil"/>
              <w:bottom w:val="nil"/>
              <w:right w:val="nil"/>
            </w:tcBorders>
            <w:shd w:val="clear" w:color="auto" w:fill="auto"/>
            <w:vAlign w:val="center"/>
          </w:tcPr>
          <w:p w14:paraId="4E052D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生产负责人在SCOS选择产品、产线、生产订单和批次；单位成本分母为空时显示不可用。</w:t>
            </w:r>
          </w:p>
        </w:tc>
        <w:tc>
          <w:tcPr>
            <w:tcW w:w="1088" w:type="dxa"/>
            <w:tcBorders>
              <w:top w:val="nil"/>
              <w:left w:val="nil"/>
              <w:bottom w:val="nil"/>
              <w:right w:val="nil"/>
            </w:tcBorders>
            <w:shd w:val="clear" w:color="auto" w:fill="auto"/>
            <w:vAlign w:val="center"/>
          </w:tcPr>
          <w:p w14:paraId="35F057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产品、生产订单、批次、原料、能耗和损耗分析条件</w:t>
            </w:r>
          </w:p>
        </w:tc>
        <w:tc>
          <w:tcPr>
            <w:tcW w:w="1460" w:type="dxa"/>
            <w:tcBorders>
              <w:top w:val="nil"/>
              <w:left w:val="nil"/>
              <w:bottom w:val="nil"/>
              <w:right w:val="nil"/>
            </w:tcBorders>
            <w:shd w:val="clear" w:color="auto" w:fill="auto"/>
            <w:vAlign w:val="center"/>
          </w:tcPr>
          <w:p w14:paraId="3FCC9E2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EE9378">
        <w:trPr>
          <w:cantSplit/>
          <w:trHeight w:val="0" w:hRule="atLeast"/>
          <w:jc w:val="center"/>
        </w:trPr>
        <w:tc>
          <w:tcPr>
            <w:tcW w:w="2944" w:type="dxa"/>
            <w:tcBorders>
              <w:top w:val="nil"/>
              <w:left w:val="nil"/>
              <w:bottom w:val="nil"/>
              <w:right w:val="nil"/>
            </w:tcBorders>
            <w:shd w:val="clear" w:color="auto" w:fill="auto"/>
            <w:vAlign w:val="center"/>
          </w:tcPr>
          <w:p w14:paraId="61F64A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P-ZLTC-SCOS-FYCB-007-30-001</w:t>
            </w:r>
          </w:p>
        </w:tc>
        <w:tc>
          <w:tcPr>
            <w:tcW w:w="945" w:type="dxa"/>
            <w:tcBorders>
              <w:top w:val="nil"/>
              <w:left w:val="nil"/>
              <w:bottom w:val="nil"/>
              <w:right w:val="nil"/>
            </w:tcBorders>
            <w:shd w:val="clear" w:color="auto" w:fill="auto"/>
            <w:vAlign w:val="center"/>
          </w:tcPr>
          <w:p w14:paraId="0CC976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接收订单客户和产品成本视图规则</w:t>
            </w:r>
          </w:p>
        </w:tc>
        <w:tc>
          <w:tcPr>
            <w:tcW w:w="966" w:type="dxa"/>
            <w:tcBorders>
              <w:top w:val="nil"/>
              <w:left w:val="nil"/>
              <w:bottom w:val="nil"/>
              <w:right w:val="nil"/>
            </w:tcBorders>
            <w:shd w:val="clear" w:color="auto" w:fill="auto"/>
            <w:vAlign w:val="center"/>
          </w:tcPr>
          <w:p w14:paraId="628C7A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F0162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E866B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产品、生产订单、批次、原料、能耗和损耗分析条件形成后</w:t>
            </w:r>
          </w:p>
        </w:tc>
        <w:tc>
          <w:tcPr>
            <w:tcW w:w="1406" w:type="dxa"/>
            <w:tcBorders>
              <w:top w:val="nil"/>
              <w:left w:val="nil"/>
              <w:bottom w:val="nil"/>
              <w:right w:val="nil"/>
            </w:tcBorders>
            <w:shd w:val="clear" w:color="auto" w:fill="auto"/>
            <w:vAlign w:val="center"/>
          </w:tcPr>
          <w:p w14:paraId="51D3A1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销售负责人在SCOS查看订单、客户和产品的制造成本；退货或跨期订单按有效事件和版本展示。</w:t>
            </w:r>
          </w:p>
        </w:tc>
        <w:tc>
          <w:tcPr>
            <w:tcW w:w="1088" w:type="dxa"/>
            <w:tcBorders>
              <w:top w:val="nil"/>
              <w:left w:val="nil"/>
              <w:bottom w:val="nil"/>
              <w:right w:val="nil"/>
            </w:tcBorders>
            <w:shd w:val="clear" w:color="auto" w:fill="auto"/>
            <w:vAlign w:val="center"/>
          </w:tcPr>
          <w:p w14:paraId="10AD45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销售订单、客户、产品、交付和来源生产成本分析条件</w:t>
            </w:r>
          </w:p>
        </w:tc>
        <w:tc>
          <w:tcPr>
            <w:tcW w:w="1460" w:type="dxa"/>
            <w:tcBorders>
              <w:top w:val="nil"/>
              <w:left w:val="nil"/>
              <w:bottom w:val="nil"/>
              <w:right w:val="nil"/>
            </w:tcBorders>
            <w:shd w:val="clear" w:color="auto" w:fill="auto"/>
            <w:vAlign w:val="center"/>
          </w:tcPr>
          <w:p w14:paraId="56BC7D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83F930">
        <w:trPr>
          <w:cantSplit/>
          <w:trHeight w:val="0" w:hRule="atLeast"/>
          <w:jc w:val="center"/>
        </w:trPr>
        <w:tc>
          <w:tcPr>
            <w:tcW w:w="2944" w:type="dxa"/>
            <w:tcBorders>
              <w:top w:val="nil"/>
              <w:left w:val="nil"/>
              <w:bottom w:val="nil"/>
              <w:right w:val="nil"/>
            </w:tcBorders>
            <w:shd w:val="clear" w:color="auto" w:fill="auto"/>
            <w:vAlign w:val="center"/>
          </w:tcPr>
          <w:p w14:paraId="4DCB18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P-ZLTC-SCOS-FYCB-007-40-001</w:t>
            </w:r>
          </w:p>
        </w:tc>
        <w:tc>
          <w:tcPr>
            <w:tcW w:w="945" w:type="dxa"/>
            <w:tcBorders>
              <w:top w:val="nil"/>
              <w:left w:val="nil"/>
              <w:bottom w:val="nil"/>
              <w:right w:val="nil"/>
            </w:tcBorders>
            <w:shd w:val="clear" w:color="auto" w:fill="auto"/>
            <w:vAlign w:val="center"/>
          </w:tcPr>
          <w:p w14:paraId="1B593C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接收供应商和采购成本视图规则</w:t>
            </w:r>
          </w:p>
        </w:tc>
        <w:tc>
          <w:tcPr>
            <w:tcW w:w="966" w:type="dxa"/>
            <w:tcBorders>
              <w:top w:val="nil"/>
              <w:left w:val="nil"/>
              <w:bottom w:val="nil"/>
              <w:right w:val="nil"/>
            </w:tcBorders>
            <w:shd w:val="clear" w:color="auto" w:fill="auto"/>
            <w:vAlign w:val="center"/>
          </w:tcPr>
          <w:p w14:paraId="157DF0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9DDF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72BAA9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销售订单、客户、产品、交付和来源生产成本分析条件形成后</w:t>
            </w:r>
          </w:p>
        </w:tc>
        <w:tc>
          <w:tcPr>
            <w:tcW w:w="1406" w:type="dxa"/>
            <w:tcBorders>
              <w:top w:val="nil"/>
              <w:left w:val="nil"/>
              <w:bottom w:val="nil"/>
              <w:right w:val="nil"/>
            </w:tcBorders>
            <w:shd w:val="clear" w:color="auto" w:fill="auto"/>
            <w:vAlign w:val="center"/>
          </w:tcPr>
          <w:p w14:paraId="14D885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分析供应商及采购批次对生产与销售成本的影响；供应商贡献按实际采购批次和谱系计算。</w:t>
            </w:r>
          </w:p>
        </w:tc>
        <w:tc>
          <w:tcPr>
            <w:tcW w:w="1088" w:type="dxa"/>
            <w:tcBorders>
              <w:top w:val="nil"/>
              <w:left w:val="nil"/>
              <w:bottom w:val="nil"/>
              <w:right w:val="nil"/>
            </w:tcBorders>
            <w:shd w:val="clear" w:color="auto" w:fill="auto"/>
            <w:vAlign w:val="center"/>
          </w:tcPr>
          <w:p w14:paraId="752060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供应商、原料、采购批次、采购价格和成本贡献分析条件</w:t>
            </w:r>
          </w:p>
        </w:tc>
        <w:tc>
          <w:tcPr>
            <w:tcW w:w="1460" w:type="dxa"/>
            <w:tcBorders>
              <w:top w:val="nil"/>
              <w:left w:val="nil"/>
              <w:bottom w:val="nil"/>
              <w:right w:val="nil"/>
            </w:tcBorders>
            <w:shd w:val="clear" w:color="auto" w:fill="auto"/>
            <w:vAlign w:val="center"/>
          </w:tcPr>
          <w:p w14:paraId="1A2D4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05744">
        <w:trPr>
          <w:cantSplit/>
          <w:trHeight w:val="0" w:hRule="atLeast"/>
          <w:jc w:val="center"/>
        </w:trPr>
        <w:tc>
          <w:tcPr>
            <w:tcW w:w="2944" w:type="dxa"/>
            <w:tcBorders>
              <w:top w:val="nil"/>
              <w:left w:val="nil"/>
              <w:bottom w:val="nil"/>
              <w:right w:val="nil"/>
            </w:tcBorders>
            <w:shd w:val="clear" w:color="auto" w:fill="auto"/>
            <w:vAlign w:val="center"/>
          </w:tcPr>
          <w:p w14:paraId="0ECAA4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P-ZLTC-SCOS-FYCB-007-50-001</w:t>
            </w:r>
          </w:p>
        </w:tc>
        <w:tc>
          <w:tcPr>
            <w:tcW w:w="945" w:type="dxa"/>
            <w:tcBorders>
              <w:top w:val="nil"/>
              <w:left w:val="nil"/>
              <w:bottom w:val="nil"/>
              <w:right w:val="nil"/>
            </w:tcBorders>
            <w:shd w:val="clear" w:color="auto" w:fill="auto"/>
            <w:vAlign w:val="center"/>
          </w:tcPr>
          <w:p w14:paraId="3B80E9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执行跨维度钻取和差异分析规则</w:t>
            </w:r>
          </w:p>
        </w:tc>
        <w:tc>
          <w:tcPr>
            <w:tcW w:w="966" w:type="dxa"/>
            <w:tcBorders>
              <w:top w:val="nil"/>
              <w:left w:val="nil"/>
              <w:bottom w:val="nil"/>
              <w:right w:val="nil"/>
            </w:tcBorders>
            <w:shd w:val="clear" w:color="auto" w:fill="auto"/>
            <w:vAlign w:val="center"/>
          </w:tcPr>
          <w:p w14:paraId="182586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10104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4EC428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供应商、原料、采购批次、采购价格和成本贡献分析条件形成后</w:t>
            </w:r>
          </w:p>
        </w:tc>
        <w:tc>
          <w:tcPr>
            <w:tcW w:w="1406" w:type="dxa"/>
            <w:tcBorders>
              <w:top w:val="nil"/>
              <w:left w:val="nil"/>
              <w:bottom w:val="nil"/>
              <w:right w:val="nil"/>
            </w:tcBorders>
            <w:shd w:val="clear" w:color="auto" w:fill="auto"/>
            <w:vAlign w:val="center"/>
          </w:tcPr>
          <w:p w14:paraId="31874F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汇合三个角色的分析条件；筛选条件只改变展示范围，不改变底层成本结果。</w:t>
            </w:r>
          </w:p>
        </w:tc>
        <w:tc>
          <w:tcPr>
            <w:tcW w:w="1088" w:type="dxa"/>
            <w:tcBorders>
              <w:top w:val="nil"/>
              <w:left w:val="nil"/>
              <w:bottom w:val="nil"/>
              <w:right w:val="nil"/>
            </w:tcBorders>
            <w:shd w:val="clear" w:color="auto" w:fill="auto"/>
            <w:vAlign w:val="center"/>
          </w:tcPr>
          <w:p w14:paraId="5CC15F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订单、客户、供应商、产品和成本要素组合指标</w:t>
            </w:r>
          </w:p>
        </w:tc>
        <w:tc>
          <w:tcPr>
            <w:tcW w:w="1460" w:type="dxa"/>
            <w:tcBorders>
              <w:top w:val="nil"/>
              <w:left w:val="nil"/>
              <w:bottom w:val="nil"/>
              <w:right w:val="nil"/>
            </w:tcBorders>
            <w:shd w:val="clear" w:color="auto" w:fill="auto"/>
            <w:vAlign w:val="center"/>
          </w:tcPr>
          <w:p w14:paraId="37E9A4A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FDD61C">
        <w:trPr>
          <w:cantSplit/>
          <w:trHeight w:val="0" w:hRule="atLeast"/>
          <w:jc w:val="center"/>
        </w:trPr>
        <w:tc>
          <w:tcPr>
            <w:tcW w:w="2944" w:type="dxa"/>
            <w:tcBorders>
              <w:top w:val="nil"/>
              <w:left w:val="nil"/>
              <w:bottom w:val="nil"/>
              <w:right w:val="nil"/>
            </w:tcBorders>
            <w:shd w:val="clear" w:color="auto" w:fill="auto"/>
            <w:vAlign w:val="center"/>
          </w:tcPr>
          <w:p w14:paraId="3B6A51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P-ZLTC-SCOS-FYCB-007-60-001</w:t>
            </w:r>
          </w:p>
        </w:tc>
        <w:tc>
          <w:tcPr>
            <w:tcW w:w="945" w:type="dxa"/>
            <w:tcBorders>
              <w:top w:val="nil"/>
              <w:left w:val="nil"/>
              <w:bottom w:val="nil"/>
              <w:right w:val="nil"/>
            </w:tcBorders>
            <w:shd w:val="clear" w:color="auto" w:fill="auto"/>
            <w:vAlign w:val="center"/>
          </w:tcPr>
          <w:p w14:paraId="44B2D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生成多维成本分析结果规则</w:t>
            </w:r>
          </w:p>
        </w:tc>
        <w:tc>
          <w:tcPr>
            <w:tcW w:w="966" w:type="dxa"/>
            <w:tcBorders>
              <w:top w:val="nil"/>
              <w:left w:val="nil"/>
              <w:bottom w:val="nil"/>
              <w:right w:val="nil"/>
            </w:tcBorders>
            <w:shd w:val="clear" w:color="auto" w:fill="auto"/>
            <w:vAlign w:val="center"/>
          </w:tcPr>
          <w:p w14:paraId="4662B1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AF412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0ABDDA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订单、客户、供应商、产品和成本要素组合指标形成后</w:t>
            </w:r>
          </w:p>
        </w:tc>
        <w:tc>
          <w:tcPr>
            <w:tcW w:w="1406" w:type="dxa"/>
            <w:tcBorders>
              <w:top w:val="nil"/>
              <w:left w:val="nil"/>
              <w:bottom w:val="nil"/>
              <w:right w:val="nil"/>
            </w:tcBorders>
            <w:shd w:val="clear" w:color="auto" w:fill="auto"/>
            <w:vAlign w:val="center"/>
          </w:tcPr>
          <w:p w14:paraId="1F79263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生成生产、销售和采购视角的成本分析及差异指标；待映射维度与不可用指标单独展示。</w:t>
            </w:r>
          </w:p>
        </w:tc>
        <w:tc>
          <w:tcPr>
            <w:tcW w:w="1088" w:type="dxa"/>
            <w:tcBorders>
              <w:top w:val="nil"/>
              <w:left w:val="nil"/>
              <w:bottom w:val="nil"/>
              <w:right w:val="nil"/>
            </w:tcBorders>
            <w:shd w:val="clear" w:color="auto" w:fill="auto"/>
            <w:vAlign w:val="center"/>
          </w:tcPr>
          <w:p w14:paraId="3E93C6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多维成本分析结果</w:t>
            </w:r>
          </w:p>
        </w:tc>
        <w:tc>
          <w:tcPr>
            <w:tcW w:w="1460" w:type="dxa"/>
            <w:tcBorders>
              <w:top w:val="nil"/>
              <w:left w:val="nil"/>
              <w:bottom w:val="nil"/>
              <w:right w:val="nil"/>
            </w:tcBorders>
            <w:shd w:val="clear" w:color="auto" w:fill="auto"/>
            <w:vAlign w:val="center"/>
          </w:tcPr>
          <w:p w14:paraId="5DCD38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5C9B30">
        <w:trPr>
          <w:cantSplit/>
          <w:trHeight w:val="0" w:hRule="atLeast"/>
          <w:jc w:val="center"/>
        </w:trPr>
        <w:tc>
          <w:tcPr>
            <w:tcW w:w="2944" w:type="dxa"/>
            <w:tcBorders>
              <w:top w:val="nil"/>
              <w:left w:val="nil"/>
              <w:bottom w:val="nil"/>
              <w:right w:val="nil"/>
            </w:tcBorders>
            <w:shd w:val="clear" w:color="auto" w:fill="auto"/>
            <w:vAlign w:val="center"/>
          </w:tcPr>
          <w:p w14:paraId="50A77A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P-ZLTC-SCOS-FYCB-007-70-001</w:t>
            </w:r>
          </w:p>
        </w:tc>
        <w:tc>
          <w:tcPr>
            <w:tcW w:w="945" w:type="dxa"/>
            <w:tcBorders>
              <w:top w:val="nil"/>
              <w:left w:val="nil"/>
              <w:bottom w:val="nil"/>
              <w:right w:val="nil"/>
            </w:tcBorders>
            <w:shd w:val="clear" w:color="auto" w:fill="auto"/>
            <w:vAlign w:val="center"/>
          </w:tcPr>
          <w:p w14:paraId="1DADF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保存分析快照和导出记录规则</w:t>
            </w:r>
          </w:p>
        </w:tc>
        <w:tc>
          <w:tcPr>
            <w:tcW w:w="966" w:type="dxa"/>
            <w:tcBorders>
              <w:top w:val="nil"/>
              <w:left w:val="nil"/>
              <w:bottom w:val="nil"/>
              <w:right w:val="nil"/>
            </w:tcBorders>
            <w:shd w:val="clear" w:color="auto" w:fill="auto"/>
            <w:vAlign w:val="center"/>
          </w:tcPr>
          <w:p w14:paraId="201FF3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8AF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21204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多维成本分析结果形成后</w:t>
            </w:r>
          </w:p>
        </w:tc>
        <w:tc>
          <w:tcPr>
            <w:tcW w:w="1406" w:type="dxa"/>
            <w:tcBorders>
              <w:top w:val="nil"/>
              <w:left w:val="nil"/>
              <w:bottom w:val="nil"/>
              <w:right w:val="nil"/>
            </w:tcBorders>
            <w:shd w:val="clear" w:color="auto" w:fill="auto"/>
            <w:vAlign w:val="center"/>
          </w:tcPr>
          <w:p w14:paraId="7A13DD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保存分析条件、数据版本、指标结果和导出记录；底层成本更新后生成新快照并保留历史引用。</w:t>
            </w:r>
          </w:p>
        </w:tc>
        <w:tc>
          <w:tcPr>
            <w:tcW w:w="1088" w:type="dxa"/>
            <w:tcBorders>
              <w:top w:val="nil"/>
              <w:left w:val="nil"/>
              <w:bottom w:val="nil"/>
              <w:right w:val="nil"/>
            </w:tcBorders>
            <w:shd w:val="clear" w:color="auto" w:fill="auto"/>
            <w:vAlign w:val="center"/>
          </w:tcPr>
          <w:p w14:paraId="43E41F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分析快照、看板和导出记录</w:t>
            </w:r>
          </w:p>
        </w:tc>
        <w:tc>
          <w:tcPr>
            <w:tcW w:w="1460" w:type="dxa"/>
            <w:tcBorders>
              <w:top w:val="nil"/>
              <w:left w:val="nil"/>
              <w:bottom w:val="nil"/>
              <w:right w:val="nil"/>
            </w:tcBorders>
            <w:shd w:val="clear" w:color="auto" w:fill="auto"/>
            <w:vAlign w:val="center"/>
          </w:tcPr>
          <w:p w14:paraId="3535E3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C6D6894">
        <w:trPr>
          <w:cantSplit/>
          <w:trHeight w:val="0" w:hRule="atLeast"/>
          <w:jc w:val="center"/>
        </w:trPr>
        <w:tc>
          <w:tcPr>
            <w:tcW w:w="2944" w:type="dxa"/>
            <w:tcBorders>
              <w:top w:val="nil"/>
              <w:left w:val="nil"/>
              <w:bottom w:val="nil"/>
              <w:right w:val="nil"/>
            </w:tcBorders>
            <w:shd w:val="clear" w:color="auto" w:fill="auto"/>
            <w:vAlign w:val="center"/>
          </w:tcPr>
          <w:p w14:paraId="42CE7B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P-ZLTC-SCOS-FYCB-008-10-001</w:t>
            </w:r>
          </w:p>
        </w:tc>
        <w:tc>
          <w:tcPr>
            <w:tcW w:w="945" w:type="dxa"/>
            <w:tcBorders>
              <w:top w:val="nil"/>
              <w:left w:val="nil"/>
              <w:bottom w:val="nil"/>
              <w:right w:val="nil"/>
            </w:tcBorders>
            <w:shd w:val="clear" w:color="auto" w:fill="auto"/>
            <w:vAlign w:val="center"/>
          </w:tcPr>
          <w:p w14:paraId="3FEE35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提供更正数据和补充证据规则</w:t>
            </w:r>
          </w:p>
        </w:tc>
        <w:tc>
          <w:tcPr>
            <w:tcW w:w="966" w:type="dxa"/>
            <w:tcBorders>
              <w:top w:val="nil"/>
              <w:left w:val="nil"/>
              <w:bottom w:val="nil"/>
              <w:right w:val="nil"/>
            </w:tcBorders>
            <w:shd w:val="clear" w:color="auto" w:fill="auto"/>
            <w:vAlign w:val="center"/>
          </w:tcPr>
          <w:p w14:paraId="65C39C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0FC3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28634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SCOS在批次、谱系或成本计算中发现异常时</w:t>
            </w:r>
          </w:p>
        </w:tc>
        <w:tc>
          <w:tcPr>
            <w:tcW w:w="1406" w:type="dxa"/>
            <w:tcBorders>
              <w:top w:val="nil"/>
              <w:left w:val="nil"/>
              <w:bottom w:val="nil"/>
              <w:right w:val="nil"/>
            </w:tcBorders>
            <w:shd w:val="clear" w:color="auto" w:fill="auto"/>
            <w:vAlign w:val="center"/>
          </w:tcPr>
          <w:p w14:paraId="1514C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按原数据版本返回更正记录、来源时间和替代关系；无法补充时明确缺失范围和数据质量。</w:t>
            </w:r>
          </w:p>
        </w:tc>
        <w:tc>
          <w:tcPr>
            <w:tcW w:w="1088" w:type="dxa"/>
            <w:tcBorders>
              <w:top w:val="nil"/>
              <w:left w:val="nil"/>
              <w:bottom w:val="nil"/>
              <w:right w:val="nil"/>
            </w:tcBorders>
            <w:shd w:val="clear" w:color="auto" w:fill="auto"/>
            <w:vAlign w:val="center"/>
          </w:tcPr>
          <w:p w14:paraId="3B95B8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更正事件、计量、主数据或成本事实</w:t>
            </w:r>
          </w:p>
        </w:tc>
        <w:tc>
          <w:tcPr>
            <w:tcW w:w="1460" w:type="dxa"/>
            <w:tcBorders>
              <w:top w:val="nil"/>
              <w:left w:val="nil"/>
              <w:bottom w:val="nil"/>
              <w:right w:val="nil"/>
            </w:tcBorders>
            <w:shd w:val="clear" w:color="auto" w:fill="auto"/>
            <w:vAlign w:val="center"/>
          </w:tcPr>
          <w:p w14:paraId="109874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825CB8F">
        <w:trPr>
          <w:cantSplit/>
          <w:trHeight w:val="0" w:hRule="atLeast"/>
          <w:jc w:val="center"/>
        </w:trPr>
        <w:tc>
          <w:tcPr>
            <w:tcW w:w="2944" w:type="dxa"/>
            <w:tcBorders>
              <w:top w:val="nil"/>
              <w:left w:val="nil"/>
              <w:bottom w:val="nil"/>
              <w:right w:val="nil"/>
            </w:tcBorders>
            <w:shd w:val="clear" w:color="auto" w:fill="auto"/>
            <w:vAlign w:val="center"/>
          </w:tcPr>
          <w:p w14:paraId="106CC5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P-ZLTC-SCOS-FYCB-008-20-001</w:t>
            </w:r>
          </w:p>
        </w:tc>
        <w:tc>
          <w:tcPr>
            <w:tcW w:w="945" w:type="dxa"/>
            <w:tcBorders>
              <w:top w:val="nil"/>
              <w:left w:val="nil"/>
              <w:bottom w:val="nil"/>
              <w:right w:val="nil"/>
            </w:tcBorders>
            <w:shd w:val="clear" w:color="auto" w:fill="auto"/>
            <w:vAlign w:val="center"/>
          </w:tcPr>
          <w:p w14:paraId="407BD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比对原结果和更正数据版本规则</w:t>
            </w:r>
          </w:p>
        </w:tc>
        <w:tc>
          <w:tcPr>
            <w:tcW w:w="966" w:type="dxa"/>
            <w:tcBorders>
              <w:top w:val="nil"/>
              <w:left w:val="nil"/>
              <w:bottom w:val="nil"/>
              <w:right w:val="nil"/>
            </w:tcBorders>
            <w:shd w:val="clear" w:color="auto" w:fill="auto"/>
            <w:vAlign w:val="center"/>
          </w:tcPr>
          <w:p w14:paraId="2DC9F0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29894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D90F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更正事件、计量、主数据或成本事实形成后</w:t>
            </w:r>
          </w:p>
        </w:tc>
        <w:tc>
          <w:tcPr>
            <w:tcW w:w="1406" w:type="dxa"/>
            <w:tcBorders>
              <w:top w:val="nil"/>
              <w:left w:val="nil"/>
              <w:bottom w:val="nil"/>
              <w:right w:val="nil"/>
            </w:tcBorders>
            <w:shd w:val="clear" w:color="auto" w:fill="auto"/>
            <w:vAlign w:val="center"/>
          </w:tcPr>
          <w:p w14:paraId="372AC4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核对事件、计量、主数据、成本事实和规则的变更项；无实质变化的数据不触发全链重算。</w:t>
            </w:r>
          </w:p>
        </w:tc>
        <w:tc>
          <w:tcPr>
            <w:tcW w:w="1088" w:type="dxa"/>
            <w:tcBorders>
              <w:top w:val="nil"/>
              <w:left w:val="nil"/>
              <w:bottom w:val="nil"/>
              <w:right w:val="nil"/>
            </w:tcBorders>
            <w:shd w:val="clear" w:color="auto" w:fill="auto"/>
            <w:vAlign w:val="center"/>
          </w:tcPr>
          <w:p w14:paraId="02967F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字段差异、时间边界差异和版本关系</w:t>
            </w:r>
          </w:p>
        </w:tc>
        <w:tc>
          <w:tcPr>
            <w:tcW w:w="1460" w:type="dxa"/>
            <w:tcBorders>
              <w:top w:val="nil"/>
              <w:left w:val="nil"/>
              <w:bottom w:val="nil"/>
              <w:right w:val="nil"/>
            </w:tcBorders>
            <w:shd w:val="clear" w:color="auto" w:fill="auto"/>
            <w:vAlign w:val="center"/>
          </w:tcPr>
          <w:p w14:paraId="37F3E1C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AC43B7">
        <w:trPr>
          <w:cantSplit/>
          <w:trHeight w:val="0" w:hRule="atLeast"/>
          <w:jc w:val="center"/>
        </w:trPr>
        <w:tc>
          <w:tcPr>
            <w:tcW w:w="2944" w:type="dxa"/>
            <w:tcBorders>
              <w:top w:val="nil"/>
              <w:left w:val="nil"/>
              <w:bottom w:val="nil"/>
              <w:right w:val="nil"/>
            </w:tcBorders>
            <w:shd w:val="clear" w:color="auto" w:fill="auto"/>
            <w:vAlign w:val="center"/>
          </w:tcPr>
          <w:p w14:paraId="5A799E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P-ZLTC-SCOS-FYCB-008-30-001</w:t>
            </w:r>
          </w:p>
        </w:tc>
        <w:tc>
          <w:tcPr>
            <w:tcW w:w="945" w:type="dxa"/>
            <w:tcBorders>
              <w:top w:val="nil"/>
              <w:left w:val="nil"/>
              <w:bottom w:val="nil"/>
              <w:right w:val="nil"/>
            </w:tcBorders>
            <w:shd w:val="clear" w:color="auto" w:fill="auto"/>
            <w:vAlign w:val="center"/>
          </w:tcPr>
          <w:p w14:paraId="3DA917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识别异常类型和影响范围规则</w:t>
            </w:r>
          </w:p>
        </w:tc>
        <w:tc>
          <w:tcPr>
            <w:tcW w:w="966" w:type="dxa"/>
            <w:tcBorders>
              <w:top w:val="nil"/>
              <w:left w:val="nil"/>
              <w:bottom w:val="nil"/>
              <w:right w:val="nil"/>
            </w:tcBorders>
            <w:shd w:val="clear" w:color="auto" w:fill="auto"/>
            <w:vAlign w:val="center"/>
          </w:tcPr>
          <w:p w14:paraId="2F78E0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0EDE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407BF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字段差异、时间边界差异和版本关系形成后</w:t>
            </w:r>
          </w:p>
        </w:tc>
        <w:tc>
          <w:tcPr>
            <w:tcW w:w="1406" w:type="dxa"/>
            <w:tcBorders>
              <w:top w:val="nil"/>
              <w:left w:val="nil"/>
              <w:bottom w:val="nil"/>
              <w:right w:val="nil"/>
            </w:tcBorders>
            <w:shd w:val="clear" w:color="auto" w:fill="auto"/>
            <w:vAlign w:val="center"/>
          </w:tcPr>
          <w:p w14:paraId="5D995F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区分时间、路线、计量、批次、分摊依据及成本映射等异常类型；未受影响结果继续可用，异常范围标记待更新。</w:t>
            </w:r>
          </w:p>
        </w:tc>
        <w:tc>
          <w:tcPr>
            <w:tcW w:w="1088" w:type="dxa"/>
            <w:tcBorders>
              <w:top w:val="nil"/>
              <w:left w:val="nil"/>
              <w:bottom w:val="nil"/>
              <w:right w:val="nil"/>
            </w:tcBorders>
            <w:shd w:val="clear" w:color="auto" w:fill="auto"/>
            <w:vAlign w:val="center"/>
          </w:tcPr>
          <w:p w14:paraId="62722E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异常批次、关系、费用池、订单和受影响后代</w:t>
            </w:r>
          </w:p>
        </w:tc>
        <w:tc>
          <w:tcPr>
            <w:tcW w:w="1460" w:type="dxa"/>
            <w:tcBorders>
              <w:top w:val="nil"/>
              <w:left w:val="nil"/>
              <w:bottom w:val="nil"/>
              <w:right w:val="nil"/>
            </w:tcBorders>
            <w:shd w:val="clear" w:color="auto" w:fill="auto"/>
            <w:vAlign w:val="center"/>
          </w:tcPr>
          <w:p w14:paraId="13BB513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EA2B31">
        <w:trPr>
          <w:cantSplit/>
          <w:trHeight w:val="0" w:hRule="atLeast"/>
          <w:jc w:val="center"/>
        </w:trPr>
        <w:tc>
          <w:tcPr>
            <w:tcW w:w="2944" w:type="dxa"/>
            <w:tcBorders>
              <w:top w:val="nil"/>
              <w:left w:val="nil"/>
              <w:bottom w:val="nil"/>
              <w:right w:val="nil"/>
            </w:tcBorders>
            <w:shd w:val="clear" w:color="auto" w:fill="auto"/>
            <w:vAlign w:val="center"/>
          </w:tcPr>
          <w:p w14:paraId="3F512F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P-ZLTC-SCOS-FYCB-008-40-001</w:t>
            </w:r>
          </w:p>
        </w:tc>
        <w:tc>
          <w:tcPr>
            <w:tcW w:w="945" w:type="dxa"/>
            <w:tcBorders>
              <w:top w:val="nil"/>
              <w:left w:val="nil"/>
              <w:bottom w:val="nil"/>
              <w:right w:val="nil"/>
            </w:tcBorders>
            <w:shd w:val="clear" w:color="auto" w:fill="auto"/>
            <w:vAlign w:val="center"/>
          </w:tcPr>
          <w:p w14:paraId="5FADB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判断证据和规则是否足以重算规则</w:t>
            </w:r>
          </w:p>
        </w:tc>
        <w:tc>
          <w:tcPr>
            <w:tcW w:w="966" w:type="dxa"/>
            <w:tcBorders>
              <w:top w:val="nil"/>
              <w:left w:val="nil"/>
              <w:bottom w:val="nil"/>
              <w:right w:val="nil"/>
            </w:tcBorders>
            <w:shd w:val="clear" w:color="auto" w:fill="auto"/>
            <w:vAlign w:val="center"/>
          </w:tcPr>
          <w:p w14:paraId="622E0A7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C491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4BC1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异常批次、关系、费用池、订单和受影响后代形成后</w:t>
            </w:r>
          </w:p>
        </w:tc>
        <w:tc>
          <w:tcPr>
            <w:tcW w:w="1406" w:type="dxa"/>
            <w:tcBorders>
              <w:top w:val="nil"/>
              <w:left w:val="nil"/>
              <w:bottom w:val="nil"/>
              <w:right w:val="nil"/>
            </w:tcBorders>
            <w:shd w:val="clear" w:color="auto" w:fill="auto"/>
            <w:vAlign w:val="center"/>
          </w:tcPr>
          <w:p w14:paraId="7AE00E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按已确认的计量、转罐、罐差和密度等依据判断能否重算；证据和规则不足以重算时补充口径；证据和规则足以重算时重算。</w:t>
            </w:r>
          </w:p>
        </w:tc>
        <w:tc>
          <w:tcPr>
            <w:tcW w:w="1088" w:type="dxa"/>
            <w:tcBorders>
              <w:top w:val="nil"/>
              <w:left w:val="nil"/>
              <w:bottom w:val="nil"/>
              <w:right w:val="nil"/>
            </w:tcBorders>
            <w:shd w:val="clear" w:color="auto" w:fill="auto"/>
            <w:vAlign w:val="center"/>
          </w:tcPr>
          <w:p w14:paraId="6EC01E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可重算判断及证据优先级</w:t>
            </w:r>
          </w:p>
        </w:tc>
        <w:tc>
          <w:tcPr>
            <w:tcW w:w="1460" w:type="dxa"/>
            <w:tcBorders>
              <w:top w:val="nil"/>
              <w:left w:val="nil"/>
              <w:bottom w:val="nil"/>
              <w:right w:val="nil"/>
            </w:tcBorders>
            <w:shd w:val="clear" w:color="auto" w:fill="auto"/>
            <w:vAlign w:val="center"/>
          </w:tcPr>
          <w:p w14:paraId="76F8270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BFE78">
        <w:trPr>
          <w:cantSplit/>
          <w:trHeight w:val="0" w:hRule="atLeast"/>
          <w:jc w:val="center"/>
        </w:trPr>
        <w:tc>
          <w:tcPr>
            <w:tcW w:w="2944" w:type="dxa"/>
            <w:tcBorders>
              <w:top w:val="nil"/>
              <w:left w:val="nil"/>
              <w:bottom w:val="nil"/>
              <w:right w:val="nil"/>
            </w:tcBorders>
            <w:shd w:val="clear" w:color="auto" w:fill="auto"/>
            <w:vAlign w:val="center"/>
          </w:tcPr>
          <w:p w14:paraId="3E8ABF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P-ZLTC-SCOS-FYCB-008-50-001</w:t>
            </w:r>
          </w:p>
        </w:tc>
        <w:tc>
          <w:tcPr>
            <w:tcW w:w="945" w:type="dxa"/>
            <w:tcBorders>
              <w:top w:val="nil"/>
              <w:left w:val="nil"/>
              <w:bottom w:val="nil"/>
              <w:right w:val="nil"/>
            </w:tcBorders>
            <w:shd w:val="clear" w:color="auto" w:fill="auto"/>
            <w:vAlign w:val="center"/>
          </w:tcPr>
          <w:p w14:paraId="616BE2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补充业务事实或维护参考规则</w:t>
            </w:r>
          </w:p>
        </w:tc>
        <w:tc>
          <w:tcPr>
            <w:tcW w:w="966" w:type="dxa"/>
            <w:tcBorders>
              <w:top w:val="nil"/>
              <w:left w:val="nil"/>
              <w:bottom w:val="nil"/>
              <w:right w:val="nil"/>
            </w:tcBorders>
            <w:shd w:val="clear" w:color="auto" w:fill="auto"/>
            <w:vAlign w:val="center"/>
          </w:tcPr>
          <w:p w14:paraId="339A86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5EC7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6999BF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证据和规则不足以重算时</w:t>
            </w:r>
          </w:p>
        </w:tc>
        <w:tc>
          <w:tcPr>
            <w:tcW w:w="1406" w:type="dxa"/>
            <w:tcBorders>
              <w:top w:val="nil"/>
              <w:left w:val="nil"/>
              <w:bottom w:val="nil"/>
              <w:right w:val="nil"/>
            </w:tcBorders>
            <w:shd w:val="clear" w:color="auto" w:fill="auto"/>
            <w:vAlign w:val="center"/>
          </w:tcPr>
          <w:p w14:paraId="03435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财务负责人在SCOS维护成本映射和费用池参考口径；仍不足时保持待确认，不强行计算。</w:t>
            </w:r>
          </w:p>
        </w:tc>
        <w:tc>
          <w:tcPr>
            <w:tcW w:w="1088" w:type="dxa"/>
            <w:tcBorders>
              <w:top w:val="nil"/>
              <w:left w:val="nil"/>
              <w:bottom w:val="nil"/>
              <w:right w:val="nil"/>
            </w:tcBorders>
            <w:shd w:val="clear" w:color="auto" w:fill="auto"/>
            <w:vAlign w:val="center"/>
          </w:tcPr>
          <w:p w14:paraId="67A727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成本映射、备选动因或继续待确认说明</w:t>
            </w:r>
          </w:p>
        </w:tc>
        <w:tc>
          <w:tcPr>
            <w:tcW w:w="1460" w:type="dxa"/>
            <w:tcBorders>
              <w:top w:val="nil"/>
              <w:left w:val="nil"/>
              <w:bottom w:val="nil"/>
              <w:right w:val="nil"/>
            </w:tcBorders>
            <w:shd w:val="clear" w:color="auto" w:fill="auto"/>
            <w:vAlign w:val="center"/>
          </w:tcPr>
          <w:p w14:paraId="26344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BA7C32">
        <w:trPr>
          <w:cantSplit/>
          <w:trHeight w:val="0" w:hRule="atLeast"/>
          <w:jc w:val="center"/>
        </w:trPr>
        <w:tc>
          <w:tcPr>
            <w:tcW w:w="2944" w:type="dxa"/>
            <w:tcBorders>
              <w:top w:val="nil"/>
              <w:left w:val="nil"/>
              <w:bottom w:val="nil"/>
              <w:right w:val="nil"/>
            </w:tcBorders>
            <w:shd w:val="clear" w:color="auto" w:fill="auto"/>
            <w:vAlign w:val="center"/>
          </w:tcPr>
          <w:p w14:paraId="1912CA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P-ZLTC-SCOS-FYCB-008-60-001</w:t>
            </w:r>
          </w:p>
        </w:tc>
        <w:tc>
          <w:tcPr>
            <w:tcW w:w="945" w:type="dxa"/>
            <w:tcBorders>
              <w:top w:val="nil"/>
              <w:left w:val="nil"/>
              <w:bottom w:val="nil"/>
              <w:right w:val="nil"/>
            </w:tcBorders>
            <w:shd w:val="clear" w:color="auto" w:fill="auto"/>
            <w:vAlign w:val="center"/>
          </w:tcPr>
          <w:p w14:paraId="1EF24E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从最早受影响节点重新计算规则</w:t>
            </w:r>
          </w:p>
        </w:tc>
        <w:tc>
          <w:tcPr>
            <w:tcW w:w="966" w:type="dxa"/>
            <w:tcBorders>
              <w:top w:val="nil"/>
              <w:left w:val="nil"/>
              <w:bottom w:val="nil"/>
              <w:right w:val="nil"/>
            </w:tcBorders>
            <w:shd w:val="clear" w:color="auto" w:fill="auto"/>
            <w:vAlign w:val="center"/>
          </w:tcPr>
          <w:p w14:paraId="7BC2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4395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0C2423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证据和规则足以重算时</w:t>
            </w:r>
          </w:p>
        </w:tc>
        <w:tc>
          <w:tcPr>
            <w:tcW w:w="1406" w:type="dxa"/>
            <w:tcBorders>
              <w:top w:val="nil"/>
              <w:left w:val="nil"/>
              <w:bottom w:val="nil"/>
              <w:right w:val="nil"/>
            </w:tcBorders>
            <w:shd w:val="clear" w:color="auto" w:fill="auto"/>
            <w:vAlign w:val="center"/>
          </w:tcPr>
          <w:p w14:paraId="2DA36A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从最早受影响的批次或成本环节重新计算，并保留原版本；重算失败时保留上一可用版本并记录原因。</w:t>
            </w:r>
          </w:p>
        </w:tc>
        <w:tc>
          <w:tcPr>
            <w:tcW w:w="1088" w:type="dxa"/>
            <w:tcBorders>
              <w:top w:val="nil"/>
              <w:left w:val="nil"/>
              <w:bottom w:val="nil"/>
              <w:right w:val="nil"/>
            </w:tcBorders>
            <w:shd w:val="clear" w:color="auto" w:fill="auto"/>
            <w:vAlign w:val="center"/>
          </w:tcPr>
          <w:p w14:paraId="034560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新批次、谱系、批次成本和订单成本</w:t>
            </w:r>
          </w:p>
        </w:tc>
        <w:tc>
          <w:tcPr>
            <w:tcW w:w="1460" w:type="dxa"/>
            <w:tcBorders>
              <w:top w:val="nil"/>
              <w:left w:val="nil"/>
              <w:bottom w:val="nil"/>
              <w:right w:val="nil"/>
            </w:tcBorders>
            <w:shd w:val="clear" w:color="auto" w:fill="auto"/>
            <w:vAlign w:val="center"/>
          </w:tcPr>
          <w:p w14:paraId="23B627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046D13">
        <w:trPr>
          <w:cantSplit/>
          <w:trHeight w:val="0" w:hRule="atLeast"/>
          <w:jc w:val="center"/>
        </w:trPr>
        <w:tc>
          <w:tcPr>
            <w:tcW w:w="2944" w:type="dxa"/>
            <w:tcBorders>
              <w:top w:val="nil"/>
              <w:left w:val="nil"/>
              <w:bottom w:val="nil"/>
              <w:right w:val="nil"/>
            </w:tcBorders>
            <w:shd w:val="clear" w:color="auto" w:fill="auto"/>
            <w:vAlign w:val="center"/>
          </w:tcPr>
          <w:p w14:paraId="7AFB50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P-ZLTC-SCOS-FYCB-008-70-001</w:t>
            </w:r>
          </w:p>
        </w:tc>
        <w:tc>
          <w:tcPr>
            <w:tcW w:w="945" w:type="dxa"/>
            <w:tcBorders>
              <w:top w:val="nil"/>
              <w:left w:val="nil"/>
              <w:bottom w:val="nil"/>
              <w:right w:val="nil"/>
            </w:tcBorders>
            <w:shd w:val="clear" w:color="auto" w:fill="auto"/>
            <w:vAlign w:val="center"/>
          </w:tcPr>
          <w:p w14:paraId="6DB39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校验重算差异和影响后代规则</w:t>
            </w:r>
          </w:p>
        </w:tc>
        <w:tc>
          <w:tcPr>
            <w:tcW w:w="966" w:type="dxa"/>
            <w:tcBorders>
              <w:top w:val="nil"/>
              <w:left w:val="nil"/>
              <w:bottom w:val="nil"/>
              <w:right w:val="nil"/>
            </w:tcBorders>
            <w:shd w:val="clear" w:color="auto" w:fill="auto"/>
            <w:vAlign w:val="center"/>
          </w:tcPr>
          <w:p w14:paraId="49CE52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6ED9C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71A143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新批次、谱系、批次成本和订单成本形成后</w:t>
            </w:r>
          </w:p>
        </w:tc>
        <w:tc>
          <w:tcPr>
            <w:tcW w:w="1406" w:type="dxa"/>
            <w:tcBorders>
              <w:top w:val="nil"/>
              <w:left w:val="nil"/>
              <w:bottom w:val="nil"/>
              <w:right w:val="nil"/>
            </w:tcBorders>
            <w:shd w:val="clear" w:color="auto" w:fill="auto"/>
            <w:vAlign w:val="center"/>
          </w:tcPr>
          <w:p w14:paraId="4A1864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校验重算范围、数量及成本差异，确认无关对象未被改动；超出预期范围时重新定位。</w:t>
            </w:r>
          </w:p>
        </w:tc>
        <w:tc>
          <w:tcPr>
            <w:tcW w:w="1088" w:type="dxa"/>
            <w:tcBorders>
              <w:top w:val="nil"/>
              <w:left w:val="nil"/>
              <w:bottom w:val="nil"/>
              <w:right w:val="nil"/>
            </w:tcBorders>
            <w:shd w:val="clear" w:color="auto" w:fill="auto"/>
            <w:vAlign w:val="center"/>
          </w:tcPr>
          <w:p w14:paraId="47E99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数量差异、成本差异、状态变化和后代覆盖检查</w:t>
            </w:r>
          </w:p>
        </w:tc>
        <w:tc>
          <w:tcPr>
            <w:tcW w:w="1460" w:type="dxa"/>
            <w:tcBorders>
              <w:top w:val="nil"/>
              <w:left w:val="nil"/>
              <w:bottom w:val="nil"/>
              <w:right w:val="nil"/>
            </w:tcBorders>
            <w:shd w:val="clear" w:color="auto" w:fill="auto"/>
            <w:vAlign w:val="center"/>
          </w:tcPr>
          <w:p w14:paraId="3DBCDE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7EA07B">
        <w:trPr>
          <w:cantSplit/>
          <w:trHeight w:val="0" w:hRule="atLeast"/>
          <w:jc w:val="center"/>
        </w:trPr>
        <w:tc>
          <w:tcPr>
            <w:tcW w:w="2944" w:type="dxa"/>
            <w:tcBorders>
              <w:top w:val="nil"/>
              <w:left w:val="nil"/>
              <w:bottom w:val="nil"/>
              <w:right w:val="nil"/>
            </w:tcBorders>
            <w:shd w:val="clear" w:color="auto" w:fill="auto"/>
            <w:vAlign w:val="center"/>
          </w:tcPr>
          <w:p w14:paraId="7CD296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P-ZLTC-SCOS-FYCB-008-80-001</w:t>
            </w:r>
          </w:p>
        </w:tc>
        <w:tc>
          <w:tcPr>
            <w:tcW w:w="945" w:type="dxa"/>
            <w:tcBorders>
              <w:top w:val="nil"/>
              <w:left w:val="nil"/>
              <w:bottom w:val="nil"/>
              <w:right w:val="nil"/>
            </w:tcBorders>
            <w:shd w:val="clear" w:color="auto" w:fill="auto"/>
            <w:vAlign w:val="center"/>
          </w:tcPr>
          <w:p w14:paraId="074E1E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生成成本规则修正结果规则</w:t>
            </w:r>
          </w:p>
        </w:tc>
        <w:tc>
          <w:tcPr>
            <w:tcW w:w="966" w:type="dxa"/>
            <w:tcBorders>
              <w:top w:val="nil"/>
              <w:left w:val="nil"/>
              <w:bottom w:val="nil"/>
              <w:right w:val="nil"/>
            </w:tcBorders>
            <w:shd w:val="clear" w:color="auto" w:fill="auto"/>
            <w:vAlign w:val="center"/>
          </w:tcPr>
          <w:p w14:paraId="135CEA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DE04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0105C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数量差异、成本差异、状态变化和后代覆盖检查形成后</w:t>
            </w:r>
          </w:p>
        </w:tc>
        <w:tc>
          <w:tcPr>
            <w:tcW w:w="1406" w:type="dxa"/>
            <w:tcBorders>
              <w:top w:val="nil"/>
              <w:left w:val="nil"/>
              <w:bottom w:val="nil"/>
              <w:right w:val="nil"/>
            </w:tcBorders>
            <w:shd w:val="clear" w:color="auto" w:fill="auto"/>
            <w:vAlign w:val="center"/>
          </w:tcPr>
          <w:p w14:paraId="710D90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形成规则调整前后对比、影响范围、差异及新版结果；不生成实际财务调整凭证。</w:t>
            </w:r>
          </w:p>
        </w:tc>
        <w:tc>
          <w:tcPr>
            <w:tcW w:w="1088" w:type="dxa"/>
            <w:tcBorders>
              <w:top w:val="nil"/>
              <w:left w:val="nil"/>
              <w:bottom w:val="nil"/>
              <w:right w:val="nil"/>
            </w:tcBorders>
            <w:shd w:val="clear" w:color="auto" w:fill="auto"/>
            <w:vAlign w:val="center"/>
          </w:tcPr>
          <w:p w14:paraId="113C41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规则调整、替代关系和成本修正结果</w:t>
            </w:r>
          </w:p>
        </w:tc>
        <w:tc>
          <w:tcPr>
            <w:tcW w:w="1460" w:type="dxa"/>
            <w:tcBorders>
              <w:top w:val="nil"/>
              <w:left w:val="nil"/>
              <w:bottom w:val="nil"/>
              <w:right w:val="nil"/>
            </w:tcBorders>
            <w:shd w:val="clear" w:color="auto" w:fill="auto"/>
            <w:vAlign w:val="center"/>
          </w:tcPr>
          <w:p w14:paraId="35CEB4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140785">
        <w:trPr>
          <w:cantSplit/>
          <w:trHeight w:val="0" w:hRule="atLeast"/>
          <w:jc w:val="center"/>
        </w:trPr>
        <w:tc>
          <w:tcPr>
            <w:tcW w:w="2944" w:type="dxa"/>
            <w:tcBorders>
              <w:top w:val="nil"/>
              <w:left w:val="nil"/>
              <w:bottom w:val="nil"/>
              <w:right w:val="nil"/>
            </w:tcBorders>
            <w:shd w:val="clear" w:color="auto" w:fill="auto"/>
            <w:vAlign w:val="center"/>
          </w:tcPr>
          <w:p w14:paraId="7BB2A2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P-ZLTC-SCOS-FYCB-008-90-001</w:t>
            </w:r>
          </w:p>
        </w:tc>
        <w:tc>
          <w:tcPr>
            <w:tcW w:w="945" w:type="dxa"/>
            <w:tcBorders>
              <w:top w:val="nil"/>
              <w:left w:val="nil"/>
              <w:bottom w:val="nil"/>
              <w:right w:val="nil"/>
            </w:tcBorders>
            <w:shd w:val="clear" w:color="auto" w:fill="auto"/>
            <w:vAlign w:val="center"/>
          </w:tcPr>
          <w:p w14:paraId="22BAA3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保存规则调整和结果版本规则</w:t>
            </w:r>
          </w:p>
        </w:tc>
        <w:tc>
          <w:tcPr>
            <w:tcW w:w="966" w:type="dxa"/>
            <w:tcBorders>
              <w:top w:val="nil"/>
              <w:left w:val="nil"/>
              <w:bottom w:val="nil"/>
              <w:right w:val="nil"/>
            </w:tcBorders>
            <w:shd w:val="clear" w:color="auto" w:fill="auto"/>
            <w:vAlign w:val="center"/>
          </w:tcPr>
          <w:p w14:paraId="122986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5C09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577F4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规则调整、替代关系和成本修正结果形成后</w:t>
            </w:r>
          </w:p>
        </w:tc>
        <w:tc>
          <w:tcPr>
            <w:tcW w:w="1406" w:type="dxa"/>
            <w:tcBorders>
              <w:top w:val="nil"/>
              <w:left w:val="nil"/>
              <w:bottom w:val="nil"/>
              <w:right w:val="nil"/>
            </w:tcBorders>
            <w:shd w:val="clear" w:color="auto" w:fill="auto"/>
            <w:vAlign w:val="center"/>
          </w:tcPr>
          <w:p w14:paraId="196CB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保存修正结果、新旧版本关系及受影响对象索引；历史结果只读保留，不原地覆盖。</w:t>
            </w:r>
          </w:p>
        </w:tc>
        <w:tc>
          <w:tcPr>
            <w:tcW w:w="1088" w:type="dxa"/>
            <w:tcBorders>
              <w:top w:val="nil"/>
              <w:left w:val="nil"/>
              <w:bottom w:val="nil"/>
              <w:right w:val="nil"/>
            </w:tcBorders>
            <w:shd w:val="clear" w:color="auto" w:fill="auto"/>
            <w:vAlign w:val="center"/>
          </w:tcPr>
          <w:p w14:paraId="4FDDA9E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规则调整和成本参考版本</w:t>
            </w:r>
          </w:p>
        </w:tc>
        <w:tc>
          <w:tcPr>
            <w:tcW w:w="1460" w:type="dxa"/>
            <w:tcBorders>
              <w:top w:val="nil"/>
              <w:left w:val="nil"/>
              <w:bottom w:val="nil"/>
              <w:right w:val="nil"/>
            </w:tcBorders>
            <w:shd w:val="clear" w:color="auto" w:fill="auto"/>
            <w:vAlign w:val="center"/>
          </w:tcPr>
          <w:p w14:paraId="716989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C2940BB">
        <w:trPr>
          <w:cantSplit/>
          <w:trHeight w:val="0" w:hRule="atLeast"/>
          <w:jc w:val="center"/>
        </w:trPr>
        <w:tc>
          <w:tcPr>
            <w:tcW w:w="2944" w:type="dxa"/>
            <w:tcBorders>
              <w:top w:val="nil"/>
              <w:left w:val="nil"/>
              <w:bottom w:val="nil"/>
              <w:right w:val="nil"/>
            </w:tcBorders>
            <w:shd w:val="clear" w:color="auto" w:fill="auto"/>
            <w:vAlign w:val="center"/>
          </w:tcPr>
          <w:p w14:paraId="1566C0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P-ZLTC-SCOS-FYCB-009-10-001</w:t>
            </w:r>
          </w:p>
        </w:tc>
        <w:tc>
          <w:tcPr>
            <w:tcW w:w="945" w:type="dxa"/>
            <w:tcBorders>
              <w:top w:val="nil"/>
              <w:left w:val="nil"/>
              <w:bottom w:val="nil"/>
              <w:right w:val="nil"/>
            </w:tcBorders>
            <w:shd w:val="clear" w:color="auto" w:fill="auto"/>
            <w:vAlign w:val="center"/>
          </w:tcPr>
          <w:p w14:paraId="3C54C8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加载成本版本和预警规则</w:t>
            </w:r>
          </w:p>
        </w:tc>
        <w:tc>
          <w:tcPr>
            <w:tcW w:w="966" w:type="dxa"/>
            <w:tcBorders>
              <w:top w:val="nil"/>
              <w:left w:val="nil"/>
              <w:bottom w:val="nil"/>
              <w:right w:val="nil"/>
            </w:tcBorders>
            <w:shd w:val="clear" w:color="auto" w:fill="auto"/>
            <w:vAlign w:val="center"/>
          </w:tcPr>
          <w:p w14:paraId="1C3837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34602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755A8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SCOS在成本结果更新或周期任务触发时</w:t>
            </w:r>
          </w:p>
        </w:tc>
        <w:tc>
          <w:tcPr>
            <w:tcW w:w="1406" w:type="dxa"/>
            <w:tcBorders>
              <w:top w:val="nil"/>
              <w:left w:val="nil"/>
              <w:bottom w:val="nil"/>
              <w:right w:val="nil"/>
            </w:tcBorders>
            <w:shd w:val="clear" w:color="auto" w:fill="auto"/>
            <w:vAlign w:val="center"/>
          </w:tcPr>
          <w:p w14:paraId="792B0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锁定本次监测使用的成本版本、对象、期间和比较基线；阈值未维护时只计算变化，不自动判定异常。</w:t>
            </w:r>
          </w:p>
        </w:tc>
        <w:tc>
          <w:tcPr>
            <w:tcW w:w="1088" w:type="dxa"/>
            <w:tcBorders>
              <w:top w:val="nil"/>
              <w:left w:val="nil"/>
              <w:bottom w:val="nil"/>
              <w:right w:val="nil"/>
            </w:tcBorders>
            <w:shd w:val="clear" w:color="auto" w:fill="auto"/>
            <w:vAlign w:val="center"/>
          </w:tcPr>
          <w:p w14:paraId="6620745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监测范围与基准</w:t>
            </w:r>
          </w:p>
        </w:tc>
        <w:tc>
          <w:tcPr>
            <w:tcW w:w="1460" w:type="dxa"/>
            <w:tcBorders>
              <w:top w:val="nil"/>
              <w:left w:val="nil"/>
              <w:bottom w:val="nil"/>
              <w:right w:val="nil"/>
            </w:tcBorders>
            <w:shd w:val="clear" w:color="auto" w:fill="auto"/>
            <w:vAlign w:val="center"/>
          </w:tcPr>
          <w:p w14:paraId="602310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EBE4FF7">
        <w:trPr>
          <w:cantSplit/>
          <w:trHeight w:val="0" w:hRule="atLeast"/>
          <w:jc w:val="center"/>
        </w:trPr>
        <w:tc>
          <w:tcPr>
            <w:tcW w:w="2944" w:type="dxa"/>
            <w:tcBorders>
              <w:top w:val="nil"/>
              <w:left w:val="nil"/>
              <w:bottom w:val="nil"/>
              <w:right w:val="nil"/>
            </w:tcBorders>
            <w:shd w:val="clear" w:color="auto" w:fill="auto"/>
            <w:vAlign w:val="center"/>
          </w:tcPr>
          <w:p w14:paraId="640E3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P-ZLTC-SCOS-FYCB-009-20-001</w:t>
            </w:r>
          </w:p>
        </w:tc>
        <w:tc>
          <w:tcPr>
            <w:tcW w:w="945" w:type="dxa"/>
            <w:tcBorders>
              <w:top w:val="nil"/>
              <w:left w:val="nil"/>
              <w:bottom w:val="nil"/>
              <w:right w:val="nil"/>
            </w:tcBorders>
            <w:shd w:val="clear" w:color="auto" w:fill="auto"/>
            <w:vAlign w:val="center"/>
          </w:tcPr>
          <w:p w14:paraId="0A8A757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计算成本变化和异常指标规则</w:t>
            </w:r>
          </w:p>
        </w:tc>
        <w:tc>
          <w:tcPr>
            <w:tcW w:w="966" w:type="dxa"/>
            <w:tcBorders>
              <w:top w:val="nil"/>
              <w:left w:val="nil"/>
              <w:bottom w:val="nil"/>
              <w:right w:val="nil"/>
            </w:tcBorders>
            <w:shd w:val="clear" w:color="auto" w:fill="auto"/>
            <w:vAlign w:val="center"/>
          </w:tcPr>
          <w:p w14:paraId="122211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0EBA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3FCB45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监测范围与基准形成后</w:t>
            </w:r>
          </w:p>
        </w:tc>
        <w:tc>
          <w:tcPr>
            <w:tcW w:w="1406" w:type="dxa"/>
            <w:tcBorders>
              <w:top w:val="nil"/>
              <w:left w:val="nil"/>
              <w:bottom w:val="nil"/>
              <w:right w:val="nil"/>
            </w:tcBorders>
            <w:shd w:val="clear" w:color="auto" w:fill="auto"/>
            <w:vAlign w:val="center"/>
          </w:tcPr>
          <w:p w14:paraId="78569F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按统一口径比较当前结果与历史基线；低可信度关系和不可用单位成本单独标识。</w:t>
            </w:r>
          </w:p>
        </w:tc>
        <w:tc>
          <w:tcPr>
            <w:tcW w:w="1088" w:type="dxa"/>
            <w:tcBorders>
              <w:top w:val="nil"/>
              <w:left w:val="nil"/>
              <w:bottom w:val="nil"/>
              <w:right w:val="nil"/>
            </w:tcBorders>
            <w:shd w:val="clear" w:color="auto" w:fill="auto"/>
            <w:vAlign w:val="center"/>
          </w:tcPr>
          <w:p w14:paraId="38548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价格、用量、收率、能耗、单位成本和分摊变化</w:t>
            </w:r>
          </w:p>
        </w:tc>
        <w:tc>
          <w:tcPr>
            <w:tcW w:w="1460" w:type="dxa"/>
            <w:tcBorders>
              <w:top w:val="nil"/>
              <w:left w:val="nil"/>
              <w:bottom w:val="nil"/>
              <w:right w:val="nil"/>
            </w:tcBorders>
            <w:shd w:val="clear" w:color="auto" w:fill="auto"/>
            <w:vAlign w:val="center"/>
          </w:tcPr>
          <w:p w14:paraId="09CEB2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554A39">
        <w:trPr>
          <w:cantSplit/>
          <w:trHeight w:val="0" w:hRule="atLeast"/>
          <w:jc w:val="center"/>
        </w:trPr>
        <w:tc>
          <w:tcPr>
            <w:tcW w:w="2944" w:type="dxa"/>
            <w:tcBorders>
              <w:top w:val="nil"/>
              <w:left w:val="nil"/>
              <w:bottom w:val="nil"/>
              <w:right w:val="nil"/>
            </w:tcBorders>
            <w:shd w:val="clear" w:color="auto" w:fill="auto"/>
            <w:vAlign w:val="center"/>
          </w:tcPr>
          <w:p w14:paraId="7B2E76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P-ZLTC-SCOS-FYCB-009-30-001</w:t>
            </w:r>
          </w:p>
        </w:tc>
        <w:tc>
          <w:tcPr>
            <w:tcW w:w="945" w:type="dxa"/>
            <w:tcBorders>
              <w:top w:val="nil"/>
              <w:left w:val="nil"/>
              <w:bottom w:val="nil"/>
              <w:right w:val="nil"/>
            </w:tcBorders>
            <w:shd w:val="clear" w:color="auto" w:fill="auto"/>
            <w:vAlign w:val="center"/>
          </w:tcPr>
          <w:p w14:paraId="600956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判断是否形成成本预警规则</w:t>
            </w:r>
          </w:p>
        </w:tc>
        <w:tc>
          <w:tcPr>
            <w:tcW w:w="966" w:type="dxa"/>
            <w:tcBorders>
              <w:top w:val="nil"/>
              <w:left w:val="nil"/>
              <w:bottom w:val="nil"/>
              <w:right w:val="nil"/>
            </w:tcBorders>
            <w:shd w:val="clear" w:color="auto" w:fill="auto"/>
            <w:vAlign w:val="center"/>
          </w:tcPr>
          <w:p w14:paraId="424EBE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0DF9F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02D883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价格、用量、收率、能耗、单位成本和分摊变化形成后</w:t>
            </w:r>
          </w:p>
        </w:tc>
        <w:tc>
          <w:tcPr>
            <w:tcW w:w="1406" w:type="dxa"/>
            <w:tcBorders>
              <w:top w:val="nil"/>
              <w:left w:val="nil"/>
              <w:bottom w:val="nil"/>
              <w:right w:val="nil"/>
            </w:tcBorders>
            <w:shd w:val="clear" w:color="auto" w:fill="auto"/>
            <w:vAlign w:val="center"/>
          </w:tcPr>
          <w:p w14:paraId="57AACD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识别成本突变、未分摊费用、低可信度关系及单位成本异常；形成成本预警时定位异常；未形成成本预警时生成无预警监测结果。</w:t>
            </w:r>
          </w:p>
        </w:tc>
        <w:tc>
          <w:tcPr>
            <w:tcW w:w="1088" w:type="dxa"/>
            <w:tcBorders>
              <w:top w:val="nil"/>
              <w:left w:val="nil"/>
              <w:bottom w:val="nil"/>
              <w:right w:val="nil"/>
            </w:tcBorders>
            <w:shd w:val="clear" w:color="auto" w:fill="auto"/>
            <w:vAlign w:val="center"/>
          </w:tcPr>
          <w:p w14:paraId="24417B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预警判断和初始等级</w:t>
            </w:r>
          </w:p>
        </w:tc>
        <w:tc>
          <w:tcPr>
            <w:tcW w:w="1460" w:type="dxa"/>
            <w:tcBorders>
              <w:top w:val="nil"/>
              <w:left w:val="nil"/>
              <w:bottom w:val="nil"/>
              <w:right w:val="nil"/>
            </w:tcBorders>
            <w:shd w:val="clear" w:color="auto" w:fill="auto"/>
            <w:vAlign w:val="center"/>
          </w:tcPr>
          <w:p w14:paraId="203926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5B8F20">
        <w:trPr>
          <w:cantSplit/>
          <w:trHeight w:val="0" w:hRule="atLeast"/>
          <w:jc w:val="center"/>
        </w:trPr>
        <w:tc>
          <w:tcPr>
            <w:tcW w:w="2944" w:type="dxa"/>
            <w:tcBorders>
              <w:top w:val="nil"/>
              <w:left w:val="nil"/>
              <w:bottom w:val="nil"/>
              <w:right w:val="nil"/>
            </w:tcBorders>
            <w:shd w:val="clear" w:color="auto" w:fill="auto"/>
            <w:vAlign w:val="center"/>
          </w:tcPr>
          <w:p w14:paraId="4BEFBA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P-ZLTC-SCOS-FYCB-009-40-001</w:t>
            </w:r>
          </w:p>
        </w:tc>
        <w:tc>
          <w:tcPr>
            <w:tcW w:w="945" w:type="dxa"/>
            <w:tcBorders>
              <w:top w:val="nil"/>
              <w:left w:val="nil"/>
              <w:bottom w:val="nil"/>
              <w:right w:val="nil"/>
            </w:tcBorders>
            <w:shd w:val="clear" w:color="auto" w:fill="auto"/>
            <w:vAlign w:val="center"/>
          </w:tcPr>
          <w:p w14:paraId="7773FD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定位异常来源和影响对象规则</w:t>
            </w:r>
          </w:p>
        </w:tc>
        <w:tc>
          <w:tcPr>
            <w:tcW w:w="966" w:type="dxa"/>
            <w:tcBorders>
              <w:top w:val="nil"/>
              <w:left w:val="nil"/>
              <w:bottom w:val="nil"/>
              <w:right w:val="nil"/>
            </w:tcBorders>
            <w:shd w:val="clear" w:color="auto" w:fill="auto"/>
            <w:vAlign w:val="center"/>
          </w:tcPr>
          <w:p w14:paraId="6ABC05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C2E57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B7EF7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形成成本预警时</w:t>
            </w:r>
          </w:p>
        </w:tc>
        <w:tc>
          <w:tcPr>
            <w:tcW w:w="1406" w:type="dxa"/>
            <w:tcBorders>
              <w:top w:val="nil"/>
              <w:left w:val="nil"/>
              <w:bottom w:val="nil"/>
              <w:right w:val="nil"/>
            </w:tcBorders>
            <w:shd w:val="clear" w:color="auto" w:fill="auto"/>
            <w:vAlign w:val="center"/>
          </w:tcPr>
          <w:p w14:paraId="1A2CC9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分析原料价格、用量、收率、能耗和费用等异常来源；无法定位时标记待分析，不输出确定性责任结论。</w:t>
            </w:r>
          </w:p>
        </w:tc>
        <w:tc>
          <w:tcPr>
            <w:tcW w:w="1088" w:type="dxa"/>
            <w:tcBorders>
              <w:top w:val="nil"/>
              <w:left w:val="nil"/>
              <w:bottom w:val="nil"/>
              <w:right w:val="nil"/>
            </w:tcBorders>
            <w:shd w:val="clear" w:color="auto" w:fill="auto"/>
            <w:vAlign w:val="center"/>
          </w:tcPr>
          <w:p w14:paraId="2F6B65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异常来源、受影响批次、产品、订单、客户和供应商</w:t>
            </w:r>
          </w:p>
        </w:tc>
        <w:tc>
          <w:tcPr>
            <w:tcW w:w="1460" w:type="dxa"/>
            <w:tcBorders>
              <w:top w:val="nil"/>
              <w:left w:val="nil"/>
              <w:bottom w:val="nil"/>
              <w:right w:val="nil"/>
            </w:tcBorders>
            <w:shd w:val="clear" w:color="auto" w:fill="auto"/>
            <w:vAlign w:val="center"/>
          </w:tcPr>
          <w:p w14:paraId="20EAC9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5032EC">
        <w:trPr>
          <w:cantSplit/>
          <w:trHeight w:val="0" w:hRule="atLeast"/>
          <w:jc w:val="center"/>
        </w:trPr>
        <w:tc>
          <w:tcPr>
            <w:tcW w:w="2944" w:type="dxa"/>
            <w:tcBorders>
              <w:top w:val="nil"/>
              <w:left w:val="nil"/>
              <w:bottom w:val="nil"/>
              <w:right w:val="nil"/>
            </w:tcBorders>
            <w:shd w:val="clear" w:color="auto" w:fill="auto"/>
            <w:vAlign w:val="center"/>
          </w:tcPr>
          <w:p w14:paraId="778D27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P-ZLTC-SCOS-FYCB-009-50-001</w:t>
            </w:r>
          </w:p>
        </w:tc>
        <w:tc>
          <w:tcPr>
            <w:tcW w:w="945" w:type="dxa"/>
            <w:tcBorders>
              <w:top w:val="nil"/>
              <w:left w:val="nil"/>
              <w:bottom w:val="nil"/>
              <w:right w:val="nil"/>
            </w:tcBorders>
            <w:shd w:val="clear" w:color="auto" w:fill="auto"/>
            <w:vAlign w:val="center"/>
          </w:tcPr>
          <w:p w14:paraId="0C4FB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生成角色化成本预警内容规则</w:t>
            </w:r>
          </w:p>
        </w:tc>
        <w:tc>
          <w:tcPr>
            <w:tcW w:w="966" w:type="dxa"/>
            <w:tcBorders>
              <w:top w:val="nil"/>
              <w:left w:val="nil"/>
              <w:bottom w:val="nil"/>
              <w:right w:val="nil"/>
            </w:tcBorders>
            <w:shd w:val="clear" w:color="auto" w:fill="auto"/>
            <w:vAlign w:val="center"/>
          </w:tcPr>
          <w:p w14:paraId="505B2A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D03A1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3B5EA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异常来源、受影响批次、产品、订单、客户和供应商形成后</w:t>
            </w:r>
          </w:p>
        </w:tc>
        <w:tc>
          <w:tcPr>
            <w:tcW w:w="1406" w:type="dxa"/>
            <w:tcBorders>
              <w:top w:val="nil"/>
              <w:left w:val="nil"/>
              <w:bottom w:val="nil"/>
              <w:right w:val="nil"/>
            </w:tcBorders>
            <w:shd w:val="clear" w:color="auto" w:fill="auto"/>
            <w:vAlign w:val="center"/>
          </w:tcPr>
          <w:p w14:paraId="56F0F7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按异常对象生成角色化提示；提示只用于关注和追溯，不自动认定损失。</w:t>
            </w:r>
          </w:p>
        </w:tc>
        <w:tc>
          <w:tcPr>
            <w:tcW w:w="1088" w:type="dxa"/>
            <w:tcBorders>
              <w:top w:val="nil"/>
              <w:left w:val="nil"/>
              <w:bottom w:val="nil"/>
              <w:right w:val="nil"/>
            </w:tcBorders>
            <w:shd w:val="clear" w:color="auto" w:fill="auto"/>
            <w:vAlign w:val="center"/>
          </w:tcPr>
          <w:p w14:paraId="66AC25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生产、销售、采购和财务关注的预警内容及追溯入口</w:t>
            </w:r>
          </w:p>
        </w:tc>
        <w:tc>
          <w:tcPr>
            <w:tcW w:w="1460" w:type="dxa"/>
            <w:tcBorders>
              <w:top w:val="nil"/>
              <w:left w:val="nil"/>
              <w:bottom w:val="nil"/>
              <w:right w:val="nil"/>
            </w:tcBorders>
            <w:shd w:val="clear" w:color="auto" w:fill="auto"/>
            <w:vAlign w:val="center"/>
          </w:tcPr>
          <w:p w14:paraId="7935DAF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172727">
        <w:trPr>
          <w:cantSplit/>
          <w:trHeight w:val="0" w:hRule="atLeast"/>
          <w:jc w:val="center"/>
        </w:trPr>
        <w:tc>
          <w:tcPr>
            <w:tcW w:w="2944" w:type="dxa"/>
            <w:tcBorders>
              <w:top w:val="nil"/>
              <w:left w:val="nil"/>
              <w:bottom w:val="nil"/>
              <w:right w:val="nil"/>
            </w:tcBorders>
            <w:shd w:val="clear" w:color="auto" w:fill="auto"/>
            <w:vAlign w:val="center"/>
          </w:tcPr>
          <w:p w14:paraId="4DF918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P-ZLTC-SCOS-FYCB-009-60-001</w:t>
            </w:r>
          </w:p>
        </w:tc>
        <w:tc>
          <w:tcPr>
            <w:tcW w:w="945" w:type="dxa"/>
            <w:tcBorders>
              <w:top w:val="nil"/>
              <w:left w:val="nil"/>
              <w:bottom w:val="nil"/>
              <w:right w:val="nil"/>
            </w:tcBorders>
            <w:shd w:val="clear" w:color="auto" w:fill="auto"/>
            <w:vAlign w:val="center"/>
          </w:tcPr>
          <w:p w14:paraId="00CB46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生成成本监测和预警结果规则</w:t>
            </w:r>
          </w:p>
        </w:tc>
        <w:tc>
          <w:tcPr>
            <w:tcW w:w="966" w:type="dxa"/>
            <w:tcBorders>
              <w:top w:val="nil"/>
              <w:left w:val="nil"/>
              <w:bottom w:val="nil"/>
              <w:right w:val="nil"/>
            </w:tcBorders>
            <w:shd w:val="clear" w:color="auto" w:fill="auto"/>
            <w:vAlign w:val="center"/>
          </w:tcPr>
          <w:p w14:paraId="4CF669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629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5CDB7E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未形成成本预警时</w:t>
            </w:r>
          </w:p>
        </w:tc>
        <w:tc>
          <w:tcPr>
            <w:tcW w:w="1406" w:type="dxa"/>
            <w:tcBorders>
              <w:top w:val="nil"/>
              <w:left w:val="nil"/>
              <w:bottom w:val="nil"/>
              <w:right w:val="nil"/>
            </w:tcBorders>
            <w:shd w:val="clear" w:color="auto" w:fill="auto"/>
            <w:vAlign w:val="center"/>
          </w:tcPr>
          <w:p w14:paraId="0EC20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汇总监测批次、指标、预警等级、异常对象和责任角色；无预警时保存正常监测结果，有预警时保存开放预警。</w:t>
            </w:r>
          </w:p>
        </w:tc>
        <w:tc>
          <w:tcPr>
            <w:tcW w:w="1088" w:type="dxa"/>
            <w:tcBorders>
              <w:top w:val="nil"/>
              <w:left w:val="nil"/>
              <w:bottom w:val="nil"/>
              <w:right w:val="nil"/>
            </w:tcBorders>
            <w:shd w:val="clear" w:color="auto" w:fill="auto"/>
            <w:vAlign w:val="center"/>
          </w:tcPr>
          <w:p w14:paraId="7D46AC1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本轮监测结果、预警状态和追溯入口</w:t>
            </w:r>
          </w:p>
        </w:tc>
        <w:tc>
          <w:tcPr>
            <w:tcW w:w="1460" w:type="dxa"/>
            <w:tcBorders>
              <w:top w:val="nil"/>
              <w:left w:val="nil"/>
              <w:bottom w:val="nil"/>
              <w:right w:val="nil"/>
            </w:tcBorders>
            <w:shd w:val="clear" w:color="auto" w:fill="auto"/>
            <w:vAlign w:val="center"/>
          </w:tcPr>
          <w:p w14:paraId="09CB62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A3CD7A0">
        <w:trPr>
          <w:cantSplit/>
          <w:trHeight w:val="0" w:hRule="atLeast"/>
          <w:jc w:val="center"/>
        </w:trPr>
        <w:tc>
          <w:tcPr>
            <w:tcW w:w="2944" w:type="dxa"/>
            <w:tcBorders>
              <w:top w:val="nil"/>
              <w:left w:val="nil"/>
              <w:bottom w:val="nil"/>
              <w:right w:val="nil"/>
            </w:tcBorders>
            <w:shd w:val="clear" w:color="auto" w:fill="auto"/>
            <w:vAlign w:val="center"/>
          </w:tcPr>
          <w:p w14:paraId="0FF02E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P-ZLTC-SCOS-FYCB-009-70-001</w:t>
            </w:r>
          </w:p>
        </w:tc>
        <w:tc>
          <w:tcPr>
            <w:tcW w:w="945" w:type="dxa"/>
            <w:tcBorders>
              <w:top w:val="nil"/>
              <w:left w:val="nil"/>
              <w:bottom w:val="nil"/>
              <w:right w:val="nil"/>
            </w:tcBorders>
            <w:shd w:val="clear" w:color="auto" w:fill="auto"/>
            <w:vAlign w:val="center"/>
          </w:tcPr>
          <w:p w14:paraId="63BAC4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保存成本监测预警结果规则</w:t>
            </w:r>
          </w:p>
        </w:tc>
        <w:tc>
          <w:tcPr>
            <w:tcW w:w="966" w:type="dxa"/>
            <w:tcBorders>
              <w:top w:val="nil"/>
              <w:left w:val="nil"/>
              <w:bottom w:val="nil"/>
              <w:right w:val="nil"/>
            </w:tcBorders>
            <w:shd w:val="clear" w:color="auto" w:fill="auto"/>
            <w:vAlign w:val="center"/>
          </w:tcPr>
          <w:p w14:paraId="0062EC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BDDA9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19580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本轮监测结果、预警状态和追溯入口形成后</w:t>
            </w:r>
          </w:p>
        </w:tc>
        <w:tc>
          <w:tcPr>
            <w:tcW w:w="1406" w:type="dxa"/>
            <w:tcBorders>
              <w:top w:val="nil"/>
              <w:left w:val="nil"/>
              <w:bottom w:val="nil"/>
              <w:right w:val="nil"/>
            </w:tcBorders>
            <w:shd w:val="clear" w:color="auto" w:fill="auto"/>
            <w:vAlign w:val="center"/>
          </w:tcPr>
          <w:p w14:paraId="6D9BA6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保存指标快照、预警主记录、角色视图、状态和历史变化；状态变化形成新记录，不覆盖历史结果。</w:t>
            </w:r>
          </w:p>
        </w:tc>
        <w:tc>
          <w:tcPr>
            <w:tcW w:w="1088" w:type="dxa"/>
            <w:tcBorders>
              <w:top w:val="nil"/>
              <w:left w:val="nil"/>
              <w:bottom w:val="nil"/>
              <w:right w:val="nil"/>
            </w:tcBorders>
            <w:shd w:val="clear" w:color="auto" w:fill="auto"/>
            <w:vAlign w:val="center"/>
          </w:tcPr>
          <w:p w14:paraId="7213D7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监测结果及预警版本</w:t>
            </w:r>
          </w:p>
        </w:tc>
        <w:tc>
          <w:tcPr>
            <w:tcW w:w="1460" w:type="dxa"/>
            <w:tcBorders>
              <w:top w:val="nil"/>
              <w:left w:val="nil"/>
              <w:bottom w:val="nil"/>
              <w:right w:val="nil"/>
            </w:tcBorders>
            <w:shd w:val="clear" w:color="auto" w:fill="auto"/>
            <w:vAlign w:val="center"/>
          </w:tcPr>
          <w:p w14:paraId="599C6C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bl>
    <w:p w14:paraId="6E0722CB">
      <w:pPr>
        <w:rPr>
          <w:rFonts w:hint="default"/>
          <w:lang w:val="en-US" w:eastAsia="zh-CN"/>
        </w:rPr>
      </w:pPr>
    </w:p>
    <w:p w14:paraId="5354F8FE">
      <w:pPr>
        <w:pStyle w:val="3"/>
        <w:bidi w:val="0"/>
        <w:rPr>
          <w:rFonts w:hint="eastAsia" w:ascii="黑体" w:hAnsi="黑体" w:eastAsia="黑体" w:cs="黑体"/>
        </w:rPr>
      </w:pPr>
      <w:bookmarkStart w:id="39" w:name="_Toc907966435"/>
      <w:r>
        <w:rPr>
          <w:rFonts w:hint="eastAsia" w:ascii="黑体" w:hAnsi="黑体" w:cs="黑体"/>
          <w:lang w:val="en-US" w:eastAsia="zh-CN"/>
        </w:rPr>
        <w:t>AB测试说明</w:t>
      </w:r>
    </w:p>
    <w:p w14:paraId="14CB8E01">
      <w:pPr>
        <w:ind w:firstLine="420" w:firstLineChars="0"/>
        <w:rPr>
          <w:rFonts w:hint="eastAsia"/>
          <w:lang w:val="en-US" w:eastAsia="zh-CN"/>
        </w:rPr>
      </w:pPr>
      <w:r>
        <w:rPr>
          <w:rFonts w:hint="eastAsia"/>
          <w:lang w:val="en-US" w:eastAsia="zh-CN"/>
        </w:rPr>
        <w:t>在系统试运行期间，会进行AB测试已验证系统和算法在采购优化、库存优化以及要货计划上的效果，能否相较于人工有所提升，下表中会展示AB版本的区别。</w:t>
      </w:r>
    </w:p>
    <w:tbl>
      <w:tblPr>
        <w:tblStyle w:val="32"/>
        <w:tblW w:w="1055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66"/>
        <w:gridCol w:w="2465"/>
        <w:gridCol w:w="2465"/>
        <w:gridCol w:w="1427"/>
        <w:gridCol w:w="3136"/>
      </w:tblGrid>
      <w:tr w14:paraId="50A59927">
        <w:trPr>
          <w:cantSplit/>
          <w:trHeight w:val="590" w:hRule="atLeast"/>
          <w:tblHeader/>
          <w:jc w:val="center"/>
        </w:trPr>
        <w:tc>
          <w:tcPr>
            <w:tcW w:w="1066" w:type="dxa"/>
            <w:tcBorders>
              <w:top w:val="nil"/>
              <w:left w:val="nil"/>
              <w:bottom w:val="nil"/>
              <w:right w:val="nil"/>
            </w:tcBorders>
            <w:noWrap w:val="0"/>
            <w:tcMar>
              <w:top w:w="-1" w:type="dxa"/>
              <w:left w:w="-1" w:type="dxa"/>
              <w:bottom w:w="-1" w:type="dxa"/>
              <w:right w:w="-1" w:type="dxa"/>
            </w:tcMar>
            <w:vAlign w:val="center"/>
          </w:tcPr>
          <w:p w14:paraId="35EFFDB5">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eastAsia="zh-CN"/>
              </w:rPr>
            </w:pPr>
            <w:r>
              <w:rPr>
                <w:rFonts w:hint="eastAsia" w:ascii="宋体" w:hAnsi="宋体" w:eastAsia="宋体" w:cs="宋体"/>
                <w:b/>
                <w:sz w:val="20"/>
                <w:szCs w:val="20"/>
                <w:lang w:val="en-US" w:eastAsia="zh-CN"/>
              </w:rPr>
              <w:t>版本</w:t>
            </w:r>
          </w:p>
        </w:tc>
        <w:tc>
          <w:tcPr>
            <w:tcW w:w="2465" w:type="dxa"/>
            <w:tcBorders>
              <w:top w:val="nil"/>
              <w:left w:val="nil"/>
              <w:bottom w:val="nil"/>
              <w:right w:val="nil"/>
            </w:tcBorders>
            <w:noWrap w:val="0"/>
            <w:tcMar>
              <w:top w:w="-1" w:type="dxa"/>
              <w:left w:w="-1" w:type="dxa"/>
              <w:bottom w:w="-1" w:type="dxa"/>
              <w:right w:w="-1" w:type="dxa"/>
            </w:tcMar>
            <w:vAlign w:val="center"/>
          </w:tcPr>
          <w:p w14:paraId="54148AF8">
            <w:pPr>
              <w:keepNext w:val="0"/>
              <w:keepLines w:val="0"/>
              <w:suppressLineNumbers w:val="0"/>
              <w:spacing w:before="0" w:beforeAutospacing="0" w:after="0" w:afterAutospacing="0" w:line="240" w:lineRule="auto"/>
              <w:ind w:left="0" w:right="0"/>
              <w:jc w:val="center"/>
              <w:rPr>
                <w:rFonts w:hint="default" w:ascii="宋体" w:hAnsi="宋体" w:eastAsia="宋体" w:cs="宋体"/>
                <w:b/>
                <w:sz w:val="20"/>
                <w:szCs w:val="20"/>
                <w:lang w:val="en-US" w:eastAsia="zh-CN"/>
              </w:rPr>
            </w:pPr>
            <w:r>
              <w:rPr>
                <w:rFonts w:hint="eastAsia" w:ascii="宋体" w:hAnsi="宋体" w:eastAsia="宋体" w:cs="宋体"/>
                <w:b/>
                <w:sz w:val="20"/>
                <w:szCs w:val="20"/>
                <w:lang w:val="en-US" w:eastAsia="zh-CN"/>
              </w:rPr>
              <w:t>所属组别</w:t>
            </w:r>
          </w:p>
        </w:tc>
        <w:tc>
          <w:tcPr>
            <w:tcW w:w="2465" w:type="dxa"/>
            <w:tcBorders>
              <w:top w:val="nil"/>
              <w:left w:val="nil"/>
              <w:bottom w:val="nil"/>
              <w:right w:val="nil"/>
            </w:tcBorders>
            <w:noWrap w:val="0"/>
            <w:tcMar>
              <w:top w:w="-1" w:type="dxa"/>
              <w:left w:w="-1" w:type="dxa"/>
              <w:bottom w:w="-1" w:type="dxa"/>
              <w:right w:w="-1" w:type="dxa"/>
            </w:tcMar>
            <w:vAlign w:val="center"/>
          </w:tcPr>
          <w:p w14:paraId="67792BD1">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版本说明</w:t>
            </w:r>
          </w:p>
        </w:tc>
        <w:tc>
          <w:tcPr>
            <w:tcW w:w="1427" w:type="dxa"/>
            <w:tcBorders>
              <w:top w:val="nil"/>
              <w:left w:val="nil"/>
              <w:bottom w:val="nil"/>
              <w:right w:val="nil"/>
            </w:tcBorders>
            <w:noWrap w:val="0"/>
            <w:tcMar>
              <w:top w:w="-1" w:type="dxa"/>
              <w:left w:w="-1" w:type="dxa"/>
              <w:bottom w:w="-1" w:type="dxa"/>
              <w:right w:w="-1" w:type="dxa"/>
            </w:tcMar>
            <w:vAlign w:val="center"/>
          </w:tcPr>
          <w:p w14:paraId="6B7E78E4">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b/>
                <w:sz w:val="20"/>
                <w:szCs w:val="20"/>
                <w:lang w:val="en-US" w:eastAsia="zh-CN"/>
              </w:rPr>
              <w:t>运行方式</w:t>
            </w:r>
          </w:p>
        </w:tc>
        <w:tc>
          <w:tcPr>
            <w:tcW w:w="3136" w:type="dxa"/>
            <w:tcBorders>
              <w:top w:val="nil"/>
              <w:left w:val="nil"/>
              <w:bottom w:val="nil"/>
              <w:right w:val="nil"/>
            </w:tcBorders>
            <w:noWrap w:val="0"/>
            <w:tcMar>
              <w:top w:w="-1" w:type="dxa"/>
              <w:left w:w="-1" w:type="dxa"/>
              <w:bottom w:w="-1" w:type="dxa"/>
              <w:right w:w="-1" w:type="dxa"/>
            </w:tcMar>
            <w:vAlign w:val="center"/>
          </w:tcPr>
          <w:p w14:paraId="408C9BA3">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b/>
                <w:sz w:val="20"/>
                <w:szCs w:val="20"/>
                <w:lang w:val="en-US" w:eastAsia="zh-CN"/>
              </w:rPr>
              <w:t>验收指标</w:t>
            </w:r>
          </w:p>
        </w:tc>
      </w:tr>
      <w:tr w14:paraId="24C7111A">
        <w:trPr>
          <w:cantSplit/>
          <w:trHeight w:val="911" w:hRule="atLeast"/>
          <w:jc w:val="center"/>
        </w:trPr>
        <w:tc>
          <w:tcPr>
            <w:tcW w:w="1066" w:type="dxa"/>
            <w:tcBorders>
              <w:top w:val="nil"/>
              <w:left w:val="nil"/>
              <w:bottom w:val="nil"/>
              <w:right w:val="nil"/>
            </w:tcBorders>
            <w:noWrap w:val="0"/>
            <w:tcMar>
              <w:top w:w="-1" w:type="dxa"/>
              <w:left w:w="-1" w:type="dxa"/>
              <w:bottom w:w="-1" w:type="dxa"/>
              <w:right w:w="-1" w:type="dxa"/>
            </w:tcMar>
            <w:vAlign w:val="center"/>
          </w:tcPr>
          <w:p w14:paraId="15846817">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A</w:t>
            </w:r>
          </w:p>
        </w:tc>
        <w:tc>
          <w:tcPr>
            <w:tcW w:w="2465" w:type="dxa"/>
            <w:tcBorders>
              <w:top w:val="nil"/>
              <w:left w:val="nil"/>
              <w:bottom w:val="nil"/>
              <w:right w:val="nil"/>
            </w:tcBorders>
            <w:shd w:val="clear"/>
            <w:noWrap w:val="0"/>
            <w:tcMar>
              <w:top w:w="-1" w:type="dxa"/>
              <w:left w:w="-1" w:type="dxa"/>
              <w:bottom w:w="-1" w:type="dxa"/>
              <w:right w:w="-1" w:type="dxa"/>
            </w:tcMar>
            <w:vAlign w:val="center"/>
          </w:tcPr>
          <w:p w14:paraId="3AC55AE6">
            <w:pPr>
              <w:keepNext w:val="0"/>
              <w:keepLines w:val="0"/>
              <w:suppressLineNumbers w:val="0"/>
              <w:spacing w:before="0" w:beforeAutospacing="0" w:after="0" w:afterAutospacing="0" w:line="240" w:lineRule="auto"/>
              <w:ind w:left="0" w:leftChars="0" w:right="0" w:right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实验组</w:t>
            </w:r>
          </w:p>
        </w:tc>
        <w:tc>
          <w:tcPr>
            <w:tcW w:w="2465" w:type="dxa"/>
            <w:tcBorders>
              <w:top w:val="nil"/>
              <w:left w:val="nil"/>
              <w:bottom w:val="nil"/>
              <w:right w:val="nil"/>
            </w:tcBorders>
            <w:noWrap w:val="0"/>
            <w:tcMar>
              <w:top w:w="-1" w:type="dxa"/>
              <w:left w:w="-1" w:type="dxa"/>
              <w:bottom w:w="-1" w:type="dxa"/>
              <w:right w:w="-1" w:type="dxa"/>
            </w:tcMar>
            <w:vAlign w:val="center"/>
          </w:tcPr>
          <w:p w14:paraId="7AE03B86">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在库存优化、采购优化、要货计划上使用算法建议值的版本</w:t>
            </w:r>
          </w:p>
        </w:tc>
        <w:tc>
          <w:tcPr>
            <w:tcW w:w="1427" w:type="dxa"/>
            <w:tcBorders>
              <w:top w:val="nil"/>
              <w:left w:val="nil"/>
              <w:bottom w:val="nil"/>
              <w:right w:val="nil"/>
            </w:tcBorders>
            <w:noWrap w:val="0"/>
            <w:tcMar>
              <w:top w:w="-1" w:type="dxa"/>
              <w:left w:w="-1" w:type="dxa"/>
              <w:bottom w:w="-1" w:type="dxa"/>
              <w:right w:w="-1" w:type="dxa"/>
            </w:tcMar>
            <w:vAlign w:val="center"/>
          </w:tcPr>
          <w:p w14:paraId="3C1CAF72">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线下虚拟环境进行仿真</w:t>
            </w:r>
          </w:p>
        </w:tc>
        <w:tc>
          <w:tcPr>
            <w:tcW w:w="3136" w:type="dxa"/>
            <w:tcBorders>
              <w:top w:val="nil"/>
              <w:left w:val="nil"/>
              <w:bottom w:val="nil"/>
              <w:right w:val="nil"/>
            </w:tcBorders>
            <w:noWrap w:val="0"/>
            <w:tcMar>
              <w:top w:w="-1" w:type="dxa"/>
              <w:left w:w="-1" w:type="dxa"/>
              <w:bottom w:w="-1" w:type="dxa"/>
              <w:right w:w="-1" w:type="dxa"/>
            </w:tcMar>
            <w:vAlign w:val="center"/>
          </w:tcPr>
          <w:p w14:paraId="0FE09D2F">
            <w:pPr>
              <w:keepNext w:val="0"/>
              <w:keepLines w:val="0"/>
              <w:widowControl/>
              <w:suppressLineNumbers w:val="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库存优化：库存周转天数、订单满足率；</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采购优化：总采购成本；</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要货计划：</w:t>
            </w:r>
            <w:r>
              <w:rPr>
                <w:rFonts w:hint="eastAsia" w:ascii="宋体" w:hAnsi="宋体" w:eastAsia="宋体" w:cs="宋体"/>
                <w:kern w:val="2"/>
                <w:sz w:val="20"/>
                <w:szCs w:val="20"/>
                <w:lang w:val="en-US" w:eastAsia="zh-CN" w:bidi="ar-SA"/>
              </w:rPr>
              <w:t>断料率、因原料不足而降产或停产时长</w:t>
            </w:r>
          </w:p>
        </w:tc>
      </w:tr>
      <w:tr w14:paraId="51ED4410">
        <w:trPr>
          <w:cantSplit/>
          <w:trHeight w:val="1215" w:hRule="atLeast"/>
          <w:jc w:val="center"/>
        </w:trPr>
        <w:tc>
          <w:tcPr>
            <w:tcW w:w="1066" w:type="dxa"/>
            <w:tcBorders>
              <w:top w:val="nil"/>
              <w:left w:val="nil"/>
              <w:bottom w:val="nil"/>
              <w:right w:val="nil"/>
            </w:tcBorders>
            <w:noWrap w:val="0"/>
            <w:tcMar>
              <w:top w:w="-1" w:type="dxa"/>
              <w:left w:w="-1" w:type="dxa"/>
              <w:bottom w:w="-1" w:type="dxa"/>
              <w:right w:w="-1" w:type="dxa"/>
            </w:tcMar>
            <w:vAlign w:val="center"/>
          </w:tcPr>
          <w:p w14:paraId="38BA56E2">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B</w:t>
            </w:r>
          </w:p>
        </w:tc>
        <w:tc>
          <w:tcPr>
            <w:tcW w:w="2465" w:type="dxa"/>
            <w:tcBorders>
              <w:top w:val="nil"/>
              <w:left w:val="nil"/>
              <w:bottom w:val="nil"/>
              <w:right w:val="nil"/>
            </w:tcBorders>
            <w:shd w:val="clear"/>
            <w:noWrap w:val="0"/>
            <w:tcMar>
              <w:top w:w="-1" w:type="dxa"/>
              <w:left w:w="-1" w:type="dxa"/>
              <w:bottom w:w="-1" w:type="dxa"/>
              <w:right w:w="-1" w:type="dxa"/>
            </w:tcMar>
            <w:vAlign w:val="center"/>
          </w:tcPr>
          <w:p w14:paraId="63ED4E94">
            <w:pPr>
              <w:keepNext w:val="0"/>
              <w:keepLines w:val="0"/>
              <w:suppressLineNumbers w:val="0"/>
              <w:spacing w:before="0" w:beforeAutospacing="0" w:after="0" w:afterAutospacing="0" w:line="240" w:lineRule="auto"/>
              <w:ind w:left="0" w:leftChars="0" w:right="0" w:right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对照组（人工基线）</w:t>
            </w:r>
          </w:p>
        </w:tc>
        <w:tc>
          <w:tcPr>
            <w:tcW w:w="2465" w:type="dxa"/>
            <w:tcBorders>
              <w:top w:val="nil"/>
              <w:left w:val="nil"/>
              <w:bottom w:val="nil"/>
              <w:right w:val="nil"/>
            </w:tcBorders>
            <w:noWrap w:val="0"/>
            <w:tcMar>
              <w:top w:w="-1" w:type="dxa"/>
              <w:left w:w="-1" w:type="dxa"/>
              <w:bottom w:w="-1" w:type="dxa"/>
              <w:right w:w="-1" w:type="dxa"/>
            </w:tcMar>
            <w:vAlign w:val="center"/>
          </w:tcPr>
          <w:p w14:paraId="0182C64F">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eastAsia="zh-CN"/>
              </w:rPr>
            </w:pPr>
            <w:r>
              <w:rPr>
                <w:rFonts w:hint="eastAsia" w:ascii="宋体" w:hAnsi="宋体" w:eastAsia="宋体" w:cs="宋体"/>
                <w:b w:val="0"/>
                <w:sz w:val="20"/>
                <w:szCs w:val="20"/>
                <w:lang w:val="en-US" w:eastAsia="zh-CN"/>
              </w:rPr>
              <w:t>在</w:t>
            </w:r>
            <w:r>
              <w:rPr>
                <w:rFonts w:hint="eastAsia" w:ascii="宋体" w:hAnsi="宋体" w:eastAsia="宋体" w:cs="宋体"/>
                <w:sz w:val="20"/>
                <w:szCs w:val="20"/>
                <w:lang w:val="en-US" w:eastAsia="zh-CN"/>
              </w:rPr>
              <w:t>库存优化、采购优化、要货计划上无算法建议而是基于人工经验填写各项输出的版本</w:t>
            </w:r>
          </w:p>
        </w:tc>
        <w:tc>
          <w:tcPr>
            <w:tcW w:w="1427" w:type="dxa"/>
            <w:tcBorders>
              <w:top w:val="nil"/>
              <w:left w:val="nil"/>
              <w:bottom w:val="nil"/>
              <w:right w:val="nil"/>
            </w:tcBorders>
            <w:noWrap w:val="0"/>
            <w:tcMar>
              <w:top w:w="-1" w:type="dxa"/>
              <w:left w:w="-1" w:type="dxa"/>
              <w:bottom w:w="-1" w:type="dxa"/>
              <w:right w:w="-1" w:type="dxa"/>
            </w:tcMar>
            <w:vAlign w:val="center"/>
          </w:tcPr>
          <w:p w14:paraId="320E9B8A">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线上实际执行</w:t>
            </w:r>
          </w:p>
        </w:tc>
        <w:tc>
          <w:tcPr>
            <w:tcW w:w="3136" w:type="dxa"/>
            <w:tcBorders>
              <w:top w:val="nil"/>
              <w:left w:val="nil"/>
              <w:bottom w:val="nil"/>
              <w:right w:val="nil"/>
            </w:tcBorders>
            <w:noWrap w:val="0"/>
            <w:tcMar>
              <w:top w:w="-1" w:type="dxa"/>
              <w:left w:w="-1" w:type="dxa"/>
              <w:bottom w:w="-1" w:type="dxa"/>
              <w:right w:w="-1" w:type="dxa"/>
            </w:tcMar>
            <w:vAlign w:val="center"/>
          </w:tcPr>
          <w:p w14:paraId="385A619F">
            <w:pPr>
              <w:keepNext w:val="0"/>
              <w:keepLines w:val="0"/>
              <w:suppressLineNumbers w:val="0"/>
              <w:spacing w:before="0" w:beforeAutospacing="0" w:after="0" w:afterAutospacing="0" w:line="240" w:lineRule="auto"/>
              <w:ind w:left="0" w:right="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同上，作为benchmark用来评估算法效果</w:t>
            </w:r>
            <w:bookmarkStart w:id="72" w:name="_GoBack"/>
            <w:bookmarkEnd w:id="72"/>
          </w:p>
        </w:tc>
      </w:tr>
    </w:tbl>
    <w:p w14:paraId="4109D378">
      <w:pPr>
        <w:rPr>
          <w:rFonts w:hint="default"/>
          <w:lang w:val="en-US" w:eastAsia="zh-CN"/>
        </w:rPr>
      </w:pPr>
    </w:p>
    <w:p w14:paraId="027D9FE4">
      <w:pPr>
        <w:pStyle w:val="2"/>
        <w:bidi w:val="0"/>
        <w:rPr>
          <w:rFonts w:hint="eastAsia" w:ascii="黑体" w:hAnsi="黑体" w:eastAsia="黑体" w:cs="黑体"/>
        </w:rPr>
      </w:pPr>
      <w:r>
        <w:rPr>
          <w:rFonts w:hint="eastAsia" w:ascii="黑体" w:hAnsi="黑体" w:eastAsia="黑体" w:cs="黑体"/>
        </w:rPr>
        <w:t>SCOS智能化应用场景说明书</w:t>
      </w:r>
      <w:bookmarkEnd w:id="39"/>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46004128">
        <w:trPr>
          <w:cantSplit/>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112A4B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2FBAAF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B7964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78D204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526ABF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1F67AAE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70BEF3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考核</w:t>
            </w:r>
          </w:p>
        </w:tc>
      </w:tr>
      <w:tr w14:paraId="724D2367">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73883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7D2FA3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15DA39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3B70A22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4332B1B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3B353B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32AB38B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F5F0B54">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6C4969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1BAC7A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3E18C2C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2E583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577325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E778F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2671E4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73495188">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08F7B9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FA124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0D9B9D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4AA7A0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7A8AF8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75D97F7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49FC52B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691CE0DE">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417C60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31316C1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39ECCC80">
            <w:pPr>
              <w:keepNext w:val="0"/>
              <w:keepLines w:val="0"/>
              <w:suppressLineNumbers w:val="0"/>
              <w:spacing w:before="0" w:beforeAutospacing="0" w:after="0" w:afterAutospacing="0" w:line="240" w:lineRule="auto"/>
              <w:ind w:left="0" w:right="0"/>
              <w:jc w:val="center"/>
              <w:rPr>
                <w:rFonts w:hint="default" w:eastAsia="宋体"/>
                <w:sz w:val="20"/>
                <w:szCs w:val="20"/>
                <w:lang w:val="en-US" w:eastAsia="zh-CN"/>
              </w:rPr>
            </w:pPr>
            <w:r>
              <w:rPr>
                <w:rFonts w:hint="eastAsia"/>
                <w:sz w:val="20"/>
                <w:szCs w:val="20"/>
                <w:lang w:val="en-US" w:eastAsia="zh-CN"/>
              </w:rPr>
              <w:t>参考精益排程部分</w:t>
            </w:r>
          </w:p>
        </w:tc>
        <w:tc>
          <w:tcPr>
            <w:tcW w:w="1657" w:type="dxa"/>
            <w:tcBorders>
              <w:top w:val="nil"/>
              <w:left w:val="nil"/>
              <w:bottom w:val="nil"/>
              <w:right w:val="nil"/>
            </w:tcBorders>
            <w:noWrap w:val="0"/>
            <w:tcMar>
              <w:top w:w="-1" w:type="dxa"/>
              <w:left w:w="-1" w:type="dxa"/>
              <w:bottom w:w="-1" w:type="dxa"/>
              <w:right w:w="-1" w:type="dxa"/>
            </w:tcMar>
            <w:vAlign w:val="center"/>
          </w:tcPr>
          <w:p w14:paraId="5E104316">
            <w:pPr>
              <w:keepNext w:val="0"/>
              <w:keepLines w:val="0"/>
              <w:suppressLineNumbers w:val="0"/>
              <w:spacing w:before="0" w:beforeAutospacing="0" w:after="0" w:afterAutospacing="0" w:line="240" w:lineRule="auto"/>
              <w:ind w:left="0" w:right="0"/>
              <w:jc w:val="center"/>
              <w:rPr>
                <w:rFonts w:hint="default"/>
                <w:szCs w:val="22"/>
              </w:rPr>
            </w:pPr>
          </w:p>
        </w:tc>
        <w:tc>
          <w:tcPr>
            <w:tcW w:w="1428" w:type="dxa"/>
            <w:tcBorders>
              <w:top w:val="nil"/>
              <w:left w:val="nil"/>
              <w:bottom w:val="nil"/>
              <w:right w:val="nil"/>
            </w:tcBorders>
            <w:noWrap w:val="0"/>
            <w:tcMar>
              <w:top w:w="-1" w:type="dxa"/>
              <w:left w:w="-1" w:type="dxa"/>
              <w:bottom w:w="-1" w:type="dxa"/>
              <w:right w:w="-1" w:type="dxa"/>
            </w:tcMar>
            <w:vAlign w:val="center"/>
          </w:tcPr>
          <w:p w14:paraId="381DC043">
            <w:pPr>
              <w:keepNext w:val="0"/>
              <w:keepLines w:val="0"/>
              <w:suppressLineNumbers w:val="0"/>
              <w:spacing w:before="0" w:beforeAutospacing="0" w:after="0" w:afterAutospacing="0" w:line="240" w:lineRule="auto"/>
              <w:ind w:left="0" w:right="0"/>
              <w:jc w:val="center"/>
              <w:rPr>
                <w:rFonts w:hint="default"/>
                <w:szCs w:val="22"/>
              </w:rPr>
            </w:pPr>
          </w:p>
        </w:tc>
        <w:tc>
          <w:tcPr>
            <w:tcW w:w="1423" w:type="dxa"/>
            <w:tcBorders>
              <w:top w:val="nil"/>
              <w:left w:val="nil"/>
              <w:bottom w:val="nil"/>
              <w:right w:val="nil"/>
            </w:tcBorders>
            <w:noWrap w:val="0"/>
            <w:tcMar>
              <w:top w:w="-1" w:type="dxa"/>
              <w:left w:w="-1" w:type="dxa"/>
              <w:bottom w:w="-1" w:type="dxa"/>
              <w:right w:w="-1" w:type="dxa"/>
            </w:tcMar>
            <w:vAlign w:val="center"/>
          </w:tcPr>
          <w:p w14:paraId="293443B8">
            <w:pPr>
              <w:keepNext w:val="0"/>
              <w:keepLines w:val="0"/>
              <w:suppressLineNumbers w:val="0"/>
              <w:spacing w:before="0" w:beforeAutospacing="0" w:after="0" w:afterAutospacing="0" w:line="240" w:lineRule="auto"/>
              <w:ind w:left="0" w:right="0"/>
              <w:jc w:val="center"/>
              <w:rPr>
                <w:rFonts w:hint="default"/>
                <w:szCs w:val="22"/>
              </w:rPr>
            </w:pPr>
          </w:p>
        </w:tc>
        <w:tc>
          <w:tcPr>
            <w:tcW w:w="757" w:type="dxa"/>
            <w:tcBorders>
              <w:top w:val="nil"/>
              <w:left w:val="nil"/>
              <w:bottom w:val="nil"/>
              <w:right w:val="nil"/>
            </w:tcBorders>
            <w:noWrap w:val="0"/>
            <w:tcMar>
              <w:top w:w="-1" w:type="dxa"/>
              <w:left w:w="-1" w:type="dxa"/>
              <w:bottom w:w="-1" w:type="dxa"/>
              <w:right w:w="-1" w:type="dxa"/>
            </w:tcMar>
            <w:vAlign w:val="center"/>
          </w:tcPr>
          <w:p w14:paraId="778971BB">
            <w:pPr>
              <w:keepNext w:val="0"/>
              <w:keepLines w:val="0"/>
              <w:suppressLineNumbers w:val="0"/>
              <w:spacing w:before="0" w:beforeAutospacing="0" w:after="0" w:afterAutospacing="0" w:line="240" w:lineRule="auto"/>
              <w:ind w:left="0" w:right="0"/>
              <w:jc w:val="center"/>
              <w:rPr>
                <w:rFonts w:hint="default"/>
                <w:szCs w:val="22"/>
              </w:rPr>
            </w:pPr>
          </w:p>
        </w:tc>
      </w:tr>
      <w:tr w14:paraId="2224E685">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1BBD8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79C969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5CB8B1F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73CCBC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0743BC4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0B4D43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29E2538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DC73882">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A1A31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04AAD4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32B1D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516A28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844821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16975B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16D55B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CF8367A">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72553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3B8EE5D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75D087C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3C78DC2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26392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79A9DD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176641F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45AF7E0">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46C9384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162ADDE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6D8629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C33A5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5308FA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3FB4DCE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44280F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bl>
    <w:p w14:paraId="12008972">
      <w:pPr>
        <w:rPr>
          <w:rFonts w:hint="eastAsia"/>
        </w:rPr>
      </w:pPr>
    </w:p>
    <w:p w14:paraId="7F36A318"/>
    <w:p w14:paraId="326EDC09">
      <w:pPr>
        <w:pStyle w:val="3"/>
        <w:bidi w:val="0"/>
        <w:rPr>
          <w:rFonts w:hint="eastAsia" w:ascii="黑体" w:hAnsi="黑体" w:eastAsia="黑体" w:cs="黑体"/>
        </w:rPr>
      </w:pPr>
      <w:bookmarkStart w:id="40" w:name="_Toc173077463"/>
      <w:r>
        <w:rPr>
          <w:rFonts w:hint="eastAsia" w:ascii="黑体" w:hAnsi="黑体" w:eastAsia="黑体" w:cs="黑体"/>
        </w:rPr>
        <w:t>智能化场景总体说明</w:t>
      </w:r>
      <w:bookmarkEnd w:id="40"/>
    </w:p>
    <w:p w14:paraId="0831FF5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p w14:paraId="15B7D08F">
      <w:pPr>
        <w:pStyle w:val="3"/>
        <w:rPr>
          <w:rFonts w:hint="eastAsia" w:ascii="黑体" w:hAnsi="黑体" w:eastAsia="黑体" w:cs="黑体"/>
        </w:rPr>
      </w:pPr>
      <w:bookmarkStart w:id="41" w:name="_Toc1220062603"/>
      <w:r>
        <w:rPr>
          <w:rFonts w:hint="eastAsia" w:ascii="黑体" w:hAnsi="黑体" w:eastAsia="黑体" w:cs="黑体"/>
        </w:rPr>
        <w:t>供应链驾驶舱态势监测与预警联动</w:t>
      </w:r>
      <w:r>
        <w:rPr>
          <w:rFonts w:hint="eastAsia" w:ascii="黑体" w:hAnsi="黑体" w:eastAsia="黑体" w:cs="黑体"/>
          <w:lang w:val="en-US" w:eastAsia="zh-CN"/>
        </w:rPr>
        <w:t>（F-ZLTC-SCOS-AIZNT-001）</w:t>
      </w:r>
      <w:bookmarkEnd w:id="41"/>
    </w:p>
    <w:p w14:paraId="08E6C7D8">
      <w:pPr>
        <w:rPr>
          <w:rFonts w:hint="eastAsia"/>
        </w:rPr>
      </w:pPr>
      <w:r>
        <w:drawing>
          <wp:inline distT="0" distB="0" distL="114300" distR="114300">
            <wp:extent cx="5261610" cy="2877820"/>
            <wp:effectExtent l="0" t="0" r="21590" b="177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8"/>
                    <a:stretch>
                      <a:fillRect/>
                    </a:stretch>
                  </pic:blipFill>
                  <pic:spPr>
                    <a:xfrm>
                      <a:off x="0" y="0"/>
                      <a:ext cx="5261610" cy="2877820"/>
                    </a:xfrm>
                    <a:prstGeom prst="rect">
                      <a:avLst/>
                    </a:prstGeom>
                    <a:noFill/>
                    <a:ln>
                      <a:noFill/>
                    </a:ln>
                  </pic:spPr>
                </pic:pic>
              </a:graphicData>
            </a:graphic>
          </wp:inline>
        </w:drawing>
      </w:r>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功能</w:t>
      </w:r>
      <w:r>
        <w:rPr>
          <w:rFonts w:hint="eastAsia" w:ascii="宋体" w:hAnsi="宋体" w:eastAsia="宋体" w:cs="宋体"/>
          <w:sz w:val="21"/>
          <w:szCs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kern w:val="2"/>
          <w:sz w:val="21"/>
          <w:szCs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统一数据服务层的主数据和交易数据；实时数据平台的产量、库存、储罐液位、产线状态和车辆位置；SAP财务、资金与成本数据；各SCOS模块计算结果和预警事件。</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时间序列异常检测+规则引擎</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EE9B1F6">
      <w:pPr>
        <w:pStyle w:val="3"/>
        <w:rPr>
          <w:rFonts w:hint="eastAsia" w:ascii="黑体" w:hAnsi="黑体" w:eastAsia="黑体" w:cs="黑体"/>
        </w:rPr>
      </w:pPr>
      <w:bookmarkStart w:id="42" w:name="_Toc1418307065"/>
      <w:r>
        <w:rPr>
          <w:rFonts w:hint="eastAsia" w:ascii="黑体" w:hAnsi="黑体" w:eastAsia="黑体" w:cs="黑体"/>
        </w:rPr>
        <w:t>供应链沙盘推演</w:t>
      </w:r>
      <w:r>
        <w:rPr>
          <w:rFonts w:hint="eastAsia" w:ascii="黑体" w:hAnsi="黑体" w:eastAsia="黑体" w:cs="黑体"/>
          <w:lang w:val="en-US" w:eastAsia="zh-CN"/>
        </w:rPr>
        <w:t>（F-ZLTC-SCOS-AIZNT-002）</w:t>
      </w:r>
      <w:bookmarkEnd w:id="42"/>
    </w:p>
    <w:p w14:paraId="6D39AD88">
      <w:r>
        <w:drawing>
          <wp:inline distT="0" distB="0" distL="114300" distR="114300">
            <wp:extent cx="5261610" cy="2877820"/>
            <wp:effectExtent l="0" t="0" r="21590" b="177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9"/>
                    <a:stretch>
                      <a:fillRect/>
                    </a:stretch>
                  </pic:blipFill>
                  <pic:spPr>
                    <a:xfrm>
                      <a:off x="0" y="0"/>
                      <a:ext cx="5261610" cy="2877820"/>
                    </a:xfrm>
                    <a:prstGeom prst="rect">
                      <a:avLst/>
                    </a:prstGeom>
                    <a:noFill/>
                    <a:ln>
                      <a:noFill/>
                    </a:ln>
                  </pic:spPr>
                </pic:pic>
              </a:graphicData>
            </a:graphic>
          </wp:inline>
        </w:drawing>
      </w:r>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sz w:val="21"/>
          <w:szCs w:val="21"/>
        </w:rPr>
      </w:pPr>
      <w:r>
        <w:rPr>
          <w:rFonts w:ascii="Times New Roman" w:hAnsi="Times New Roman" w:eastAsia="宋体"/>
          <w:sz w:val="21"/>
          <w:szCs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C6C0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default" w:ascii="Times New Roman" w:hAnsi="Times New Roman" w:eastAsia="宋体" w:cs="Times New Roman"/>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与驾驶舱相同时点的数据快照、已发布计划方案、当前库存和采购执行状态；用户输入的大客户订单增减比例、供应商延迟天数、原料价格变化比例等情景参数。</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What-if仿真+敏感性分析</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需求变化对产能、原料、库存和交付日期的影响；供应延迟下的断供风险、备用供应商或排程调整方案；原料价格变化下的采购与总运营成本影响。</w:t>
      </w:r>
    </w:p>
    <w:p w14:paraId="64711EB0">
      <w:pPr>
        <w:pStyle w:val="3"/>
        <w:bidi w:val="0"/>
        <w:rPr>
          <w:rFonts w:hint="eastAsia" w:ascii="黑体" w:hAnsi="黑体" w:eastAsia="黑体" w:cs="黑体"/>
        </w:rPr>
      </w:pPr>
      <w:bookmarkStart w:id="43" w:name="_Toc418359755"/>
      <w:r>
        <w:rPr>
          <w:rFonts w:hint="eastAsia" w:ascii="黑体" w:hAnsi="黑体" w:eastAsia="黑体" w:cs="黑体"/>
        </w:rPr>
        <w:t>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bookmarkEnd w:id="43"/>
    </w:p>
    <w:p w14:paraId="1E62AE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drawing>
          <wp:inline distT="0" distB="0" distL="114300" distR="114300">
            <wp:extent cx="5261610" cy="2877820"/>
            <wp:effectExtent l="0" t="0" r="21590" b="1778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70"/>
                    <a:stretch>
                      <a:fillRect/>
                    </a:stretch>
                  </pic:blipFill>
                  <pic:spPr>
                    <a:xfrm>
                      <a:off x="0" y="0"/>
                      <a:ext cx="5261610" cy="2877820"/>
                    </a:xfrm>
                    <a:prstGeom prst="rect">
                      <a:avLst/>
                    </a:prstGeom>
                    <a:noFill/>
                    <a:ln>
                      <a:noFill/>
                    </a:ln>
                  </pic:spPr>
                </pic:pic>
              </a:graphicData>
            </a:graphic>
          </wp:inline>
        </w:drawing>
      </w:r>
    </w:p>
    <w:p w14:paraId="7DADE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7A7DA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650DC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6B811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每月25日根据下月出货计划发布库存策略；每周</w:t>
      </w:r>
      <w:r>
        <w:rPr>
          <w:rFonts w:hint="eastAsia" w:ascii="宋体" w:hAnsi="宋体" w:cs="宋体"/>
          <w:color w:val="000000"/>
          <w:kern w:val="2"/>
          <w:sz w:val="21"/>
          <w:szCs w:val="21"/>
          <w:highlight w:val="none"/>
          <w:lang w:val="en-US" w:eastAsia="zh-CN" w:bidi="ar-SA"/>
        </w:rPr>
        <w:t>生成未来4周计划并保持周内锁定</w:t>
      </w:r>
      <w:r>
        <w:rPr>
          <w:rFonts w:hint="eastAsia" w:ascii="宋体" w:hAnsi="宋体" w:eastAsia="宋体" w:cs="宋体"/>
          <w:color w:val="000000"/>
          <w:kern w:val="2"/>
          <w:sz w:val="21"/>
          <w:szCs w:val="21"/>
          <w:highlight w:val="none"/>
          <w:lang w:val="en-US" w:eastAsia="zh-CN" w:bidi="ar-SA"/>
        </w:rPr>
        <w:t>；每日根据实际出入库</w:t>
      </w:r>
      <w:r>
        <w:rPr>
          <w:rFonts w:hint="eastAsia" w:ascii="宋体" w:hAnsi="宋体" w:cs="宋体"/>
          <w:color w:val="000000"/>
          <w:kern w:val="2"/>
          <w:sz w:val="21"/>
          <w:szCs w:val="21"/>
          <w:highlight w:val="none"/>
          <w:lang w:val="en-US" w:eastAsia="zh-CN" w:bidi="ar-SA"/>
        </w:rPr>
        <w:t>进行</w:t>
      </w:r>
      <w:r>
        <w:rPr>
          <w:rFonts w:hint="eastAsia" w:ascii="宋体" w:hAnsi="宋体" w:eastAsia="宋体" w:cs="宋体"/>
          <w:color w:val="000000"/>
          <w:kern w:val="2"/>
          <w:sz w:val="21"/>
          <w:szCs w:val="21"/>
          <w:highlight w:val="none"/>
          <w:lang w:val="en-US" w:eastAsia="zh-CN" w:bidi="ar-SA"/>
        </w:rPr>
        <w:t>滚动校验；重大需求、设备或储罐异常时预警</w:t>
      </w:r>
      <w:r>
        <w:rPr>
          <w:rFonts w:hint="eastAsia" w:ascii="宋体" w:hAnsi="宋体" w:cs="宋体"/>
          <w:color w:val="000000"/>
          <w:kern w:val="2"/>
          <w:sz w:val="21"/>
          <w:szCs w:val="21"/>
          <w:highlight w:val="none"/>
          <w:lang w:val="en-US" w:eastAsia="zh-CN" w:bidi="ar-SA"/>
        </w:rPr>
        <w:t>和修正</w:t>
      </w:r>
      <w:r>
        <w:rPr>
          <w:rFonts w:hint="eastAsia" w:ascii="宋体" w:hAnsi="宋体" w:eastAsia="宋体" w:cs="宋体"/>
          <w:color w:val="000000"/>
          <w:kern w:val="2"/>
          <w:sz w:val="21"/>
          <w:szCs w:val="21"/>
          <w:highlight w:val="none"/>
          <w:lang w:val="en-US" w:eastAsia="zh-CN" w:bidi="ar-SA"/>
        </w:rPr>
        <w:t>。</w:t>
      </w:r>
    </w:p>
    <w:p w14:paraId="46F55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55438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出货计划、销售订单、成品合格/已分配/冻结/待检/质量异常库存、计划生产入库和待发运量；历史出库波动、生产补充周期及波动；成品-储罐映射、工作容量和可用状态。</w:t>
      </w:r>
    </w:p>
    <w:p w14:paraId="406C8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2754E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（R,s,S）库存模型+滚动库存递推</w:t>
      </w:r>
    </w:p>
    <w:p w14:paraId="4C5EF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B80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3E7A96B2">
      <w:pPr>
        <w:pStyle w:val="3"/>
        <w:bidi w:val="0"/>
        <w:rPr>
          <w:rFonts w:hint="eastAsia" w:ascii="黑体" w:hAnsi="黑体" w:eastAsia="黑体" w:cs="黑体"/>
          <w:color w:val="auto"/>
        </w:rPr>
      </w:pPr>
      <w:bookmarkStart w:id="44" w:name="_Toc510942007"/>
      <w:r>
        <w:rPr>
          <w:rFonts w:hint="eastAsia" w:ascii="黑体" w:hAnsi="黑体" w:eastAsia="黑体" w:cs="黑体"/>
          <w:color w:val="auto"/>
        </w:rPr>
        <w:t>精益生产排程与异常重排</w:t>
      </w:r>
      <w:r>
        <w:rPr>
          <w:rFonts w:hint="eastAsia" w:ascii="黑体" w:hAnsi="黑体" w:eastAsia="黑体" w:cs="黑体"/>
          <w:color w:val="auto"/>
          <w:lang w:eastAsia="zh-CN"/>
        </w:rPr>
        <w:t>（</w:t>
      </w:r>
      <w:r>
        <w:rPr>
          <w:rFonts w:hint="eastAsia" w:ascii="黑体" w:hAnsi="黑体" w:eastAsia="黑体" w:cs="黑体"/>
          <w:color w:val="auto"/>
          <w:lang w:val="en-US" w:eastAsia="zh-CN"/>
        </w:rPr>
        <w:t>参考精益排程部分</w:t>
      </w:r>
      <w:r>
        <w:rPr>
          <w:rFonts w:hint="eastAsia" w:ascii="黑体" w:hAnsi="黑体" w:eastAsia="黑体" w:cs="黑体"/>
          <w:color w:val="auto"/>
          <w:lang w:eastAsia="zh-CN"/>
        </w:rPr>
        <w:t>）</w:t>
      </w:r>
      <w:bookmarkEnd w:id="44"/>
    </w:p>
    <w:p w14:paraId="74099BF0">
      <w:pPr>
        <w:pStyle w:val="3"/>
        <w:rPr>
          <w:rFonts w:hint="eastAsia" w:ascii="黑体" w:hAnsi="黑体" w:eastAsia="黑体" w:cs="黑体"/>
        </w:rPr>
      </w:pPr>
      <w:bookmarkStart w:id="45" w:name="_Toc1762690943"/>
      <w:r>
        <w:rPr>
          <w:rFonts w:hint="eastAsia" w:ascii="黑体" w:hAnsi="黑体" w:eastAsia="黑体" w:cs="黑体"/>
        </w:rPr>
        <w:t>原料采购决策优化</w:t>
      </w:r>
      <w:r>
        <w:rPr>
          <w:rFonts w:hint="eastAsia" w:ascii="黑体" w:hAnsi="黑体" w:eastAsia="黑体" w:cs="黑体"/>
          <w:lang w:val="en-US" w:eastAsia="zh-CN"/>
        </w:rPr>
        <w:t>（F-ZLTC-SCOS-AIZNT-005）</w:t>
      </w:r>
      <w:bookmarkEnd w:id="45"/>
    </w:p>
    <w:p w14:paraId="084A749A">
      <w:r>
        <w:drawing>
          <wp:inline distT="0" distB="0" distL="114300" distR="114300">
            <wp:extent cx="5261610" cy="2877820"/>
            <wp:effectExtent l="0" t="0" r="21590" b="1778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71"/>
                    <a:stretch>
                      <a:fillRect/>
                    </a:stretch>
                  </pic:blipFill>
                  <pic:spPr>
                    <a:xfrm>
                      <a:off x="0" y="0"/>
                      <a:ext cx="5261610" cy="2877820"/>
                    </a:xfrm>
                    <a:prstGeom prst="rect">
                      <a:avLst/>
                    </a:prstGeom>
                    <a:noFill/>
                    <a:ln>
                      <a:noFill/>
                    </a:ln>
                  </pic:spPr>
                </pic:pic>
              </a:graphicData>
            </a:graphic>
          </wp:inline>
        </w:drawing>
      </w:r>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每月根据新发布的原材料需求计划形成月度方案；每周检查需求和采购执行变化；计划版本变更或业务人员主动发起时重新计算未执行部分。</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default"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7104F3AC">
      <w:pPr>
        <w:pStyle w:val="3"/>
        <w:bidi w:val="0"/>
        <w:rPr>
          <w:rFonts w:hint="eastAsia" w:ascii="黑体" w:hAnsi="黑体" w:eastAsia="黑体" w:cs="黑体"/>
          <w:lang w:val="en-US" w:eastAsia="zh-CN"/>
        </w:rPr>
      </w:pPr>
      <w:bookmarkStart w:id="46" w:name="_Toc1009768636"/>
      <w:r>
        <w:rPr>
          <w:rFonts w:hint="eastAsia" w:ascii="黑体" w:hAnsi="黑体" w:eastAsia="黑体" w:cs="黑体"/>
          <w:b/>
          <w:sz w:val="30"/>
        </w:rPr>
        <w:t>原辅包要货决策优化（F-ZLTC-SCOS-AIZNT-00</w:t>
      </w:r>
      <w:r>
        <w:rPr>
          <w:rFonts w:hint="eastAsia" w:ascii="黑体" w:hAnsi="黑体" w:eastAsia="黑体" w:cs="黑体"/>
          <w:b/>
          <w:sz w:val="30"/>
          <w:lang w:val="en-US" w:eastAsia="zh-CN"/>
        </w:rPr>
        <w:t>6</w:t>
      </w:r>
      <w:r>
        <w:rPr>
          <w:rFonts w:hint="eastAsia" w:ascii="黑体" w:hAnsi="黑体" w:eastAsia="黑体" w:cs="黑体"/>
          <w:b/>
          <w:sz w:val="30"/>
        </w:rPr>
        <w:t>）</w:t>
      </w:r>
      <w:bookmarkEnd w:id="46"/>
    </w:p>
    <w:p w14:paraId="24AABB0B">
      <w:pPr>
        <w:rPr>
          <w:rFonts w:hint="eastAsia"/>
          <w:lang w:val="en-US" w:eastAsia="zh-CN"/>
        </w:rPr>
      </w:pPr>
      <w:r>
        <w:drawing>
          <wp:inline distT="0" distB="0" distL="114300" distR="114300">
            <wp:extent cx="5261610" cy="2877820"/>
            <wp:effectExtent l="0" t="0" r="21590" b="1778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72"/>
                    <a:stretch>
                      <a:fillRect/>
                    </a:stretch>
                  </pic:blipFill>
                  <pic:spPr>
                    <a:xfrm>
                      <a:off x="0" y="0"/>
                      <a:ext cx="5261610" cy="2877820"/>
                    </a:xfrm>
                    <a:prstGeom prst="rect">
                      <a:avLst/>
                    </a:prstGeom>
                    <a:noFill/>
                    <a:ln>
                      <a:noFill/>
                    </a:ln>
                  </pic:spPr>
                </pic:pic>
              </a:graphicData>
            </a:graphic>
          </wp:inline>
        </w:drawing>
      </w:r>
    </w:p>
    <w:p w14:paraId="67B34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2A107708">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本场景面向原料、辅料和包材的日度要货决策，在既有采购合同和订单范围内，综合生产耗用、可用库存、固定到货、合同余量、供应商可供能力和收货条件，形成可执行的供应商、合同、到货日期与数量建议。系统保护已确认、已下达、在途及人工锁定安排，仅优化受影响的未锁定计划；无法满足时明确提示风险日期、缺口数量和原因。</w:t>
      </w:r>
    </w:p>
    <w:p w14:paraId="2D314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2558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系统按日生成并滚动校验要货方案；需求、库存、预计到货、合同余量、供应能力、禁运或质量状态变化时评估影响；采购计划员也可人工发起重算。</w:t>
      </w:r>
    </w:p>
    <w:p w14:paraId="53640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1A99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精益排程模块提供已发布的日度原辅包需求；WMS提供合格且未冻结的可用库存；SAP/E采提供有效合同、采购订单和余量；TMS及供应商协同平台提供发货、在途和预计到货；QMS/LIMS提供质量状态；采购人员维护可供能力、送货条件、合同顺序和收货约束。</w:t>
      </w:r>
    </w:p>
    <w:p w14:paraId="7DDD4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0DEB8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70799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296B5D4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color w:val="000000"/>
          <w:kern w:val="2"/>
          <w:sz w:val="21"/>
          <w:szCs w:val="21"/>
          <w:highlight w:val="none"/>
          <w:lang w:val="en-US" w:eastAsia="zh-CN" w:bidi="ar-SA"/>
        </w:rPr>
        <w:t>分物料、供应商、合同和日期的要货计划，包含到货数量、替代/补位安排、调整差异、风险日期、缺口数量及原因。经采购计划员确认后下发E采/SAP、TMS或供应商协同平台，执行状态和未消除风险同步供应链驾驶舱；新增合同、外库租赁或生产调整仍由相应业务流程决策。</w:t>
      </w:r>
    </w:p>
    <w:p w14:paraId="1EAA0AC8">
      <w:pPr>
        <w:pStyle w:val="3"/>
        <w:bidi w:val="0"/>
        <w:rPr>
          <w:rFonts w:hint="eastAsia" w:ascii="黑体" w:hAnsi="黑体" w:eastAsia="黑体" w:cs="黑体"/>
        </w:rPr>
      </w:pPr>
      <w:bookmarkStart w:id="47" w:name="_Toc1765686658"/>
      <w:r>
        <w:rPr>
          <w:rFonts w:hint="eastAsia" w:ascii="黑体" w:hAnsi="黑体" w:eastAsia="黑体" w:cs="黑体"/>
        </w:rPr>
        <w:t>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bookmarkEnd w:id="47"/>
    </w:p>
    <w:p w14:paraId="30EFD7C5">
      <w:r>
        <w:drawing>
          <wp:inline distT="0" distB="0" distL="114300" distR="114300">
            <wp:extent cx="5261610" cy="2877820"/>
            <wp:effectExtent l="0" t="0" r="21590" b="1778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73"/>
                    <a:stretch>
                      <a:fillRect/>
                    </a:stretch>
                  </pic:blipFill>
                  <pic:spPr>
                    <a:xfrm>
                      <a:off x="0" y="0"/>
                      <a:ext cx="5261610" cy="2877820"/>
                    </a:xfrm>
                    <a:prstGeom prst="rect">
                      <a:avLst/>
                    </a:prstGeom>
                    <a:noFill/>
                    <a:ln>
                      <a:noFill/>
                    </a:ln>
                  </pic:spPr>
                </pic:pic>
              </a:graphicData>
            </a:graphic>
          </wp:inline>
        </w:drawing>
      </w:r>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按月核算周期自动运行；成本数据、产量、销量或分摊规则变更时重算；用户可按产品、客户、</w:t>
      </w:r>
      <w:r>
        <w:rPr>
          <w:rFonts w:hint="eastAsia" w:ascii="宋体" w:hAnsi="宋体" w:cs="宋体"/>
          <w:color w:val="000000"/>
          <w:kern w:val="2"/>
          <w:sz w:val="21"/>
          <w:szCs w:val="21"/>
          <w:highlight w:val="none"/>
          <w:lang w:val="en-US" w:eastAsia="zh-CN" w:bidi="ar-SA"/>
        </w:rPr>
        <w:t>供应商、</w:t>
      </w:r>
      <w:r>
        <w:rPr>
          <w:rFonts w:hint="eastAsia" w:ascii="宋体" w:hAnsi="宋体" w:eastAsia="宋体" w:cs="宋体"/>
          <w:color w:val="000000"/>
          <w:kern w:val="2"/>
          <w:sz w:val="21"/>
          <w:szCs w:val="21"/>
          <w:highlight w:val="none"/>
          <w:lang w:val="en-US" w:eastAsia="zh-CN" w:bidi="ar-SA"/>
        </w:rPr>
        <w:t>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作业成本法（ABC）+差异分析模型</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44546779">
      <w:pPr>
        <w:pStyle w:val="3"/>
        <w:bidi w:val="0"/>
        <w:rPr>
          <w:rFonts w:hint="eastAsia" w:ascii="黑体" w:hAnsi="黑体" w:eastAsia="黑体" w:cs="黑体"/>
        </w:rPr>
      </w:pPr>
      <w:bookmarkStart w:id="48" w:name="_Toc1966626760"/>
      <w:r>
        <w:rPr>
          <w:rFonts w:hint="eastAsia" w:ascii="黑体" w:hAnsi="黑体" w:eastAsia="黑体" w:cs="黑体"/>
        </w:rPr>
        <w:t>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bookmarkEnd w:id="48"/>
    </w:p>
    <w:p w14:paraId="686E1B51">
      <w:r>
        <w:drawing>
          <wp:inline distT="0" distB="0" distL="114300" distR="114300">
            <wp:extent cx="5261610" cy="2877820"/>
            <wp:effectExtent l="0" t="0" r="21590" b="1778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74"/>
                    <a:stretch>
                      <a:fillRect/>
                    </a:stretch>
                  </pic:blipFill>
                  <pic:spPr>
                    <a:xfrm>
                      <a:off x="0" y="0"/>
                      <a:ext cx="5261610" cy="2877820"/>
                    </a:xfrm>
                    <a:prstGeom prst="rect">
                      <a:avLst/>
                    </a:prstGeom>
                    <a:noFill/>
                    <a:ln>
                      <a:noFill/>
                    </a:ln>
                  </pic:spPr>
                </pic:pic>
              </a:graphicData>
            </a:graphic>
          </wp:inline>
        </w:drawing>
      </w:r>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批次知识图谱+图搜索算法</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3F50C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ascii="Times New Roman" w:hAnsi="Times New Roman" w:eastAsia="宋体"/>
          <w:sz w:val="21"/>
        </w:rPr>
      </w:pPr>
      <w:r>
        <w:rPr>
          <w:rFonts w:hint="eastAsia" w:ascii="宋体" w:hAnsi="宋体" w:eastAsia="宋体" w:cs="宋体"/>
          <w:color w:val="000000"/>
          <w:kern w:val="2"/>
          <w:sz w:val="21"/>
          <w:szCs w:val="21"/>
          <w:highlight w:val="none"/>
          <w:lang w:val="en-US" w:eastAsia="zh-CN" w:bidi="ar-SA"/>
        </w:rPr>
        <w:t>正向/反向追溯树、关联单据和检验结果；影响成品、库存、订单、客户和供应商清单；隔离、召回、放行或处置建议；向驾驶舱推送重大质量预警。</w:t>
      </w:r>
    </w:p>
    <w:p w14:paraId="6E448E42">
      <w:pPr>
        <w:pStyle w:val="2"/>
        <w:bidi w:val="0"/>
        <w:rPr>
          <w:rFonts w:hint="eastAsia" w:ascii="黑体" w:hAnsi="黑体" w:eastAsia="黑体" w:cs="黑体"/>
        </w:rPr>
      </w:pPr>
      <w:bookmarkStart w:id="49" w:name="_Toc1175144343"/>
      <w:r>
        <w:rPr>
          <w:rFonts w:hint="eastAsia" w:ascii="黑体" w:hAnsi="黑体" w:eastAsia="黑体" w:cs="黑体"/>
        </w:rPr>
        <w:t>SCOS技术蓝图交付物</w:t>
      </w:r>
      <w:bookmarkEnd w:id="49"/>
    </w:p>
    <w:p w14:paraId="195C94E7">
      <w:pPr>
        <w:pStyle w:val="3"/>
        <w:bidi w:val="0"/>
        <w:rPr>
          <w:rFonts w:hint="eastAsia" w:ascii="黑体" w:hAnsi="黑体" w:eastAsia="黑体" w:cs="黑体"/>
          <w:b/>
          <w:bCs w:val="0"/>
        </w:rPr>
      </w:pPr>
      <w:bookmarkStart w:id="50" w:name="_Toc243871342"/>
      <w:bookmarkStart w:id="51" w:name="_Toc6848"/>
      <w:bookmarkStart w:id="52" w:name="_PLM数据流架构图"/>
      <w:bookmarkStart w:id="53" w:name="_SCOS数据流架构图"/>
      <w:r>
        <w:rPr>
          <w:rFonts w:hint="eastAsia" w:ascii="黑体" w:hAnsi="黑体" w:eastAsia="黑体" w:cs="黑体"/>
          <w:b/>
          <w:bCs w:val="0"/>
          <w:lang w:val="en-US" w:eastAsia="zh-CN"/>
        </w:rPr>
        <w:t>SCOS</w:t>
      </w:r>
      <w:r>
        <w:rPr>
          <w:rFonts w:hint="eastAsia" w:ascii="黑体" w:hAnsi="黑体" w:eastAsia="黑体" w:cs="黑体"/>
          <w:b/>
          <w:bCs w:val="0"/>
        </w:rPr>
        <w:t>数据流架构图</w:t>
      </w:r>
      <w:bookmarkEnd w:id="50"/>
      <w:bookmarkEnd w:id="51"/>
      <w:bookmarkEnd w:id="52"/>
    </w:p>
    <w:bookmarkEnd w:id="53"/>
    <w:p w14:paraId="17092E0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SCOS总体架构遵循“数据统一供给、业务模块解耦、模型服务化、结果统一发布、全程可审计”原则。</w:t>
      </w:r>
      <w:r>
        <w:rPr>
          <w:rFonts w:hint="eastAsia" w:ascii="宋体" w:hAnsi="宋体" w:eastAsia="宋体" w:cs="宋体"/>
          <w:sz w:val="21"/>
          <w:szCs w:val="21"/>
          <w:lang w:val="en-US" w:eastAsia="zh-CN"/>
        </w:rPr>
        <w:t>CRM、CON、</w:t>
      </w:r>
      <w:r>
        <w:rPr>
          <w:rFonts w:hint="eastAsia" w:ascii="宋体" w:hAnsi="宋体" w:eastAsia="宋体" w:cs="宋体"/>
          <w:sz w:val="21"/>
          <w:szCs w:val="21"/>
        </w:rPr>
        <w:t>SAP、WMS、TMS、MES、QMS/LIMS、</w:t>
      </w:r>
      <w:r>
        <w:rPr>
          <w:rFonts w:hint="eastAsia" w:ascii="宋体" w:hAnsi="宋体" w:eastAsia="宋体" w:cs="宋体"/>
          <w:sz w:val="21"/>
          <w:szCs w:val="21"/>
          <w:lang w:val="en-US" w:eastAsia="zh-CN"/>
        </w:rPr>
        <w:t>DCS</w:t>
      </w:r>
      <w:r>
        <w:rPr>
          <w:rFonts w:hint="eastAsia" w:ascii="宋体" w:hAnsi="宋体" w:eastAsia="宋体" w:cs="宋体"/>
          <w:sz w:val="21"/>
          <w:szCs w:val="21"/>
        </w:rPr>
        <w:t>是业务事实来源；统一数据服务层将主数据、计划、交易、库存、价格、成本、批次和设备数据形成标准数据服务；SCOS各模块基于这些数据开展计算和协同。</w:t>
      </w:r>
    </w:p>
    <w:p w14:paraId="2D05C50F">
      <w:pPr>
        <w:keepNext/>
        <w:jc w:val="center"/>
      </w:pPr>
      <w:r>
        <w:drawing>
          <wp:inline distT="0" distB="0" distL="114300" distR="114300">
            <wp:extent cx="5275580" cy="2931160"/>
            <wp:effectExtent l="0" t="0" r="7620" b="15240"/>
            <wp:docPr id="15" name="SCOS数据流架构图" descr="SCOS与CRM、CON、SAP、WMS、TMS、MES、DCS、QMS/LIMS之间的数据获取订阅和下发闭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OS数据流架构图" descr="SCOS与CRM、CON、SAP、WMS、TMS、MES、DCS、QMS/LIMS之间的数据获取订阅和下发闭环架构图"/>
                    <pic:cNvPicPr>
                      <a:picLocks noChangeAspect="1"/>
                    </pic:cNvPicPr>
                  </pic:nvPicPr>
                  <pic:blipFill>
                    <a:blip r:embed="rId75"/>
                    <a:stretch>
                      <a:fillRect/>
                    </a:stretch>
                  </pic:blipFill>
                  <pic:spPr>
                    <a:xfrm>
                      <a:off x="0" y="0"/>
                      <a:ext cx="5276088" cy="2931526"/>
                    </a:xfrm>
                    <a:prstGeom prst="rect">
                      <a:avLst/>
                    </a:prstGeom>
                  </pic:spPr>
                </pic:pic>
              </a:graphicData>
            </a:graphic>
          </wp:inline>
        </w:drawing>
      </w:r>
    </w:p>
    <w:p w14:paraId="12279848">
      <w:pPr>
        <w:pStyle w:val="5"/>
        <w:spacing w:after="120"/>
        <w:jc w:val="center"/>
        <w:rPr>
          <w:rFonts w:hint="default" w:ascii="Times New Roman" w:hAnsi="Times New Roman" w:eastAsia="宋体"/>
          <w:sz w:val="18"/>
          <w:lang w:val="en-US" w:eastAsia="zh-CN"/>
        </w:rPr>
      </w:pPr>
      <w:r>
        <w:rPr>
          <w:rFonts w:hint="eastAsia" w:ascii="宋体" w:hAnsi="宋体" w:eastAsia="宋体" w:cs="宋体"/>
          <w:sz w:val="18"/>
        </w:rPr>
        <w:t>图4-1  SCOS</w:t>
      </w:r>
      <w:r>
        <w:rPr>
          <w:rFonts w:hint="eastAsia" w:ascii="宋体" w:hAnsi="宋体" w:eastAsia="宋体" w:cs="宋体"/>
          <w:sz w:val="18"/>
          <w:lang w:val="en-US" w:eastAsia="zh-CN"/>
        </w:rPr>
        <w:t>数据流架构图</w:t>
      </w:r>
    </w:p>
    <w:p w14:paraId="017C2BAB">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【数据获取/订阅接口明细】</w:t>
      </w:r>
    </w:p>
    <w:tbl>
      <w:tblPr>
        <w:tblStyle w:val="31"/>
        <w:tblW w:w="10464" w:type="dxa"/>
        <w:tblInd w:w="-1073" w:type="dxa"/>
        <w:tblLayout w:type="fixed"/>
        <w:tblCellMar>
          <w:top w:w="0" w:type="dxa"/>
          <w:left w:w="108" w:type="dxa"/>
          <w:bottom w:w="0" w:type="dxa"/>
          <w:right w:w="108" w:type="dxa"/>
        </w:tblCellMar>
      </w:tblPr>
      <w:tblGrid>
        <w:gridCol w:w="1576"/>
        <w:gridCol w:w="1238"/>
        <w:gridCol w:w="1237"/>
        <w:gridCol w:w="1155"/>
        <w:gridCol w:w="1120"/>
        <w:gridCol w:w="1153"/>
        <w:gridCol w:w="2985"/>
      </w:tblGrid>
      <w:tr w14:paraId="480862CF">
        <w:trPr>
          <w:cantSplit/>
          <w:trHeight w:val="360" w:hRule="atLeast"/>
          <w:tblHeader/>
        </w:trPr>
        <w:tc>
          <w:tcPr>
            <w:tcW w:w="1576" w:type="dxa"/>
            <w:vAlign w:val="center"/>
          </w:tcPr>
          <w:p w14:paraId="6E8D693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238" w:type="dxa"/>
            <w:vAlign w:val="center"/>
          </w:tcPr>
          <w:p w14:paraId="2C5BF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237" w:type="dxa"/>
            <w:vAlign w:val="center"/>
          </w:tcPr>
          <w:p w14:paraId="3C5721F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获取内容</w:t>
            </w:r>
          </w:p>
        </w:tc>
        <w:tc>
          <w:tcPr>
            <w:tcW w:w="1155" w:type="dxa"/>
            <w:vAlign w:val="center"/>
          </w:tcPr>
          <w:p w14:paraId="3BD3B3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120" w:type="dxa"/>
            <w:vAlign w:val="center"/>
          </w:tcPr>
          <w:p w14:paraId="65C95D8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153" w:type="dxa"/>
            <w:vAlign w:val="center"/>
          </w:tcPr>
          <w:p w14:paraId="2419ED4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2985" w:type="dxa"/>
            <w:vAlign w:val="center"/>
          </w:tcPr>
          <w:p w14:paraId="7D3C2C4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2743F5CA">
        <w:trPr>
          <w:cantSplit/>
          <w:trHeight w:val="400" w:hRule="atLeast"/>
        </w:trPr>
        <w:tc>
          <w:tcPr>
            <w:tcW w:w="1576" w:type="dxa"/>
            <w:vAlign w:val="center"/>
          </w:tcPr>
          <w:p w14:paraId="032A896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SCOS-CRM-001</w:t>
            </w:r>
          </w:p>
        </w:tc>
        <w:tc>
          <w:tcPr>
            <w:tcW w:w="1238" w:type="dxa"/>
            <w:vAlign w:val="center"/>
          </w:tcPr>
          <w:p w14:paraId="017B20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CRM→SCOS</w:t>
            </w:r>
          </w:p>
        </w:tc>
        <w:tc>
          <w:tcPr>
            <w:tcW w:w="1237" w:type="dxa"/>
            <w:vAlign w:val="center"/>
          </w:tcPr>
          <w:p w14:paraId="113CB0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每日出货计划</w:t>
            </w:r>
          </w:p>
        </w:tc>
        <w:tc>
          <w:tcPr>
            <w:tcW w:w="1155" w:type="dxa"/>
            <w:vAlign w:val="center"/>
          </w:tcPr>
          <w:p w14:paraId="1AF9C1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C61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36E1E6B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每日计划发布后</w:t>
            </w:r>
          </w:p>
        </w:tc>
        <w:tc>
          <w:tcPr>
            <w:tcW w:w="2985" w:type="dxa"/>
            <w:vAlign w:val="center"/>
          </w:tcPr>
          <w:p w14:paraId="46FB6D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接收客户、产品和日期维度的成品需求量，作为库存投影、要货计划和供应链态势分析的需求依据。</w:t>
            </w:r>
          </w:p>
        </w:tc>
      </w:tr>
      <w:tr w14:paraId="28D3BB82">
        <w:trPr>
          <w:cantSplit/>
          <w:trHeight w:val="400" w:hRule="atLeast"/>
        </w:trPr>
        <w:tc>
          <w:tcPr>
            <w:tcW w:w="1576" w:type="dxa"/>
            <w:vAlign w:val="center"/>
          </w:tcPr>
          <w:p w14:paraId="3A422F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SCOS-CON-001</w:t>
            </w:r>
          </w:p>
        </w:tc>
        <w:tc>
          <w:tcPr>
            <w:tcW w:w="1238" w:type="dxa"/>
            <w:vAlign w:val="center"/>
          </w:tcPr>
          <w:p w14:paraId="444D30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33C29A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采购合同</w:t>
            </w:r>
          </w:p>
        </w:tc>
        <w:tc>
          <w:tcPr>
            <w:tcW w:w="1155" w:type="dxa"/>
            <w:vAlign w:val="center"/>
          </w:tcPr>
          <w:p w14:paraId="6ECEF65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9909B5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40901D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7C83FCA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接收采购合同、供应商、物料、数量、有效期和交付约定，支撑采购优化及要货条件校验。</w:t>
            </w:r>
          </w:p>
        </w:tc>
      </w:tr>
      <w:tr w14:paraId="26660094">
        <w:trPr>
          <w:cantSplit/>
          <w:trHeight w:val="400" w:hRule="atLeast"/>
        </w:trPr>
        <w:tc>
          <w:tcPr>
            <w:tcW w:w="1576" w:type="dxa"/>
            <w:vAlign w:val="center"/>
          </w:tcPr>
          <w:p w14:paraId="0050C8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SCOS-CON-002</w:t>
            </w:r>
          </w:p>
        </w:tc>
        <w:tc>
          <w:tcPr>
            <w:tcW w:w="1238" w:type="dxa"/>
            <w:vAlign w:val="center"/>
          </w:tcPr>
          <w:p w14:paraId="43C047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404350B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销售合同</w:t>
            </w:r>
          </w:p>
        </w:tc>
        <w:tc>
          <w:tcPr>
            <w:tcW w:w="1155" w:type="dxa"/>
            <w:vAlign w:val="center"/>
          </w:tcPr>
          <w:p w14:paraId="56874E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B7DAB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6EBB8A2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53D9829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接收销售合同及客户交付约定，补充需求优先级、履约约束和驾驶舱合同分析口径。</w:t>
            </w:r>
          </w:p>
        </w:tc>
      </w:tr>
      <w:tr w14:paraId="3C5BD366">
        <w:trPr>
          <w:cantSplit/>
          <w:trHeight w:val="400" w:hRule="atLeast"/>
        </w:trPr>
        <w:tc>
          <w:tcPr>
            <w:tcW w:w="1576" w:type="dxa"/>
            <w:vAlign w:val="center"/>
          </w:tcPr>
          <w:p w14:paraId="648D20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SCOS-SAP-001</w:t>
            </w:r>
          </w:p>
        </w:tc>
        <w:tc>
          <w:tcPr>
            <w:tcW w:w="1238" w:type="dxa"/>
            <w:vAlign w:val="center"/>
          </w:tcPr>
          <w:p w14:paraId="6AC85B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7C7D0D0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主数据</w:t>
            </w:r>
          </w:p>
        </w:tc>
        <w:tc>
          <w:tcPr>
            <w:tcW w:w="1155" w:type="dxa"/>
            <w:vAlign w:val="center"/>
          </w:tcPr>
          <w:p w14:paraId="2964D1A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13991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批量推送+补偿拉取</w:t>
            </w:r>
          </w:p>
        </w:tc>
        <w:tc>
          <w:tcPr>
            <w:tcW w:w="1153" w:type="dxa"/>
            <w:vAlign w:val="center"/>
          </w:tcPr>
          <w:p w14:paraId="4A612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每日T+1</w:t>
            </w:r>
          </w:p>
        </w:tc>
        <w:tc>
          <w:tcPr>
            <w:tcW w:w="2985" w:type="dxa"/>
            <w:vAlign w:val="center"/>
          </w:tcPr>
          <w:p w14:paraId="79DD2B7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接收物料、供应商、客户、组织、仓库、储罐和设备等主数据，统一SCOS编码和业务范围。</w:t>
            </w:r>
          </w:p>
        </w:tc>
      </w:tr>
      <w:tr w14:paraId="44D365DE">
        <w:trPr>
          <w:cantSplit/>
          <w:trHeight w:val="400" w:hRule="atLeast"/>
        </w:trPr>
        <w:tc>
          <w:tcPr>
            <w:tcW w:w="1576" w:type="dxa"/>
            <w:vAlign w:val="center"/>
          </w:tcPr>
          <w:p w14:paraId="15FE818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SCOS-SAP-002</w:t>
            </w:r>
          </w:p>
        </w:tc>
        <w:tc>
          <w:tcPr>
            <w:tcW w:w="1238" w:type="dxa"/>
            <w:vAlign w:val="center"/>
          </w:tcPr>
          <w:p w14:paraId="452E2F0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5AA1AFA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业务数据</w:t>
            </w:r>
          </w:p>
        </w:tc>
        <w:tc>
          <w:tcPr>
            <w:tcW w:w="1155" w:type="dxa"/>
            <w:vAlign w:val="center"/>
          </w:tcPr>
          <w:p w14:paraId="1E5CD8C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BB997C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推送+定时拉取</w:t>
            </w:r>
          </w:p>
        </w:tc>
        <w:tc>
          <w:tcPr>
            <w:tcW w:w="1153" w:type="dxa"/>
            <w:vAlign w:val="center"/>
          </w:tcPr>
          <w:p w14:paraId="2F5A8B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事件触发+每日补偿</w:t>
            </w:r>
          </w:p>
        </w:tc>
        <w:tc>
          <w:tcPr>
            <w:tcW w:w="2985" w:type="dxa"/>
            <w:vAlign w:val="center"/>
          </w:tcPr>
          <w:p w14:paraId="421882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接收订单、交易、价格、BOM、未结采购/生产订单、库存、在途、费用池、应收应付和折旧等数据，支撑六大模块计算与对账。</w:t>
            </w:r>
          </w:p>
        </w:tc>
      </w:tr>
      <w:tr w14:paraId="10ABD574">
        <w:trPr>
          <w:cantSplit/>
          <w:trHeight w:val="400" w:hRule="atLeast"/>
        </w:trPr>
        <w:tc>
          <w:tcPr>
            <w:tcW w:w="1576" w:type="dxa"/>
            <w:vAlign w:val="center"/>
          </w:tcPr>
          <w:p w14:paraId="0047D6D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SCOS-WMS-001</w:t>
            </w:r>
          </w:p>
        </w:tc>
        <w:tc>
          <w:tcPr>
            <w:tcW w:w="1238" w:type="dxa"/>
            <w:vAlign w:val="center"/>
          </w:tcPr>
          <w:p w14:paraId="57822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F0E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原辅包在库量</w:t>
            </w:r>
          </w:p>
        </w:tc>
        <w:tc>
          <w:tcPr>
            <w:tcW w:w="1155" w:type="dxa"/>
            <w:vAlign w:val="center"/>
          </w:tcPr>
          <w:p w14:paraId="2A1A90E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CCE1F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54B11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2F54C03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接收原料、辅料和包材的可用库存、锁定量及库位状态，支撑欠料分析、采购优化和要货计划。</w:t>
            </w:r>
          </w:p>
        </w:tc>
      </w:tr>
      <w:tr w14:paraId="2B95B3E9">
        <w:trPr>
          <w:cantSplit/>
          <w:trHeight w:val="400" w:hRule="atLeast"/>
        </w:trPr>
        <w:tc>
          <w:tcPr>
            <w:tcW w:w="1576" w:type="dxa"/>
            <w:vAlign w:val="center"/>
          </w:tcPr>
          <w:p w14:paraId="34EA23D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SCOS-WMS-002</w:t>
            </w:r>
          </w:p>
        </w:tc>
        <w:tc>
          <w:tcPr>
            <w:tcW w:w="1238" w:type="dxa"/>
            <w:vAlign w:val="center"/>
          </w:tcPr>
          <w:p w14:paraId="7F6F4F1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1538EF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成品库存水位</w:t>
            </w:r>
          </w:p>
        </w:tc>
        <w:tc>
          <w:tcPr>
            <w:tcW w:w="1155" w:type="dxa"/>
            <w:vAlign w:val="center"/>
          </w:tcPr>
          <w:p w14:paraId="6FD31A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38A961F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34AE09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010529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接收成品现存量、可用量和库龄状态，支撑库存投影、风险预警和库存健康度评价。</w:t>
            </w:r>
          </w:p>
        </w:tc>
      </w:tr>
      <w:tr w14:paraId="6A1CF1A4">
        <w:trPr>
          <w:cantSplit/>
          <w:trHeight w:val="400" w:hRule="atLeast"/>
        </w:trPr>
        <w:tc>
          <w:tcPr>
            <w:tcW w:w="1576" w:type="dxa"/>
            <w:vAlign w:val="center"/>
          </w:tcPr>
          <w:p w14:paraId="7831D3E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SCOS-WMS-003</w:t>
            </w:r>
          </w:p>
        </w:tc>
        <w:tc>
          <w:tcPr>
            <w:tcW w:w="1238" w:type="dxa"/>
            <w:vAlign w:val="center"/>
          </w:tcPr>
          <w:p w14:paraId="408FD7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5184BDE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入库原料批次</w:t>
            </w:r>
          </w:p>
        </w:tc>
        <w:tc>
          <w:tcPr>
            <w:tcW w:w="1155" w:type="dxa"/>
            <w:vAlign w:val="center"/>
          </w:tcPr>
          <w:p w14:paraId="2EF6013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A811F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E0CC7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入库确认后</w:t>
            </w:r>
          </w:p>
        </w:tc>
        <w:tc>
          <w:tcPr>
            <w:tcW w:w="2985" w:type="dxa"/>
            <w:vAlign w:val="center"/>
          </w:tcPr>
          <w:p w14:paraId="5B65A8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接收入库批次、物料、数量、时间和库位信息，建立原料批次与成本归集的追溯入口。</w:t>
            </w:r>
          </w:p>
        </w:tc>
      </w:tr>
      <w:tr w14:paraId="61862A81">
        <w:trPr>
          <w:cantSplit/>
          <w:trHeight w:val="400" w:hRule="atLeast"/>
        </w:trPr>
        <w:tc>
          <w:tcPr>
            <w:tcW w:w="1576" w:type="dxa"/>
            <w:vAlign w:val="center"/>
          </w:tcPr>
          <w:p w14:paraId="1F84E7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SCOS-WMS-004</w:t>
            </w:r>
          </w:p>
        </w:tc>
        <w:tc>
          <w:tcPr>
            <w:tcW w:w="1238" w:type="dxa"/>
            <w:vAlign w:val="center"/>
          </w:tcPr>
          <w:p w14:paraId="1C4BC7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DA37BC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在途库存</w:t>
            </w:r>
          </w:p>
        </w:tc>
        <w:tc>
          <w:tcPr>
            <w:tcW w:w="1155" w:type="dxa"/>
            <w:vAlign w:val="center"/>
          </w:tcPr>
          <w:p w14:paraId="5452D7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A54488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562F9CA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状态变更后</w:t>
            </w:r>
          </w:p>
        </w:tc>
        <w:tc>
          <w:tcPr>
            <w:tcW w:w="2985" w:type="dxa"/>
            <w:vAlign w:val="center"/>
          </w:tcPr>
          <w:p w14:paraId="4F262A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接收运输中、生产中及待入库数量和预计到达时间，用于库存优化、要货缺口计算和供应风险判断。</w:t>
            </w:r>
          </w:p>
        </w:tc>
      </w:tr>
      <w:tr w14:paraId="5A1468D8">
        <w:trPr>
          <w:cantSplit/>
          <w:trHeight w:val="400" w:hRule="atLeast"/>
        </w:trPr>
        <w:tc>
          <w:tcPr>
            <w:tcW w:w="1576" w:type="dxa"/>
            <w:vAlign w:val="center"/>
          </w:tcPr>
          <w:p w14:paraId="57EAC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SCOS-TMS-001</w:t>
            </w:r>
          </w:p>
        </w:tc>
        <w:tc>
          <w:tcPr>
            <w:tcW w:w="1238" w:type="dxa"/>
            <w:vAlign w:val="center"/>
          </w:tcPr>
          <w:p w14:paraId="0846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3E00D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原料入场车次批次表</w:t>
            </w:r>
          </w:p>
        </w:tc>
        <w:tc>
          <w:tcPr>
            <w:tcW w:w="1155" w:type="dxa"/>
            <w:vAlign w:val="center"/>
          </w:tcPr>
          <w:p w14:paraId="11DB41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63557F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06C062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车辆入场后</w:t>
            </w:r>
          </w:p>
        </w:tc>
        <w:tc>
          <w:tcPr>
            <w:tcW w:w="2985" w:type="dxa"/>
            <w:vAlign w:val="center"/>
          </w:tcPr>
          <w:p w14:paraId="45243F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接收原料入场车次、供应商、物料、批次和时间，关联入厂物流与后续生产批次。</w:t>
            </w:r>
          </w:p>
        </w:tc>
      </w:tr>
      <w:tr w14:paraId="17C39575">
        <w:trPr>
          <w:cantSplit/>
          <w:trHeight w:val="400" w:hRule="atLeast"/>
        </w:trPr>
        <w:tc>
          <w:tcPr>
            <w:tcW w:w="1576" w:type="dxa"/>
            <w:vAlign w:val="center"/>
          </w:tcPr>
          <w:p w14:paraId="65859E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SCOS-TMS-002</w:t>
            </w:r>
          </w:p>
        </w:tc>
        <w:tc>
          <w:tcPr>
            <w:tcW w:w="1238" w:type="dxa"/>
            <w:vAlign w:val="center"/>
          </w:tcPr>
          <w:p w14:paraId="52928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79D60F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成品出厂批次表</w:t>
            </w:r>
          </w:p>
        </w:tc>
        <w:tc>
          <w:tcPr>
            <w:tcW w:w="1155" w:type="dxa"/>
            <w:vAlign w:val="center"/>
          </w:tcPr>
          <w:p w14:paraId="4129A4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CDB51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7E95D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车辆出厂后</w:t>
            </w:r>
          </w:p>
        </w:tc>
        <w:tc>
          <w:tcPr>
            <w:tcW w:w="2985" w:type="dxa"/>
            <w:vAlign w:val="center"/>
          </w:tcPr>
          <w:p w14:paraId="4E5910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接收成品出厂车次、销售交付及批次信息，关联销售履约和销售订单成本。</w:t>
            </w:r>
          </w:p>
        </w:tc>
      </w:tr>
      <w:tr w14:paraId="359B070F">
        <w:trPr>
          <w:cantSplit/>
          <w:trHeight w:val="400" w:hRule="atLeast"/>
        </w:trPr>
        <w:tc>
          <w:tcPr>
            <w:tcW w:w="1576" w:type="dxa"/>
            <w:vAlign w:val="center"/>
          </w:tcPr>
          <w:p w14:paraId="3F2F726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SCOS-TMS-003</w:t>
            </w:r>
          </w:p>
        </w:tc>
        <w:tc>
          <w:tcPr>
            <w:tcW w:w="1238" w:type="dxa"/>
            <w:vAlign w:val="center"/>
          </w:tcPr>
          <w:p w14:paraId="2D7A04B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43A7A1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物流信息表</w:t>
            </w:r>
          </w:p>
        </w:tc>
        <w:tc>
          <w:tcPr>
            <w:tcW w:w="1155" w:type="dxa"/>
            <w:vAlign w:val="center"/>
          </w:tcPr>
          <w:p w14:paraId="544462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61C261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3995B8D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运输状态变更后</w:t>
            </w:r>
          </w:p>
        </w:tc>
        <w:tc>
          <w:tcPr>
            <w:tcW w:w="2985" w:type="dxa"/>
            <w:vAlign w:val="center"/>
          </w:tcPr>
          <w:p w14:paraId="49F15F4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接收车辆、承运、在途状态和预计到达时间，支撑要货计划滚动调整与异常协调。</w:t>
            </w:r>
          </w:p>
        </w:tc>
      </w:tr>
      <w:tr w14:paraId="5371C8C0">
        <w:trPr>
          <w:cantSplit/>
          <w:trHeight w:val="400" w:hRule="atLeast"/>
        </w:trPr>
        <w:tc>
          <w:tcPr>
            <w:tcW w:w="1576" w:type="dxa"/>
            <w:vAlign w:val="center"/>
          </w:tcPr>
          <w:p w14:paraId="0D299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SCOS-MES-001</w:t>
            </w:r>
          </w:p>
        </w:tc>
        <w:tc>
          <w:tcPr>
            <w:tcW w:w="1238" w:type="dxa"/>
            <w:vAlign w:val="center"/>
          </w:tcPr>
          <w:p w14:paraId="111422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4319DAE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生产进度报工表</w:t>
            </w:r>
          </w:p>
        </w:tc>
        <w:tc>
          <w:tcPr>
            <w:tcW w:w="1155" w:type="dxa"/>
            <w:vAlign w:val="center"/>
          </w:tcPr>
          <w:p w14:paraId="189C3A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2750B1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611E34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报工完成后</w:t>
            </w:r>
          </w:p>
        </w:tc>
        <w:tc>
          <w:tcPr>
            <w:tcW w:w="2985" w:type="dxa"/>
            <w:vAlign w:val="center"/>
          </w:tcPr>
          <w:p w14:paraId="62F6211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接收生产订单、工序、完成量和报工时间，更新库存投影并反馈计划执行状态。</w:t>
            </w:r>
          </w:p>
        </w:tc>
      </w:tr>
      <w:tr w14:paraId="0CB9653B">
        <w:trPr>
          <w:cantSplit/>
          <w:trHeight w:val="400" w:hRule="atLeast"/>
        </w:trPr>
        <w:tc>
          <w:tcPr>
            <w:tcW w:w="1576" w:type="dxa"/>
            <w:vAlign w:val="center"/>
          </w:tcPr>
          <w:p w14:paraId="4BF9F1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SCOS-MES-002</w:t>
            </w:r>
          </w:p>
        </w:tc>
        <w:tc>
          <w:tcPr>
            <w:tcW w:w="1238" w:type="dxa"/>
            <w:vAlign w:val="center"/>
          </w:tcPr>
          <w:p w14:paraId="3E000A5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03401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生产批次表</w:t>
            </w:r>
          </w:p>
        </w:tc>
        <w:tc>
          <w:tcPr>
            <w:tcW w:w="1155" w:type="dxa"/>
            <w:vAlign w:val="center"/>
          </w:tcPr>
          <w:p w14:paraId="3E07AF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464082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16153B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批次创建或完工后</w:t>
            </w:r>
          </w:p>
        </w:tc>
        <w:tc>
          <w:tcPr>
            <w:tcW w:w="2985" w:type="dxa"/>
            <w:vAlign w:val="center"/>
          </w:tcPr>
          <w:p w14:paraId="2BADF2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接收生产批次、订单、物料、产量和时间信息，建立上下游批次关系并支撑成本归集。</w:t>
            </w:r>
          </w:p>
        </w:tc>
      </w:tr>
      <w:tr w14:paraId="3D69E295">
        <w:trPr>
          <w:cantSplit/>
          <w:trHeight w:val="400" w:hRule="atLeast"/>
        </w:trPr>
        <w:tc>
          <w:tcPr>
            <w:tcW w:w="1576" w:type="dxa"/>
            <w:vAlign w:val="center"/>
          </w:tcPr>
          <w:p w14:paraId="650DB51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SCOS-MES-003</w:t>
            </w:r>
          </w:p>
        </w:tc>
        <w:tc>
          <w:tcPr>
            <w:tcW w:w="1238" w:type="dxa"/>
            <w:vAlign w:val="center"/>
          </w:tcPr>
          <w:p w14:paraId="3E653F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33191A3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工艺及原辅料用量成本表</w:t>
            </w:r>
          </w:p>
        </w:tc>
        <w:tc>
          <w:tcPr>
            <w:tcW w:w="1155" w:type="dxa"/>
            <w:vAlign w:val="center"/>
          </w:tcPr>
          <w:p w14:paraId="56CC93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4A9F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0DBABCE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工序报工或日结后</w:t>
            </w:r>
          </w:p>
        </w:tc>
        <w:tc>
          <w:tcPr>
            <w:tcW w:w="2985" w:type="dxa"/>
            <w:vAlign w:val="center"/>
          </w:tcPr>
          <w:p w14:paraId="7DBAF2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接收工艺路线、投入产出、原辅料用量和成本事实，支撑批次成本及生产订单成本计算。</w:t>
            </w:r>
          </w:p>
        </w:tc>
      </w:tr>
      <w:tr w14:paraId="279AC29D">
        <w:trPr>
          <w:cantSplit/>
          <w:trHeight w:val="400" w:hRule="atLeast"/>
        </w:trPr>
        <w:tc>
          <w:tcPr>
            <w:tcW w:w="1576" w:type="dxa"/>
            <w:vAlign w:val="center"/>
          </w:tcPr>
          <w:p w14:paraId="147A8AE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SCOS-DCS-001</w:t>
            </w:r>
          </w:p>
        </w:tc>
        <w:tc>
          <w:tcPr>
            <w:tcW w:w="1238" w:type="dxa"/>
            <w:vAlign w:val="center"/>
          </w:tcPr>
          <w:p w14:paraId="06C5AF9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DCS→SCOS</w:t>
            </w:r>
          </w:p>
        </w:tc>
        <w:tc>
          <w:tcPr>
            <w:tcW w:w="1237" w:type="dxa"/>
            <w:vAlign w:val="center"/>
          </w:tcPr>
          <w:p w14:paraId="461720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自动化设备数据总表</w:t>
            </w:r>
          </w:p>
        </w:tc>
        <w:tc>
          <w:tcPr>
            <w:tcW w:w="1155" w:type="dxa"/>
            <w:vAlign w:val="center"/>
          </w:tcPr>
          <w:p w14:paraId="7185E42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61105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实时推送</w:t>
            </w:r>
          </w:p>
        </w:tc>
        <w:tc>
          <w:tcPr>
            <w:tcW w:w="1153" w:type="dxa"/>
            <w:vAlign w:val="center"/>
          </w:tcPr>
          <w:p w14:paraId="52C6A5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实时/分钟级</w:t>
            </w:r>
          </w:p>
        </w:tc>
        <w:tc>
          <w:tcPr>
            <w:tcW w:w="2985" w:type="dxa"/>
            <w:vAlign w:val="center"/>
          </w:tcPr>
          <w:p w14:paraId="01B412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接收设备运行、计量、能耗和关键过程数据，补充批次边界、产量及成本事实。</w:t>
            </w:r>
          </w:p>
        </w:tc>
      </w:tr>
      <w:tr w14:paraId="3262BCCD">
        <w:trPr>
          <w:cantSplit/>
          <w:trHeight w:val="400" w:hRule="atLeast"/>
        </w:trPr>
        <w:tc>
          <w:tcPr>
            <w:tcW w:w="1576" w:type="dxa"/>
            <w:vAlign w:val="center"/>
          </w:tcPr>
          <w:p w14:paraId="5AC67A7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SCOS-QMS-001</w:t>
            </w:r>
          </w:p>
        </w:tc>
        <w:tc>
          <w:tcPr>
            <w:tcW w:w="1238" w:type="dxa"/>
            <w:vAlign w:val="center"/>
          </w:tcPr>
          <w:p w14:paraId="16E00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QMS/LIMS→SCOS</w:t>
            </w:r>
          </w:p>
        </w:tc>
        <w:tc>
          <w:tcPr>
            <w:tcW w:w="1237" w:type="dxa"/>
            <w:vAlign w:val="center"/>
          </w:tcPr>
          <w:p w14:paraId="08512D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质检结果表</w:t>
            </w:r>
          </w:p>
        </w:tc>
        <w:tc>
          <w:tcPr>
            <w:tcW w:w="1155" w:type="dxa"/>
            <w:vAlign w:val="center"/>
          </w:tcPr>
          <w:p w14:paraId="2CCAA9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218E51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定时拉取+事件补充</w:t>
            </w:r>
          </w:p>
        </w:tc>
        <w:tc>
          <w:tcPr>
            <w:tcW w:w="1153" w:type="dxa"/>
            <w:vAlign w:val="center"/>
          </w:tcPr>
          <w:p w14:paraId="1DF3A5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批次检验完成后</w:t>
            </w:r>
          </w:p>
        </w:tc>
        <w:tc>
          <w:tcPr>
            <w:tcW w:w="2985" w:type="dxa"/>
            <w:vAlign w:val="center"/>
          </w:tcPr>
          <w:p w14:paraId="5826E96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接收检验批、质量状态和判定结果，用于批次合格量、质量追溯及驾驶舱质量指标。</w:t>
            </w:r>
          </w:p>
        </w:tc>
      </w:tr>
    </w:tbl>
    <w:p w14:paraId="262B24B8">
      <w:pPr>
        <w:pStyle w:val="5"/>
        <w:spacing w:after="120"/>
        <w:jc w:val="both"/>
        <w:rPr>
          <w:rFonts w:ascii="Times New Roman" w:hAnsi="Times New Roman" w:eastAsia="宋体"/>
          <w:sz w:val="18"/>
        </w:rPr>
      </w:pPr>
    </w:p>
    <w:p w14:paraId="141173AC">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【数据下发接口明细】</w:t>
      </w:r>
    </w:p>
    <w:tbl>
      <w:tblPr>
        <w:tblStyle w:val="31"/>
        <w:tblW w:w="10464" w:type="dxa"/>
        <w:tblInd w:w="-1073" w:type="dxa"/>
        <w:tblLayout w:type="fixed"/>
        <w:tblCellMar>
          <w:top w:w="0" w:type="dxa"/>
          <w:left w:w="108" w:type="dxa"/>
          <w:bottom w:w="0" w:type="dxa"/>
          <w:right w:w="108" w:type="dxa"/>
        </w:tblCellMar>
      </w:tblPr>
      <w:tblGrid>
        <w:gridCol w:w="1474"/>
        <w:gridCol w:w="1183"/>
        <w:gridCol w:w="1066"/>
        <w:gridCol w:w="1129"/>
        <w:gridCol w:w="1096"/>
        <w:gridCol w:w="1096"/>
        <w:gridCol w:w="3420"/>
      </w:tblGrid>
      <w:tr w14:paraId="0019F11B">
        <w:trPr>
          <w:cantSplit/>
          <w:trHeight w:val="360" w:hRule="atLeast"/>
          <w:tblHeader/>
        </w:trPr>
        <w:tc>
          <w:tcPr>
            <w:tcW w:w="1474" w:type="dxa"/>
            <w:vAlign w:val="center"/>
          </w:tcPr>
          <w:p w14:paraId="11F3B1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183" w:type="dxa"/>
            <w:vAlign w:val="center"/>
          </w:tcPr>
          <w:p w14:paraId="21AA656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066" w:type="dxa"/>
            <w:vAlign w:val="center"/>
          </w:tcPr>
          <w:p w14:paraId="5C016CB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下发内容</w:t>
            </w:r>
          </w:p>
        </w:tc>
        <w:tc>
          <w:tcPr>
            <w:tcW w:w="1129" w:type="dxa"/>
            <w:vAlign w:val="center"/>
          </w:tcPr>
          <w:p w14:paraId="78CF5D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096" w:type="dxa"/>
            <w:vAlign w:val="center"/>
          </w:tcPr>
          <w:p w14:paraId="3660C3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096" w:type="dxa"/>
            <w:vAlign w:val="center"/>
          </w:tcPr>
          <w:p w14:paraId="186EE1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3420" w:type="dxa"/>
            <w:vAlign w:val="center"/>
          </w:tcPr>
          <w:p w14:paraId="18840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53FDD3A0">
        <w:trPr>
          <w:cantSplit/>
          <w:trHeight w:val="400" w:hRule="atLeast"/>
        </w:trPr>
        <w:tc>
          <w:tcPr>
            <w:tcW w:w="1474" w:type="dxa"/>
            <w:vAlign w:val="center"/>
          </w:tcPr>
          <w:p w14:paraId="6564F0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SCOS-CON-003</w:t>
            </w:r>
          </w:p>
        </w:tc>
        <w:tc>
          <w:tcPr>
            <w:tcW w:w="1183" w:type="dxa"/>
            <w:vAlign w:val="center"/>
          </w:tcPr>
          <w:p w14:paraId="3238CC5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w:t>
            </w:r>
          </w:p>
        </w:tc>
        <w:tc>
          <w:tcPr>
            <w:tcW w:w="1066" w:type="dxa"/>
            <w:vAlign w:val="center"/>
          </w:tcPr>
          <w:p w14:paraId="47CE23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原辅包采购需求表</w:t>
            </w:r>
          </w:p>
        </w:tc>
        <w:tc>
          <w:tcPr>
            <w:tcW w:w="1129" w:type="dxa"/>
            <w:vAlign w:val="center"/>
          </w:tcPr>
          <w:p w14:paraId="484A05C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2ECF8F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5CB419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采购方案发布后</w:t>
            </w:r>
          </w:p>
        </w:tc>
        <w:tc>
          <w:tcPr>
            <w:tcW w:w="3420" w:type="dxa"/>
            <w:vAlign w:val="center"/>
          </w:tcPr>
          <w:p w14:paraId="0F671DE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下发已确认的原辅包采购需求，供合同系统形成或调整采购合同并反馈执行状态。</w:t>
            </w:r>
          </w:p>
        </w:tc>
      </w:tr>
      <w:tr w14:paraId="0E5BB6FC">
        <w:trPr>
          <w:cantSplit/>
          <w:trHeight w:val="400" w:hRule="atLeast"/>
        </w:trPr>
        <w:tc>
          <w:tcPr>
            <w:tcW w:w="1474" w:type="dxa"/>
            <w:vAlign w:val="center"/>
          </w:tcPr>
          <w:p w14:paraId="70B7B8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SCOS-SAP-003</w:t>
            </w:r>
          </w:p>
        </w:tc>
        <w:tc>
          <w:tcPr>
            <w:tcW w:w="1183" w:type="dxa"/>
            <w:vAlign w:val="center"/>
          </w:tcPr>
          <w:p w14:paraId="45E33B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2AB8BDA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7847A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1125E58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D19A47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生产计划发布后</w:t>
            </w:r>
          </w:p>
        </w:tc>
        <w:tc>
          <w:tcPr>
            <w:tcW w:w="3420" w:type="dxa"/>
            <w:vAlign w:val="center"/>
          </w:tcPr>
          <w:p w14:paraId="44D66F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下发已确认的生产订单建议，驱动SAP创建正式生产订单并返回业务单号。</w:t>
            </w:r>
          </w:p>
        </w:tc>
      </w:tr>
      <w:tr w14:paraId="23C52A97">
        <w:trPr>
          <w:cantSplit/>
          <w:trHeight w:val="400" w:hRule="atLeast"/>
        </w:trPr>
        <w:tc>
          <w:tcPr>
            <w:tcW w:w="1474" w:type="dxa"/>
            <w:vAlign w:val="center"/>
          </w:tcPr>
          <w:p w14:paraId="582FD03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SCOS-SAP-004</w:t>
            </w:r>
          </w:p>
        </w:tc>
        <w:tc>
          <w:tcPr>
            <w:tcW w:w="1183" w:type="dxa"/>
            <w:vAlign w:val="center"/>
          </w:tcPr>
          <w:p w14:paraId="55C2E3D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1C6096F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2D5E83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7B5926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8D8BF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要货计划确认后</w:t>
            </w:r>
          </w:p>
        </w:tc>
        <w:tc>
          <w:tcPr>
            <w:tcW w:w="3420" w:type="dxa"/>
            <w:vAlign w:val="center"/>
          </w:tcPr>
          <w:p w14:paraId="7FF176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下发已确认的要货计划，作为采购执行、供应商协同和到货跟踪的业务依据。</w:t>
            </w:r>
          </w:p>
        </w:tc>
      </w:tr>
      <w:tr w14:paraId="5E1606B1">
        <w:trPr>
          <w:cantSplit/>
          <w:trHeight w:val="400" w:hRule="atLeast"/>
        </w:trPr>
        <w:tc>
          <w:tcPr>
            <w:tcW w:w="1474" w:type="dxa"/>
            <w:vAlign w:val="center"/>
          </w:tcPr>
          <w:p w14:paraId="1A604F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SCOS-WMS-005</w:t>
            </w:r>
          </w:p>
        </w:tc>
        <w:tc>
          <w:tcPr>
            <w:tcW w:w="1183" w:type="dxa"/>
            <w:vAlign w:val="center"/>
          </w:tcPr>
          <w:p w14:paraId="25DF90C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w:t>
            </w:r>
          </w:p>
        </w:tc>
        <w:tc>
          <w:tcPr>
            <w:tcW w:w="1066" w:type="dxa"/>
            <w:vAlign w:val="center"/>
          </w:tcPr>
          <w:p w14:paraId="38FC274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玉米淀粉日投料需求</w:t>
            </w:r>
          </w:p>
        </w:tc>
        <w:tc>
          <w:tcPr>
            <w:tcW w:w="1129" w:type="dxa"/>
            <w:vAlign w:val="center"/>
          </w:tcPr>
          <w:p w14:paraId="038CAE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B8D46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3BA7D7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每日计划发布或调整后</w:t>
            </w:r>
          </w:p>
        </w:tc>
        <w:tc>
          <w:tcPr>
            <w:tcW w:w="3420" w:type="dxa"/>
            <w:vAlign w:val="center"/>
          </w:tcPr>
          <w:p w14:paraId="4DF996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下发日投料品种、数量和时间要求，驱动仓储备料、投料及执行反馈。</w:t>
            </w:r>
          </w:p>
        </w:tc>
      </w:tr>
      <w:tr w14:paraId="16ECF97C">
        <w:trPr>
          <w:cantSplit/>
          <w:trHeight w:val="400" w:hRule="atLeast"/>
        </w:trPr>
        <w:tc>
          <w:tcPr>
            <w:tcW w:w="1474" w:type="dxa"/>
            <w:vAlign w:val="center"/>
          </w:tcPr>
          <w:p w14:paraId="44D1B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SCOS-TMS-004</w:t>
            </w:r>
          </w:p>
        </w:tc>
        <w:tc>
          <w:tcPr>
            <w:tcW w:w="1183" w:type="dxa"/>
            <w:vAlign w:val="center"/>
          </w:tcPr>
          <w:p w14:paraId="739DBE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w:t>
            </w:r>
          </w:p>
        </w:tc>
        <w:tc>
          <w:tcPr>
            <w:tcW w:w="1066" w:type="dxa"/>
            <w:vAlign w:val="center"/>
          </w:tcPr>
          <w:p w14:paraId="2EE4E1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42715C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884B5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EFAA3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要货计划确认或调整后</w:t>
            </w:r>
          </w:p>
        </w:tc>
        <w:tc>
          <w:tcPr>
            <w:tcW w:w="3420" w:type="dxa"/>
            <w:vAlign w:val="center"/>
          </w:tcPr>
          <w:p w14:paraId="59182A6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下发供应商到厂计划、物料、数量和时间窗，驱动运输计划、车辆调度和到厂反馈。</w:t>
            </w:r>
          </w:p>
        </w:tc>
      </w:tr>
      <w:tr w14:paraId="7CBA203F">
        <w:trPr>
          <w:cantSplit/>
          <w:trHeight w:val="400" w:hRule="atLeast"/>
        </w:trPr>
        <w:tc>
          <w:tcPr>
            <w:tcW w:w="1474" w:type="dxa"/>
            <w:vAlign w:val="center"/>
          </w:tcPr>
          <w:p w14:paraId="7A0B49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SCOS-MES-004</w:t>
            </w:r>
          </w:p>
        </w:tc>
        <w:tc>
          <w:tcPr>
            <w:tcW w:w="1183" w:type="dxa"/>
            <w:vAlign w:val="center"/>
          </w:tcPr>
          <w:p w14:paraId="0741BA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w:t>
            </w:r>
          </w:p>
        </w:tc>
        <w:tc>
          <w:tcPr>
            <w:tcW w:w="1066" w:type="dxa"/>
            <w:vAlign w:val="center"/>
          </w:tcPr>
          <w:p w14:paraId="2D7B24B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42249ED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097C6AD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6F13D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生产订单确认后</w:t>
            </w:r>
          </w:p>
        </w:tc>
        <w:tc>
          <w:tcPr>
            <w:tcW w:w="3420" w:type="dxa"/>
            <w:vAlign w:val="center"/>
          </w:tcPr>
          <w:p w14:paraId="022B823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下发生产订单、物料、数量和计划时间，驱动生产组织并回传进度、产量和批次。</w:t>
            </w:r>
          </w:p>
        </w:tc>
      </w:tr>
    </w:tbl>
    <w:p w14:paraId="606EE4CB">
      <w:pPr>
        <w:pStyle w:val="5"/>
        <w:spacing w:after="120"/>
        <w:jc w:val="both"/>
        <w:rPr>
          <w:rFonts w:ascii="Times New Roman" w:hAnsi="Times New Roman" w:eastAsia="宋体"/>
          <w:sz w:val="18"/>
        </w:rPr>
      </w:pPr>
    </w:p>
    <w:p w14:paraId="1C0988AD">
      <w:pPr>
        <w:pStyle w:val="3"/>
        <w:keepNext/>
        <w:rPr>
          <w:rFonts w:hint="eastAsia" w:ascii="黑体" w:hAnsi="黑体" w:eastAsia="黑体" w:cs="黑体"/>
        </w:rPr>
      </w:pPr>
      <w:bookmarkStart w:id="54" w:name="_Toc1346846518"/>
      <w:bookmarkStart w:id="55" w:name="_Toc25033"/>
      <w:bookmarkStart w:id="56" w:name="_SCOS数据实体与字段映射表"/>
      <w:r>
        <w:rPr>
          <w:rFonts w:hint="eastAsia" w:ascii="黑体" w:hAnsi="黑体" w:eastAsia="黑体" w:cs="黑体"/>
          <w:lang w:val="en-US" w:eastAsia="zh-CN"/>
        </w:rPr>
        <w:t>SCOS</w:t>
      </w:r>
      <w:r>
        <w:rPr>
          <w:rFonts w:hint="eastAsia" w:ascii="黑体" w:hAnsi="黑体" w:eastAsia="黑体" w:cs="黑体"/>
        </w:rPr>
        <w:t>数据实体与字段映射表</w:t>
      </w:r>
      <w:bookmarkEnd w:id="54"/>
      <w:bookmarkEnd w:id="55"/>
    </w:p>
    <w:bookmarkEnd w:id="56"/>
    <w:p w14:paraId="0AF72F97">
      <w:pPr>
        <w:spacing w:before="0" w:after="160" w:line="240" w:lineRule="auto"/>
        <w:ind w:firstLine="420" w:firstLineChars="0"/>
        <w:jc w:val="both"/>
        <w:rPr>
          <w:rFonts w:hint="eastAsia" w:ascii="宋体" w:hAnsi="宋体" w:eastAsia="宋体" w:cs="宋体"/>
          <w:sz w:val="21"/>
          <w:szCs w:val="21"/>
        </w:rPr>
      </w:pPr>
      <w:r>
        <w:rPr>
          <w:rFonts w:hint="eastAsia" w:ascii="宋体" w:hAnsi="宋体" w:eastAsia="宋体" w:cs="宋体"/>
          <w:b w:val="0"/>
          <w:sz w:val="21"/>
          <w:szCs w:val="21"/>
        </w:rPr>
        <w:t>本节按当前关键业务流程定义SCOS逻辑数据实体及字段映射，覆盖库存优化、采购优化、要货计划、成本分摊和供应链驾驶舱。来源字段名标注“建议：”的内容为字段级接口对齐前的候选逻辑字段，正式设计时应替换为经源系统确认的物理字段。</w:t>
      </w:r>
    </w:p>
    <w:p w14:paraId="67FE2584">
      <w:pPr>
        <w:pStyle w:val="4"/>
        <w:bidi w:val="0"/>
        <w:rPr>
          <w:rFonts w:hint="eastAsia" w:ascii="黑体" w:hAnsi="黑体" w:eastAsia="黑体" w:cs="黑体"/>
        </w:rPr>
      </w:pPr>
      <w:bookmarkStart w:id="57" w:name="_Toc1971788646"/>
      <w:r>
        <w:rPr>
          <w:rFonts w:hint="eastAsia" w:ascii="黑体" w:hAnsi="黑体" w:eastAsia="黑体" w:cs="黑体"/>
        </w:rPr>
        <w:t>库存优化</w:t>
      </w:r>
      <w:bookmarkEnd w:id="57"/>
    </w:p>
    <w:p w14:paraId="175ED639">
      <w:pPr>
        <w:pStyle w:val="6"/>
        <w:bidi w:val="0"/>
      </w:pPr>
      <w:r>
        <w:t>库存策略版本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DD089D2">
      <w:pPr>
        <w:pStyle w:val="4"/>
        <w:bidi w:val="0"/>
        <w:rPr>
          <w:rFonts w:hint="eastAsia" w:ascii="黑体" w:hAnsi="黑体" w:eastAsia="黑体" w:cs="黑体"/>
        </w:rPr>
      </w:pPr>
      <w:bookmarkStart w:id="58" w:name="_Toc2031616465"/>
      <w:r>
        <w:rPr>
          <w:rFonts w:hint="eastAsia" w:ascii="黑体" w:hAnsi="黑体" w:eastAsia="黑体" w:cs="黑体"/>
        </w:rPr>
        <w:t>采购优化</w:t>
      </w:r>
      <w:bookmarkEnd w:id="58"/>
    </w:p>
    <w:p w14:paraId="1C461F29">
      <w:pPr>
        <w:pStyle w:val="6"/>
        <w:bidi w:val="0"/>
      </w:pPr>
      <w:r>
        <w:t>待采购需求</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4"/>
        <w:bidi w:val="0"/>
        <w:rPr>
          <w:rFonts w:hint="eastAsia" w:ascii="黑体" w:hAnsi="黑体" w:eastAsia="黑体" w:cs="黑体"/>
        </w:rPr>
      </w:pPr>
      <w:bookmarkStart w:id="59" w:name="_Toc387939955"/>
      <w:r>
        <w:rPr>
          <w:rFonts w:hint="eastAsia" w:ascii="黑体" w:hAnsi="黑体" w:eastAsia="黑体" w:cs="黑体"/>
        </w:rPr>
        <w:t>要货计划</w:t>
      </w:r>
      <w:bookmarkEnd w:id="59"/>
    </w:p>
    <w:p w14:paraId="4D1FC362">
      <w:pPr>
        <w:pStyle w:val="6"/>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6"/>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6"/>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6"/>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6"/>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6"/>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6"/>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6"/>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rPr>
          <w:rFonts w:hint="eastAsia" w:ascii="黑体" w:hAnsi="黑体" w:eastAsia="黑体" w:cs="黑体"/>
        </w:rPr>
      </w:pPr>
      <w:bookmarkStart w:id="60" w:name="_Toc346471393"/>
      <w:r>
        <w:rPr>
          <w:rFonts w:hint="eastAsia" w:ascii="黑体" w:hAnsi="黑体" w:eastAsia="黑体" w:cs="黑体"/>
        </w:rPr>
        <w:t>成本分摊</w:t>
      </w:r>
      <w:bookmarkEnd w:id="60"/>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8FAFD0">
      <w:pPr>
        <w:pStyle w:val="4"/>
        <w:bidi w:val="0"/>
        <w:rPr>
          <w:rFonts w:hint="eastAsia" w:ascii="黑体" w:hAnsi="黑体" w:eastAsia="黑体" w:cs="黑体"/>
        </w:rPr>
      </w:pPr>
      <w:bookmarkStart w:id="61" w:name="_Toc1316535134"/>
      <w:r>
        <w:rPr>
          <w:rFonts w:hint="eastAsia" w:ascii="黑体" w:hAnsi="黑体" w:eastAsia="黑体" w:cs="黑体"/>
        </w:rPr>
        <w:t>供应链驾驶舱</w:t>
      </w:r>
      <w:bookmarkEnd w:id="61"/>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5A2334DA">
      <w:pPr>
        <w:pStyle w:val="2"/>
        <w:keepNext/>
        <w:pageBreakBefore/>
        <w:rPr>
          <w:rFonts w:hint="eastAsia" w:ascii="黑体" w:hAnsi="黑体" w:eastAsia="黑体" w:cs="黑体"/>
          <w:color w:val="auto"/>
        </w:rPr>
      </w:pPr>
      <w:bookmarkStart w:id="62" w:name="_Toc1481982097"/>
      <w:bookmarkStart w:id="63" w:name="_【待优化-格式不对】SCOS集成接口规范"/>
      <w:r>
        <w:rPr>
          <w:rFonts w:hint="eastAsia" w:ascii="黑体" w:hAnsi="黑体" w:eastAsia="黑体" w:cs="黑体"/>
          <w:b/>
          <w:color w:val="auto"/>
          <w:sz w:val="32"/>
        </w:rPr>
        <w:t>SCOS集成接口规范</w:t>
      </w:r>
      <w:bookmarkEnd w:id="62"/>
    </w:p>
    <w:tbl>
      <w:tblPr>
        <w:tblStyle w:val="31"/>
        <w:tblW w:w="10496" w:type="dxa"/>
        <w:jc w:val="center"/>
        <w:tblLayout w:type="fixed"/>
        <w:tblCellMar>
          <w:top w:w="0" w:type="dxa"/>
          <w:left w:w="108" w:type="dxa"/>
          <w:bottom w:w="0" w:type="dxa"/>
          <w:right w:w="108" w:type="dxa"/>
        </w:tblCellMar>
      </w:tblPr>
      <w:tblGrid>
        <w:gridCol w:w="714"/>
        <w:gridCol w:w="1095"/>
        <w:gridCol w:w="1200"/>
        <w:gridCol w:w="2055"/>
        <w:gridCol w:w="967"/>
        <w:gridCol w:w="967"/>
        <w:gridCol w:w="1225"/>
        <w:gridCol w:w="1108"/>
        <w:gridCol w:w="1165"/>
      </w:tblGrid>
      <w:tr w14:paraId="20B8A182">
        <w:trPr>
          <w:cantSplit/>
          <w:trHeight w:val="0" w:hRule="atLeast"/>
          <w:tblHeader/>
          <w:jc w:val="center"/>
        </w:trPr>
        <w:tc>
          <w:tcPr>
            <w:tcW w:w="714" w:type="dxa"/>
            <w:vAlign w:val="center"/>
          </w:tcPr>
          <w:p w14:paraId="212A734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序号</w:t>
            </w:r>
          </w:p>
        </w:tc>
        <w:tc>
          <w:tcPr>
            <w:tcW w:w="1095" w:type="dxa"/>
            <w:vAlign w:val="center"/>
          </w:tcPr>
          <w:p w14:paraId="733582C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接口编号</w:t>
            </w:r>
          </w:p>
        </w:tc>
        <w:tc>
          <w:tcPr>
            <w:tcW w:w="1200" w:type="dxa"/>
            <w:vAlign w:val="center"/>
          </w:tcPr>
          <w:p w14:paraId="0C3AB8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接口名称</w:t>
            </w:r>
          </w:p>
        </w:tc>
        <w:tc>
          <w:tcPr>
            <w:tcW w:w="2055" w:type="dxa"/>
            <w:vAlign w:val="center"/>
          </w:tcPr>
          <w:p w14:paraId="7FF8F83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功能描述</w:t>
            </w:r>
          </w:p>
        </w:tc>
        <w:tc>
          <w:tcPr>
            <w:tcW w:w="967" w:type="dxa"/>
            <w:vAlign w:val="center"/>
          </w:tcPr>
          <w:p w14:paraId="5E236A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协议方式</w:t>
            </w:r>
          </w:p>
        </w:tc>
        <w:tc>
          <w:tcPr>
            <w:tcW w:w="967" w:type="dxa"/>
            <w:vAlign w:val="center"/>
          </w:tcPr>
          <w:p w14:paraId="4D68AEB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通信模式</w:t>
            </w:r>
          </w:p>
        </w:tc>
        <w:tc>
          <w:tcPr>
            <w:tcW w:w="1225" w:type="dxa"/>
            <w:vAlign w:val="center"/>
          </w:tcPr>
          <w:p w14:paraId="5F0D24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调用方向</w:t>
            </w:r>
          </w:p>
        </w:tc>
        <w:tc>
          <w:tcPr>
            <w:tcW w:w="1108" w:type="dxa"/>
            <w:vAlign w:val="center"/>
          </w:tcPr>
          <w:p w14:paraId="203F01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地址 / 路由 / Topic 名称</w:t>
            </w:r>
          </w:p>
        </w:tc>
        <w:tc>
          <w:tcPr>
            <w:tcW w:w="1165" w:type="dxa"/>
            <w:vAlign w:val="center"/>
          </w:tcPr>
          <w:p w14:paraId="5CE811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同步条件</w:t>
            </w:r>
          </w:p>
        </w:tc>
      </w:tr>
      <w:tr w14:paraId="0334EBFA">
        <w:trPr>
          <w:cantSplit/>
          <w:jc w:val="center"/>
        </w:trPr>
        <w:tc>
          <w:tcPr>
            <w:tcW w:w="714" w:type="dxa"/>
            <w:vAlign w:val="center"/>
          </w:tcPr>
          <w:p w14:paraId="5E00AF5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w:t>
            </w:r>
          </w:p>
        </w:tc>
        <w:tc>
          <w:tcPr>
            <w:tcW w:w="1095" w:type="dxa"/>
            <w:vAlign w:val="center"/>
          </w:tcPr>
          <w:p w14:paraId="0F08E14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SCOS-CRM-001</w:t>
            </w:r>
          </w:p>
        </w:tc>
        <w:tc>
          <w:tcPr>
            <w:tcW w:w="1200" w:type="dxa"/>
            <w:vAlign w:val="center"/>
          </w:tcPr>
          <w:p w14:paraId="231684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每日出货计划同步</w:t>
            </w:r>
          </w:p>
        </w:tc>
        <w:tc>
          <w:tcPr>
            <w:tcW w:w="2055" w:type="dxa"/>
            <w:vAlign w:val="center"/>
          </w:tcPr>
          <w:p w14:paraId="38C6E0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CRM向SCOS同步每日出货计划，客户、产品和日期维度的成品需求量，作为库存投影、要货计划和供应链态势分析的需求依据。</w:t>
            </w:r>
          </w:p>
        </w:tc>
        <w:tc>
          <w:tcPr>
            <w:tcW w:w="967" w:type="dxa"/>
            <w:vAlign w:val="center"/>
          </w:tcPr>
          <w:p w14:paraId="1B056F2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0084B2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4F7533B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CRM→SCOS</w:t>
            </w:r>
          </w:p>
        </w:tc>
        <w:tc>
          <w:tcPr>
            <w:tcW w:w="1108" w:type="dxa"/>
            <w:vAlign w:val="center"/>
          </w:tcPr>
          <w:p w14:paraId="0ECC51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建议：crm/shipment-plan</w:t>
            </w:r>
          </w:p>
        </w:tc>
        <w:tc>
          <w:tcPr>
            <w:tcW w:w="1165" w:type="dxa"/>
            <w:vAlign w:val="center"/>
          </w:tcPr>
          <w:p w14:paraId="71D80E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每日计划发布后</w:t>
            </w:r>
          </w:p>
        </w:tc>
      </w:tr>
      <w:tr w14:paraId="7FA3CC8F">
        <w:trPr>
          <w:cantSplit/>
          <w:jc w:val="center"/>
        </w:trPr>
        <w:tc>
          <w:tcPr>
            <w:tcW w:w="714" w:type="dxa"/>
            <w:vAlign w:val="center"/>
          </w:tcPr>
          <w:p w14:paraId="7CFF5AD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w:t>
            </w:r>
          </w:p>
        </w:tc>
        <w:tc>
          <w:tcPr>
            <w:tcW w:w="1095" w:type="dxa"/>
            <w:vAlign w:val="center"/>
          </w:tcPr>
          <w:p w14:paraId="5532A5F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SCOS-CON-001</w:t>
            </w:r>
          </w:p>
        </w:tc>
        <w:tc>
          <w:tcPr>
            <w:tcW w:w="1200" w:type="dxa"/>
            <w:vAlign w:val="center"/>
          </w:tcPr>
          <w:p w14:paraId="729FBD0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采购合同同步</w:t>
            </w:r>
          </w:p>
        </w:tc>
        <w:tc>
          <w:tcPr>
            <w:tcW w:w="2055" w:type="dxa"/>
            <w:vAlign w:val="center"/>
          </w:tcPr>
          <w:p w14:paraId="33C0A8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CON向SCOS同步采购合同，采购合同、供应商、物料、数量、有效期和交付约定，支撑采购优化及要货条件校验。</w:t>
            </w:r>
          </w:p>
        </w:tc>
        <w:tc>
          <w:tcPr>
            <w:tcW w:w="967" w:type="dxa"/>
            <w:vAlign w:val="center"/>
          </w:tcPr>
          <w:p w14:paraId="5D4EFA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89ACA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EBD1AE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4701C2F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建议：con/purchase-contract</w:t>
            </w:r>
          </w:p>
        </w:tc>
        <w:tc>
          <w:tcPr>
            <w:tcW w:w="1165" w:type="dxa"/>
            <w:vAlign w:val="center"/>
          </w:tcPr>
          <w:p w14:paraId="191C1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450C63E9">
        <w:trPr>
          <w:cantSplit/>
          <w:jc w:val="center"/>
        </w:trPr>
        <w:tc>
          <w:tcPr>
            <w:tcW w:w="714" w:type="dxa"/>
            <w:vAlign w:val="center"/>
          </w:tcPr>
          <w:p w14:paraId="42F7EA4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3</w:t>
            </w:r>
          </w:p>
        </w:tc>
        <w:tc>
          <w:tcPr>
            <w:tcW w:w="1095" w:type="dxa"/>
            <w:vAlign w:val="center"/>
          </w:tcPr>
          <w:p w14:paraId="33CB362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SCOS-CON-002</w:t>
            </w:r>
          </w:p>
        </w:tc>
        <w:tc>
          <w:tcPr>
            <w:tcW w:w="1200" w:type="dxa"/>
            <w:vAlign w:val="center"/>
          </w:tcPr>
          <w:p w14:paraId="5ACDD13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销售合同同步</w:t>
            </w:r>
          </w:p>
        </w:tc>
        <w:tc>
          <w:tcPr>
            <w:tcW w:w="2055" w:type="dxa"/>
            <w:vAlign w:val="center"/>
          </w:tcPr>
          <w:p w14:paraId="2F0B38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CON向SCOS同步销售合同，销售合同及客户交付约定，补充需求优先级、履约约束和驾驶舱合同分析口径。</w:t>
            </w:r>
          </w:p>
        </w:tc>
        <w:tc>
          <w:tcPr>
            <w:tcW w:w="967" w:type="dxa"/>
            <w:vAlign w:val="center"/>
          </w:tcPr>
          <w:p w14:paraId="013805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307094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B49368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7B586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建议：con/sales-contract</w:t>
            </w:r>
          </w:p>
        </w:tc>
        <w:tc>
          <w:tcPr>
            <w:tcW w:w="1165" w:type="dxa"/>
            <w:vAlign w:val="center"/>
          </w:tcPr>
          <w:p w14:paraId="126851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0F877E62">
        <w:trPr>
          <w:cantSplit/>
          <w:jc w:val="center"/>
        </w:trPr>
        <w:tc>
          <w:tcPr>
            <w:tcW w:w="714" w:type="dxa"/>
            <w:vAlign w:val="center"/>
          </w:tcPr>
          <w:p w14:paraId="2203FE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4</w:t>
            </w:r>
          </w:p>
        </w:tc>
        <w:tc>
          <w:tcPr>
            <w:tcW w:w="1095" w:type="dxa"/>
            <w:vAlign w:val="center"/>
          </w:tcPr>
          <w:p w14:paraId="4B57AA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SCOS-SAP-001</w:t>
            </w:r>
          </w:p>
        </w:tc>
        <w:tc>
          <w:tcPr>
            <w:tcW w:w="1200" w:type="dxa"/>
            <w:vAlign w:val="center"/>
          </w:tcPr>
          <w:p w14:paraId="2C0216C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主数据同步</w:t>
            </w:r>
          </w:p>
        </w:tc>
        <w:tc>
          <w:tcPr>
            <w:tcW w:w="2055" w:type="dxa"/>
            <w:vAlign w:val="center"/>
          </w:tcPr>
          <w:p w14:paraId="134714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SAP向SCOS同步主数据，物料、供应商、客户、组织、仓库、储罐和设备等主数据，统一SCOS编码和业务范围。</w:t>
            </w:r>
          </w:p>
        </w:tc>
        <w:tc>
          <w:tcPr>
            <w:tcW w:w="967" w:type="dxa"/>
            <w:vAlign w:val="center"/>
          </w:tcPr>
          <w:p w14:paraId="646B7E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80775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批量推送+补偿拉取</w:t>
            </w:r>
          </w:p>
        </w:tc>
        <w:tc>
          <w:tcPr>
            <w:tcW w:w="1225" w:type="dxa"/>
            <w:vAlign w:val="center"/>
          </w:tcPr>
          <w:p w14:paraId="744A96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11090D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建议：sap/master-data</w:t>
            </w:r>
          </w:p>
        </w:tc>
        <w:tc>
          <w:tcPr>
            <w:tcW w:w="1165" w:type="dxa"/>
            <w:vAlign w:val="center"/>
          </w:tcPr>
          <w:p w14:paraId="49C1D6D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每日T+1</w:t>
            </w:r>
          </w:p>
        </w:tc>
      </w:tr>
      <w:tr w14:paraId="2C0FFE45">
        <w:trPr>
          <w:cantSplit/>
          <w:jc w:val="center"/>
        </w:trPr>
        <w:tc>
          <w:tcPr>
            <w:tcW w:w="714" w:type="dxa"/>
            <w:vAlign w:val="center"/>
          </w:tcPr>
          <w:p w14:paraId="61A4DA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5</w:t>
            </w:r>
          </w:p>
        </w:tc>
        <w:tc>
          <w:tcPr>
            <w:tcW w:w="1095" w:type="dxa"/>
            <w:vAlign w:val="center"/>
          </w:tcPr>
          <w:p w14:paraId="785158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SCOS-SAP-002</w:t>
            </w:r>
          </w:p>
        </w:tc>
        <w:tc>
          <w:tcPr>
            <w:tcW w:w="1200" w:type="dxa"/>
            <w:vAlign w:val="center"/>
          </w:tcPr>
          <w:p w14:paraId="1E055D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业务数据同步</w:t>
            </w:r>
          </w:p>
        </w:tc>
        <w:tc>
          <w:tcPr>
            <w:tcW w:w="2055" w:type="dxa"/>
            <w:vAlign w:val="center"/>
          </w:tcPr>
          <w:p w14:paraId="2FC45E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SAP向SCOS同步业务数据，订单、交易、价格、BOM、未结采购/生产订单、库存、在途、费用池、应收应付和折旧等数据，支撑六大模块计算与对账。</w:t>
            </w:r>
          </w:p>
        </w:tc>
        <w:tc>
          <w:tcPr>
            <w:tcW w:w="967" w:type="dxa"/>
            <w:vAlign w:val="center"/>
          </w:tcPr>
          <w:p w14:paraId="633326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8A0D9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推送+定时拉取</w:t>
            </w:r>
          </w:p>
        </w:tc>
        <w:tc>
          <w:tcPr>
            <w:tcW w:w="1225" w:type="dxa"/>
            <w:vAlign w:val="center"/>
          </w:tcPr>
          <w:p w14:paraId="4F5245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630483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建议：sap/business-data</w:t>
            </w:r>
          </w:p>
        </w:tc>
        <w:tc>
          <w:tcPr>
            <w:tcW w:w="1165" w:type="dxa"/>
            <w:vAlign w:val="center"/>
          </w:tcPr>
          <w:p w14:paraId="1996B2B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事件触发+每日补偿</w:t>
            </w:r>
          </w:p>
        </w:tc>
      </w:tr>
      <w:tr w14:paraId="54417B0C">
        <w:trPr>
          <w:cantSplit/>
          <w:jc w:val="center"/>
        </w:trPr>
        <w:tc>
          <w:tcPr>
            <w:tcW w:w="714" w:type="dxa"/>
            <w:vAlign w:val="center"/>
          </w:tcPr>
          <w:p w14:paraId="5612B8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6</w:t>
            </w:r>
          </w:p>
        </w:tc>
        <w:tc>
          <w:tcPr>
            <w:tcW w:w="1095" w:type="dxa"/>
            <w:vAlign w:val="center"/>
          </w:tcPr>
          <w:p w14:paraId="592835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SCOS-WMS-001</w:t>
            </w:r>
          </w:p>
        </w:tc>
        <w:tc>
          <w:tcPr>
            <w:tcW w:w="1200" w:type="dxa"/>
            <w:vAlign w:val="center"/>
          </w:tcPr>
          <w:p w14:paraId="0AA581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原辅包在库量同步</w:t>
            </w:r>
          </w:p>
        </w:tc>
        <w:tc>
          <w:tcPr>
            <w:tcW w:w="2055" w:type="dxa"/>
            <w:vAlign w:val="center"/>
          </w:tcPr>
          <w:p w14:paraId="3D40047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WMS向SCOS同步原辅包在库量，原料、辅料和包材的可用库存、锁定量及库位状态，支撑欠料分析、采购优化和要货计划。</w:t>
            </w:r>
          </w:p>
        </w:tc>
        <w:tc>
          <w:tcPr>
            <w:tcW w:w="967" w:type="dxa"/>
            <w:vAlign w:val="center"/>
          </w:tcPr>
          <w:p w14:paraId="5D8446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648E06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127589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35E0E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建议：wms/material-stock</w:t>
            </w:r>
          </w:p>
        </w:tc>
        <w:tc>
          <w:tcPr>
            <w:tcW w:w="1165" w:type="dxa"/>
            <w:vAlign w:val="center"/>
          </w:tcPr>
          <w:p w14:paraId="5498D3A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7F6232E0">
        <w:trPr>
          <w:cantSplit/>
          <w:jc w:val="center"/>
        </w:trPr>
        <w:tc>
          <w:tcPr>
            <w:tcW w:w="714" w:type="dxa"/>
            <w:vAlign w:val="center"/>
          </w:tcPr>
          <w:p w14:paraId="1D51BCE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7</w:t>
            </w:r>
          </w:p>
        </w:tc>
        <w:tc>
          <w:tcPr>
            <w:tcW w:w="1095" w:type="dxa"/>
            <w:vAlign w:val="center"/>
          </w:tcPr>
          <w:p w14:paraId="47B94B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SCOS-WMS-002</w:t>
            </w:r>
          </w:p>
        </w:tc>
        <w:tc>
          <w:tcPr>
            <w:tcW w:w="1200" w:type="dxa"/>
            <w:vAlign w:val="center"/>
          </w:tcPr>
          <w:p w14:paraId="3757DDA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成品库存水位同步</w:t>
            </w:r>
          </w:p>
        </w:tc>
        <w:tc>
          <w:tcPr>
            <w:tcW w:w="2055" w:type="dxa"/>
            <w:vAlign w:val="center"/>
          </w:tcPr>
          <w:p w14:paraId="67E778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WMS向SCOS同步成品库存水位，成品现存量、可用量和库龄状态，支撑库存投影、风险预警和库存健康度评价。</w:t>
            </w:r>
          </w:p>
        </w:tc>
        <w:tc>
          <w:tcPr>
            <w:tcW w:w="967" w:type="dxa"/>
            <w:vAlign w:val="center"/>
          </w:tcPr>
          <w:p w14:paraId="0537C88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604935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152F48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235CAF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建议：wms/product-stock</w:t>
            </w:r>
          </w:p>
        </w:tc>
        <w:tc>
          <w:tcPr>
            <w:tcW w:w="1165" w:type="dxa"/>
            <w:vAlign w:val="center"/>
          </w:tcPr>
          <w:p w14:paraId="22A9A6D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02A908DD">
        <w:trPr>
          <w:cantSplit/>
          <w:jc w:val="center"/>
        </w:trPr>
        <w:tc>
          <w:tcPr>
            <w:tcW w:w="714" w:type="dxa"/>
            <w:vAlign w:val="center"/>
          </w:tcPr>
          <w:p w14:paraId="4294343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8</w:t>
            </w:r>
          </w:p>
        </w:tc>
        <w:tc>
          <w:tcPr>
            <w:tcW w:w="1095" w:type="dxa"/>
            <w:vAlign w:val="center"/>
          </w:tcPr>
          <w:p w14:paraId="55614E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SCOS-WMS-003</w:t>
            </w:r>
          </w:p>
        </w:tc>
        <w:tc>
          <w:tcPr>
            <w:tcW w:w="1200" w:type="dxa"/>
            <w:vAlign w:val="center"/>
          </w:tcPr>
          <w:p w14:paraId="4553869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入库原料批次同步</w:t>
            </w:r>
          </w:p>
        </w:tc>
        <w:tc>
          <w:tcPr>
            <w:tcW w:w="2055" w:type="dxa"/>
            <w:vAlign w:val="center"/>
          </w:tcPr>
          <w:p w14:paraId="5A7929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WMS向SCOS同步入库原料批次，入库批次、物料、数量、时间和库位信息，建立原料批次与成本归集的追溯入口。</w:t>
            </w:r>
          </w:p>
        </w:tc>
        <w:tc>
          <w:tcPr>
            <w:tcW w:w="967" w:type="dxa"/>
            <w:vAlign w:val="center"/>
          </w:tcPr>
          <w:p w14:paraId="082D978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D7AE1B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468CA4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7CB049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建议：wms/inbound-batch</w:t>
            </w:r>
          </w:p>
        </w:tc>
        <w:tc>
          <w:tcPr>
            <w:tcW w:w="1165" w:type="dxa"/>
            <w:vAlign w:val="center"/>
          </w:tcPr>
          <w:p w14:paraId="27AB32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入库确认后</w:t>
            </w:r>
          </w:p>
        </w:tc>
      </w:tr>
      <w:tr w14:paraId="0C06C49D">
        <w:trPr>
          <w:cantSplit/>
          <w:jc w:val="center"/>
        </w:trPr>
        <w:tc>
          <w:tcPr>
            <w:tcW w:w="714" w:type="dxa"/>
            <w:vAlign w:val="center"/>
          </w:tcPr>
          <w:p w14:paraId="6F215F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9</w:t>
            </w:r>
          </w:p>
        </w:tc>
        <w:tc>
          <w:tcPr>
            <w:tcW w:w="1095" w:type="dxa"/>
            <w:vAlign w:val="center"/>
          </w:tcPr>
          <w:p w14:paraId="23B997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SCOS-WMS-004</w:t>
            </w:r>
          </w:p>
        </w:tc>
        <w:tc>
          <w:tcPr>
            <w:tcW w:w="1200" w:type="dxa"/>
            <w:vAlign w:val="center"/>
          </w:tcPr>
          <w:p w14:paraId="1F109D5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在途库存同步</w:t>
            </w:r>
          </w:p>
        </w:tc>
        <w:tc>
          <w:tcPr>
            <w:tcW w:w="2055" w:type="dxa"/>
            <w:vAlign w:val="center"/>
          </w:tcPr>
          <w:p w14:paraId="2FC028A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WMS向SCOS同步在途库存，运输中、生产中及待入库数量和预计到达时间，用于库存优化、要货缺口计算和供应风险判断。</w:t>
            </w:r>
          </w:p>
        </w:tc>
        <w:tc>
          <w:tcPr>
            <w:tcW w:w="967" w:type="dxa"/>
            <w:vAlign w:val="center"/>
          </w:tcPr>
          <w:p w14:paraId="5B45AF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FABDA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B0DCEB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C98891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建议：wms/in-transit-stock</w:t>
            </w:r>
          </w:p>
        </w:tc>
        <w:tc>
          <w:tcPr>
            <w:tcW w:w="1165" w:type="dxa"/>
            <w:vAlign w:val="center"/>
          </w:tcPr>
          <w:p w14:paraId="21B7D7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状态变更后</w:t>
            </w:r>
          </w:p>
        </w:tc>
      </w:tr>
      <w:tr w14:paraId="26261510">
        <w:trPr>
          <w:cantSplit/>
          <w:jc w:val="center"/>
        </w:trPr>
        <w:tc>
          <w:tcPr>
            <w:tcW w:w="714" w:type="dxa"/>
            <w:vAlign w:val="center"/>
          </w:tcPr>
          <w:p w14:paraId="714316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10</w:t>
            </w:r>
          </w:p>
        </w:tc>
        <w:tc>
          <w:tcPr>
            <w:tcW w:w="1095" w:type="dxa"/>
            <w:vAlign w:val="center"/>
          </w:tcPr>
          <w:p w14:paraId="3964BA0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SCOS-TMS-001</w:t>
            </w:r>
          </w:p>
        </w:tc>
        <w:tc>
          <w:tcPr>
            <w:tcW w:w="1200" w:type="dxa"/>
            <w:vAlign w:val="center"/>
          </w:tcPr>
          <w:p w14:paraId="4DF4058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原料入场车次批次同步</w:t>
            </w:r>
          </w:p>
        </w:tc>
        <w:tc>
          <w:tcPr>
            <w:tcW w:w="2055" w:type="dxa"/>
            <w:vAlign w:val="center"/>
          </w:tcPr>
          <w:p w14:paraId="1BDD08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TMS向SCOS同步原料入场车次批次表，原料入场车次、供应商、物料、批次和时间，关联入厂物流与后续生产批次。</w:t>
            </w:r>
          </w:p>
        </w:tc>
        <w:tc>
          <w:tcPr>
            <w:tcW w:w="967" w:type="dxa"/>
            <w:vAlign w:val="center"/>
          </w:tcPr>
          <w:p w14:paraId="2C68C4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BA468E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0B24D7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321E0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建议：tms/inbound-batch</w:t>
            </w:r>
          </w:p>
        </w:tc>
        <w:tc>
          <w:tcPr>
            <w:tcW w:w="1165" w:type="dxa"/>
            <w:vAlign w:val="center"/>
          </w:tcPr>
          <w:p w14:paraId="41A2F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车辆入场后</w:t>
            </w:r>
          </w:p>
        </w:tc>
      </w:tr>
      <w:tr w14:paraId="684F1965">
        <w:trPr>
          <w:cantSplit/>
          <w:jc w:val="center"/>
        </w:trPr>
        <w:tc>
          <w:tcPr>
            <w:tcW w:w="714" w:type="dxa"/>
            <w:vAlign w:val="center"/>
          </w:tcPr>
          <w:p w14:paraId="4A3087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11</w:t>
            </w:r>
          </w:p>
        </w:tc>
        <w:tc>
          <w:tcPr>
            <w:tcW w:w="1095" w:type="dxa"/>
            <w:vAlign w:val="center"/>
          </w:tcPr>
          <w:p w14:paraId="1176D4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SCOS-TMS-002</w:t>
            </w:r>
          </w:p>
        </w:tc>
        <w:tc>
          <w:tcPr>
            <w:tcW w:w="1200" w:type="dxa"/>
            <w:vAlign w:val="center"/>
          </w:tcPr>
          <w:p w14:paraId="396F1B0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成品出厂批次同步</w:t>
            </w:r>
          </w:p>
        </w:tc>
        <w:tc>
          <w:tcPr>
            <w:tcW w:w="2055" w:type="dxa"/>
            <w:vAlign w:val="center"/>
          </w:tcPr>
          <w:p w14:paraId="55CDD69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TMS向SCOS同步成品出厂批次表，成品出厂车次、销售交付及批次信息，关联销售履约和销售订单成本。</w:t>
            </w:r>
          </w:p>
        </w:tc>
        <w:tc>
          <w:tcPr>
            <w:tcW w:w="967" w:type="dxa"/>
            <w:vAlign w:val="center"/>
          </w:tcPr>
          <w:p w14:paraId="354488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54D2B6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90A103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49D9C1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建议：tms/outbound-batch</w:t>
            </w:r>
          </w:p>
        </w:tc>
        <w:tc>
          <w:tcPr>
            <w:tcW w:w="1165" w:type="dxa"/>
            <w:vAlign w:val="center"/>
          </w:tcPr>
          <w:p w14:paraId="13D09FE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车辆出厂后</w:t>
            </w:r>
          </w:p>
        </w:tc>
      </w:tr>
      <w:tr w14:paraId="459C29AF">
        <w:trPr>
          <w:cantSplit/>
          <w:jc w:val="center"/>
        </w:trPr>
        <w:tc>
          <w:tcPr>
            <w:tcW w:w="714" w:type="dxa"/>
            <w:vAlign w:val="center"/>
          </w:tcPr>
          <w:p w14:paraId="12F5FD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12</w:t>
            </w:r>
          </w:p>
        </w:tc>
        <w:tc>
          <w:tcPr>
            <w:tcW w:w="1095" w:type="dxa"/>
            <w:vAlign w:val="center"/>
          </w:tcPr>
          <w:p w14:paraId="7575B7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SCOS-TMS-003</w:t>
            </w:r>
          </w:p>
        </w:tc>
        <w:tc>
          <w:tcPr>
            <w:tcW w:w="1200" w:type="dxa"/>
            <w:vAlign w:val="center"/>
          </w:tcPr>
          <w:p w14:paraId="4594AF8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物流状态同步</w:t>
            </w:r>
          </w:p>
        </w:tc>
        <w:tc>
          <w:tcPr>
            <w:tcW w:w="2055" w:type="dxa"/>
            <w:vAlign w:val="center"/>
          </w:tcPr>
          <w:p w14:paraId="1CD019A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TMS向SCOS同步物流信息表，车辆、承运、在途状态和预计到达时间，支撑要货计划滚动调整与异常协调。</w:t>
            </w:r>
          </w:p>
        </w:tc>
        <w:tc>
          <w:tcPr>
            <w:tcW w:w="967" w:type="dxa"/>
            <w:vAlign w:val="center"/>
          </w:tcPr>
          <w:p w14:paraId="54F984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5EAF6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576C55F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158B3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建议：tms/logistics-status</w:t>
            </w:r>
          </w:p>
        </w:tc>
        <w:tc>
          <w:tcPr>
            <w:tcW w:w="1165" w:type="dxa"/>
            <w:vAlign w:val="center"/>
          </w:tcPr>
          <w:p w14:paraId="6F4CDC1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运输状态变更后</w:t>
            </w:r>
          </w:p>
        </w:tc>
      </w:tr>
      <w:tr w14:paraId="3935C535">
        <w:trPr>
          <w:cantSplit/>
          <w:jc w:val="center"/>
        </w:trPr>
        <w:tc>
          <w:tcPr>
            <w:tcW w:w="714" w:type="dxa"/>
            <w:vAlign w:val="center"/>
          </w:tcPr>
          <w:p w14:paraId="5F0006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13</w:t>
            </w:r>
          </w:p>
        </w:tc>
        <w:tc>
          <w:tcPr>
            <w:tcW w:w="1095" w:type="dxa"/>
            <w:vAlign w:val="center"/>
          </w:tcPr>
          <w:p w14:paraId="6E75D7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SCOS-MES-001</w:t>
            </w:r>
          </w:p>
        </w:tc>
        <w:tc>
          <w:tcPr>
            <w:tcW w:w="1200" w:type="dxa"/>
            <w:vAlign w:val="center"/>
          </w:tcPr>
          <w:p w14:paraId="141E5C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生产进度报工同步</w:t>
            </w:r>
          </w:p>
        </w:tc>
        <w:tc>
          <w:tcPr>
            <w:tcW w:w="2055" w:type="dxa"/>
            <w:vAlign w:val="center"/>
          </w:tcPr>
          <w:p w14:paraId="240C60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MES向SCOS同步生产进度报工表，生产订单、工序、完成量和报工时间，更新库存投影并反馈计划执行状态。</w:t>
            </w:r>
          </w:p>
        </w:tc>
        <w:tc>
          <w:tcPr>
            <w:tcW w:w="967" w:type="dxa"/>
            <w:vAlign w:val="center"/>
          </w:tcPr>
          <w:p w14:paraId="12FBD0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AEC4C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778B0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AA3F3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建议：mes/production-progress</w:t>
            </w:r>
          </w:p>
        </w:tc>
        <w:tc>
          <w:tcPr>
            <w:tcW w:w="1165" w:type="dxa"/>
            <w:vAlign w:val="center"/>
          </w:tcPr>
          <w:p w14:paraId="6153381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报工完成后</w:t>
            </w:r>
          </w:p>
        </w:tc>
      </w:tr>
      <w:tr w14:paraId="7260E9CD">
        <w:trPr>
          <w:cantSplit/>
          <w:jc w:val="center"/>
        </w:trPr>
        <w:tc>
          <w:tcPr>
            <w:tcW w:w="714" w:type="dxa"/>
            <w:vAlign w:val="center"/>
          </w:tcPr>
          <w:p w14:paraId="716E64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14</w:t>
            </w:r>
          </w:p>
        </w:tc>
        <w:tc>
          <w:tcPr>
            <w:tcW w:w="1095" w:type="dxa"/>
            <w:vAlign w:val="center"/>
          </w:tcPr>
          <w:p w14:paraId="5813238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SCOS-MES-002</w:t>
            </w:r>
          </w:p>
        </w:tc>
        <w:tc>
          <w:tcPr>
            <w:tcW w:w="1200" w:type="dxa"/>
            <w:vAlign w:val="center"/>
          </w:tcPr>
          <w:p w14:paraId="615E14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生产批次同步</w:t>
            </w:r>
          </w:p>
        </w:tc>
        <w:tc>
          <w:tcPr>
            <w:tcW w:w="2055" w:type="dxa"/>
            <w:vAlign w:val="center"/>
          </w:tcPr>
          <w:p w14:paraId="52DDF6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MES向SCOS同步生产批次表，生产批次、订单、物料、产量和时间信息，建立上下游批次关系并支撑成本归集。</w:t>
            </w:r>
          </w:p>
        </w:tc>
        <w:tc>
          <w:tcPr>
            <w:tcW w:w="967" w:type="dxa"/>
            <w:vAlign w:val="center"/>
          </w:tcPr>
          <w:p w14:paraId="31F89A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8CD88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536DBB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769AE3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建议：mes/production-batch</w:t>
            </w:r>
          </w:p>
        </w:tc>
        <w:tc>
          <w:tcPr>
            <w:tcW w:w="1165" w:type="dxa"/>
            <w:vAlign w:val="center"/>
          </w:tcPr>
          <w:p w14:paraId="45D52E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批次创建或完工后</w:t>
            </w:r>
          </w:p>
        </w:tc>
      </w:tr>
      <w:tr w14:paraId="6467F294">
        <w:trPr>
          <w:cantSplit/>
          <w:jc w:val="center"/>
        </w:trPr>
        <w:tc>
          <w:tcPr>
            <w:tcW w:w="714" w:type="dxa"/>
            <w:vAlign w:val="center"/>
          </w:tcPr>
          <w:p w14:paraId="44881E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15</w:t>
            </w:r>
          </w:p>
        </w:tc>
        <w:tc>
          <w:tcPr>
            <w:tcW w:w="1095" w:type="dxa"/>
            <w:vAlign w:val="center"/>
          </w:tcPr>
          <w:p w14:paraId="4CD7236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SCOS-MES-003</w:t>
            </w:r>
          </w:p>
        </w:tc>
        <w:tc>
          <w:tcPr>
            <w:tcW w:w="1200" w:type="dxa"/>
            <w:vAlign w:val="center"/>
          </w:tcPr>
          <w:p w14:paraId="2C616A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工艺及原辅料成本同步</w:t>
            </w:r>
          </w:p>
        </w:tc>
        <w:tc>
          <w:tcPr>
            <w:tcW w:w="2055" w:type="dxa"/>
            <w:vAlign w:val="center"/>
          </w:tcPr>
          <w:p w14:paraId="75DDB70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MES向SCOS同步工艺及原辅料用量成本表，工艺路线、投入产出、原辅料用量和成本事实，支撑批次成本及生产订单成本计算。</w:t>
            </w:r>
          </w:p>
        </w:tc>
        <w:tc>
          <w:tcPr>
            <w:tcW w:w="967" w:type="dxa"/>
            <w:vAlign w:val="center"/>
          </w:tcPr>
          <w:p w14:paraId="4DA92CD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3492F9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064EE7B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7B2363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建议：mes/process-cost</w:t>
            </w:r>
          </w:p>
        </w:tc>
        <w:tc>
          <w:tcPr>
            <w:tcW w:w="1165" w:type="dxa"/>
            <w:vAlign w:val="center"/>
          </w:tcPr>
          <w:p w14:paraId="2D8CC92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工序报工或日结后</w:t>
            </w:r>
          </w:p>
        </w:tc>
      </w:tr>
      <w:tr w14:paraId="2DC0653B">
        <w:trPr>
          <w:cantSplit/>
          <w:jc w:val="center"/>
        </w:trPr>
        <w:tc>
          <w:tcPr>
            <w:tcW w:w="714" w:type="dxa"/>
            <w:vAlign w:val="center"/>
          </w:tcPr>
          <w:p w14:paraId="025970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16</w:t>
            </w:r>
          </w:p>
        </w:tc>
        <w:tc>
          <w:tcPr>
            <w:tcW w:w="1095" w:type="dxa"/>
            <w:vAlign w:val="center"/>
          </w:tcPr>
          <w:p w14:paraId="2DAC48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SCOS-DCS-001</w:t>
            </w:r>
          </w:p>
        </w:tc>
        <w:tc>
          <w:tcPr>
            <w:tcW w:w="1200" w:type="dxa"/>
            <w:vAlign w:val="center"/>
          </w:tcPr>
          <w:p w14:paraId="23ADAB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自动化设备数据同步</w:t>
            </w:r>
          </w:p>
        </w:tc>
        <w:tc>
          <w:tcPr>
            <w:tcW w:w="2055" w:type="dxa"/>
            <w:vAlign w:val="center"/>
          </w:tcPr>
          <w:p w14:paraId="2145B54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DCS向SCOS同步自动化设备数据总表，设备运行、计量、能耗和关键过程数据，补充批次边界、产量及成本事实。</w:t>
            </w:r>
          </w:p>
        </w:tc>
        <w:tc>
          <w:tcPr>
            <w:tcW w:w="967" w:type="dxa"/>
            <w:vAlign w:val="center"/>
          </w:tcPr>
          <w:p w14:paraId="3D4411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332F5D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实时推送</w:t>
            </w:r>
          </w:p>
        </w:tc>
        <w:tc>
          <w:tcPr>
            <w:tcW w:w="1225" w:type="dxa"/>
            <w:vAlign w:val="center"/>
          </w:tcPr>
          <w:p w14:paraId="0455BF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DCS→SCOS</w:t>
            </w:r>
          </w:p>
        </w:tc>
        <w:tc>
          <w:tcPr>
            <w:tcW w:w="1108" w:type="dxa"/>
            <w:vAlign w:val="center"/>
          </w:tcPr>
          <w:p w14:paraId="215592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建议：dcs/equipment-data</w:t>
            </w:r>
          </w:p>
        </w:tc>
        <w:tc>
          <w:tcPr>
            <w:tcW w:w="1165" w:type="dxa"/>
            <w:vAlign w:val="center"/>
          </w:tcPr>
          <w:p w14:paraId="4B49B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实时/分钟级</w:t>
            </w:r>
          </w:p>
        </w:tc>
      </w:tr>
      <w:tr w14:paraId="4D7D82D7">
        <w:trPr>
          <w:cantSplit/>
          <w:jc w:val="center"/>
        </w:trPr>
        <w:tc>
          <w:tcPr>
            <w:tcW w:w="714" w:type="dxa"/>
            <w:vAlign w:val="center"/>
          </w:tcPr>
          <w:p w14:paraId="587211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17</w:t>
            </w:r>
          </w:p>
        </w:tc>
        <w:tc>
          <w:tcPr>
            <w:tcW w:w="1095" w:type="dxa"/>
            <w:vAlign w:val="center"/>
          </w:tcPr>
          <w:p w14:paraId="11DC11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SCOS-QMS-001</w:t>
            </w:r>
          </w:p>
        </w:tc>
        <w:tc>
          <w:tcPr>
            <w:tcW w:w="1200" w:type="dxa"/>
            <w:vAlign w:val="center"/>
          </w:tcPr>
          <w:p w14:paraId="5AD2C3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质检结果同步</w:t>
            </w:r>
          </w:p>
        </w:tc>
        <w:tc>
          <w:tcPr>
            <w:tcW w:w="2055" w:type="dxa"/>
            <w:vAlign w:val="center"/>
          </w:tcPr>
          <w:p w14:paraId="356206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QMS/LIMS向SCOS同步质检结果表，检验批、质量状态和判定结果，用于批次合格量、质量追溯及驾驶舱质量指标。</w:t>
            </w:r>
          </w:p>
        </w:tc>
        <w:tc>
          <w:tcPr>
            <w:tcW w:w="967" w:type="dxa"/>
            <w:vAlign w:val="center"/>
          </w:tcPr>
          <w:p w14:paraId="04330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6C4B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定时拉取+事件补充</w:t>
            </w:r>
          </w:p>
        </w:tc>
        <w:tc>
          <w:tcPr>
            <w:tcW w:w="1225" w:type="dxa"/>
            <w:vAlign w:val="center"/>
          </w:tcPr>
          <w:p w14:paraId="0A7065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QMS/LIMS→SCOS</w:t>
            </w:r>
          </w:p>
        </w:tc>
        <w:tc>
          <w:tcPr>
            <w:tcW w:w="1108" w:type="dxa"/>
            <w:vAlign w:val="center"/>
          </w:tcPr>
          <w:p w14:paraId="150F32E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建议：qms/inspection-result</w:t>
            </w:r>
          </w:p>
        </w:tc>
        <w:tc>
          <w:tcPr>
            <w:tcW w:w="1165" w:type="dxa"/>
            <w:vAlign w:val="center"/>
          </w:tcPr>
          <w:p w14:paraId="6A01E91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批次检验完成后</w:t>
            </w:r>
          </w:p>
        </w:tc>
      </w:tr>
      <w:tr w14:paraId="57462040">
        <w:trPr>
          <w:cantSplit/>
          <w:jc w:val="center"/>
        </w:trPr>
        <w:tc>
          <w:tcPr>
            <w:tcW w:w="714" w:type="dxa"/>
            <w:vAlign w:val="center"/>
          </w:tcPr>
          <w:p w14:paraId="6D9CE70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18</w:t>
            </w:r>
          </w:p>
        </w:tc>
        <w:tc>
          <w:tcPr>
            <w:tcW w:w="1095" w:type="dxa"/>
            <w:vAlign w:val="center"/>
          </w:tcPr>
          <w:p w14:paraId="5E8357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SCOS-CON-003</w:t>
            </w:r>
          </w:p>
        </w:tc>
        <w:tc>
          <w:tcPr>
            <w:tcW w:w="1200" w:type="dxa"/>
            <w:vAlign w:val="center"/>
          </w:tcPr>
          <w:p w14:paraId="547D696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原辅包采购需求下发</w:t>
            </w:r>
          </w:p>
        </w:tc>
        <w:tc>
          <w:tcPr>
            <w:tcW w:w="2055" w:type="dxa"/>
            <w:vAlign w:val="center"/>
          </w:tcPr>
          <w:p w14:paraId="61FD540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SCOS向CON下发原辅包采购需求表，供合同系统形成或调整采购合同并反馈执行状态。</w:t>
            </w:r>
          </w:p>
        </w:tc>
        <w:tc>
          <w:tcPr>
            <w:tcW w:w="967" w:type="dxa"/>
            <w:vAlign w:val="center"/>
          </w:tcPr>
          <w:p w14:paraId="285FA9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EFE9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A74AFC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w:t>
            </w:r>
          </w:p>
        </w:tc>
        <w:tc>
          <w:tcPr>
            <w:tcW w:w="1108" w:type="dxa"/>
            <w:vAlign w:val="center"/>
          </w:tcPr>
          <w:p w14:paraId="5228873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建议：con/procurement-demand</w:t>
            </w:r>
          </w:p>
        </w:tc>
        <w:tc>
          <w:tcPr>
            <w:tcW w:w="1165" w:type="dxa"/>
            <w:vAlign w:val="center"/>
          </w:tcPr>
          <w:p w14:paraId="4FA02C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采购方案发布后</w:t>
            </w:r>
          </w:p>
        </w:tc>
      </w:tr>
      <w:tr w14:paraId="25A11EA7">
        <w:trPr>
          <w:cantSplit/>
          <w:jc w:val="center"/>
        </w:trPr>
        <w:tc>
          <w:tcPr>
            <w:tcW w:w="714" w:type="dxa"/>
            <w:vAlign w:val="center"/>
          </w:tcPr>
          <w:p w14:paraId="776DA58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19</w:t>
            </w:r>
          </w:p>
        </w:tc>
        <w:tc>
          <w:tcPr>
            <w:tcW w:w="1095" w:type="dxa"/>
            <w:vAlign w:val="center"/>
          </w:tcPr>
          <w:p w14:paraId="6A46061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SCOS-SAP-003</w:t>
            </w:r>
          </w:p>
        </w:tc>
        <w:tc>
          <w:tcPr>
            <w:tcW w:w="1200" w:type="dxa"/>
            <w:vAlign w:val="center"/>
          </w:tcPr>
          <w:p w14:paraId="3425E4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5945E0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SCOS向SAP下发生产订单，驱动SAP创建正式生产订单并返回业务单号。</w:t>
            </w:r>
          </w:p>
        </w:tc>
        <w:tc>
          <w:tcPr>
            <w:tcW w:w="967" w:type="dxa"/>
            <w:vAlign w:val="center"/>
          </w:tcPr>
          <w:p w14:paraId="1FD5D64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AB401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D5DB7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1DB409E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建议：sap/production-order</w:t>
            </w:r>
          </w:p>
        </w:tc>
        <w:tc>
          <w:tcPr>
            <w:tcW w:w="1165" w:type="dxa"/>
            <w:vAlign w:val="center"/>
          </w:tcPr>
          <w:p w14:paraId="3E4002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生产计划发布后</w:t>
            </w:r>
          </w:p>
        </w:tc>
      </w:tr>
      <w:tr w14:paraId="653B2796">
        <w:trPr>
          <w:cantSplit/>
          <w:jc w:val="center"/>
        </w:trPr>
        <w:tc>
          <w:tcPr>
            <w:tcW w:w="714" w:type="dxa"/>
            <w:vAlign w:val="center"/>
          </w:tcPr>
          <w:p w14:paraId="1EBBD61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20</w:t>
            </w:r>
          </w:p>
        </w:tc>
        <w:tc>
          <w:tcPr>
            <w:tcW w:w="1095" w:type="dxa"/>
            <w:vAlign w:val="center"/>
          </w:tcPr>
          <w:p w14:paraId="3D36A51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SCOS-SAP-004</w:t>
            </w:r>
          </w:p>
        </w:tc>
        <w:tc>
          <w:tcPr>
            <w:tcW w:w="1200" w:type="dxa"/>
            <w:vAlign w:val="center"/>
          </w:tcPr>
          <w:p w14:paraId="03479C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1C0286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SCOS向SAP下发要货计划表，作为采购执行、供应商协同和到货跟踪的业务依据。</w:t>
            </w:r>
          </w:p>
        </w:tc>
        <w:tc>
          <w:tcPr>
            <w:tcW w:w="967" w:type="dxa"/>
            <w:vAlign w:val="center"/>
          </w:tcPr>
          <w:p w14:paraId="5D2CE6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9EE70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6FB9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3683BB8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建议：sap/replenishment-plan</w:t>
            </w:r>
          </w:p>
        </w:tc>
        <w:tc>
          <w:tcPr>
            <w:tcW w:w="1165" w:type="dxa"/>
            <w:vAlign w:val="center"/>
          </w:tcPr>
          <w:p w14:paraId="100168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要货计划确认后</w:t>
            </w:r>
          </w:p>
        </w:tc>
      </w:tr>
      <w:tr w14:paraId="4D39F919">
        <w:trPr>
          <w:cantSplit/>
          <w:jc w:val="center"/>
        </w:trPr>
        <w:tc>
          <w:tcPr>
            <w:tcW w:w="714" w:type="dxa"/>
            <w:vAlign w:val="center"/>
          </w:tcPr>
          <w:p w14:paraId="3AA85D2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21</w:t>
            </w:r>
          </w:p>
        </w:tc>
        <w:tc>
          <w:tcPr>
            <w:tcW w:w="1095" w:type="dxa"/>
            <w:vAlign w:val="center"/>
          </w:tcPr>
          <w:p w14:paraId="2B3A81D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SCOS-WMS-005</w:t>
            </w:r>
          </w:p>
        </w:tc>
        <w:tc>
          <w:tcPr>
            <w:tcW w:w="1200" w:type="dxa"/>
            <w:vAlign w:val="center"/>
          </w:tcPr>
          <w:p w14:paraId="72B62DC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日投料需求下发</w:t>
            </w:r>
          </w:p>
        </w:tc>
        <w:tc>
          <w:tcPr>
            <w:tcW w:w="2055" w:type="dxa"/>
            <w:vAlign w:val="center"/>
          </w:tcPr>
          <w:p w14:paraId="452864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SCOS向WMS下发玉米淀粉日投料需求，驱动仓储备料、投料及执行反馈。</w:t>
            </w:r>
          </w:p>
        </w:tc>
        <w:tc>
          <w:tcPr>
            <w:tcW w:w="967" w:type="dxa"/>
            <w:vAlign w:val="center"/>
          </w:tcPr>
          <w:p w14:paraId="619A5DF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DD6277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92EF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w:t>
            </w:r>
          </w:p>
        </w:tc>
        <w:tc>
          <w:tcPr>
            <w:tcW w:w="1108" w:type="dxa"/>
            <w:vAlign w:val="center"/>
          </w:tcPr>
          <w:p w14:paraId="58FCAAD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建议：wms/daily-feeding</w:t>
            </w:r>
          </w:p>
        </w:tc>
        <w:tc>
          <w:tcPr>
            <w:tcW w:w="1165" w:type="dxa"/>
            <w:vAlign w:val="center"/>
          </w:tcPr>
          <w:p w14:paraId="388E220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每日计划发布或调整后</w:t>
            </w:r>
          </w:p>
        </w:tc>
      </w:tr>
      <w:tr w14:paraId="1F1589F3">
        <w:trPr>
          <w:cantSplit/>
          <w:jc w:val="center"/>
        </w:trPr>
        <w:tc>
          <w:tcPr>
            <w:tcW w:w="714" w:type="dxa"/>
            <w:vAlign w:val="center"/>
          </w:tcPr>
          <w:p w14:paraId="2F569A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22</w:t>
            </w:r>
          </w:p>
        </w:tc>
        <w:tc>
          <w:tcPr>
            <w:tcW w:w="1095" w:type="dxa"/>
            <w:vAlign w:val="center"/>
          </w:tcPr>
          <w:p w14:paraId="4A0E58B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SCOS-TMS-004</w:t>
            </w:r>
          </w:p>
        </w:tc>
        <w:tc>
          <w:tcPr>
            <w:tcW w:w="1200" w:type="dxa"/>
            <w:vAlign w:val="center"/>
          </w:tcPr>
          <w:p w14:paraId="45A16D6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5C2E2AC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SCOS向TMS下发要货计划表，驱动运输计划、车辆调度和到厂反馈。</w:t>
            </w:r>
          </w:p>
        </w:tc>
        <w:tc>
          <w:tcPr>
            <w:tcW w:w="967" w:type="dxa"/>
            <w:vAlign w:val="center"/>
          </w:tcPr>
          <w:p w14:paraId="7C573A8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0EFBEB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2DA4AC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w:t>
            </w:r>
          </w:p>
        </w:tc>
        <w:tc>
          <w:tcPr>
            <w:tcW w:w="1108" w:type="dxa"/>
            <w:vAlign w:val="center"/>
          </w:tcPr>
          <w:p w14:paraId="79C193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建议：tms/arrival-plan</w:t>
            </w:r>
          </w:p>
        </w:tc>
        <w:tc>
          <w:tcPr>
            <w:tcW w:w="1165" w:type="dxa"/>
            <w:vAlign w:val="center"/>
          </w:tcPr>
          <w:p w14:paraId="3A8EED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要货计划确认或调整后</w:t>
            </w:r>
          </w:p>
        </w:tc>
      </w:tr>
      <w:tr w14:paraId="46D7F291">
        <w:trPr>
          <w:cantSplit/>
          <w:jc w:val="center"/>
        </w:trPr>
        <w:tc>
          <w:tcPr>
            <w:tcW w:w="714" w:type="dxa"/>
            <w:vAlign w:val="center"/>
          </w:tcPr>
          <w:p w14:paraId="73F8B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23</w:t>
            </w:r>
          </w:p>
        </w:tc>
        <w:tc>
          <w:tcPr>
            <w:tcW w:w="1095" w:type="dxa"/>
            <w:vAlign w:val="center"/>
          </w:tcPr>
          <w:p w14:paraId="5E099A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SCOS-MES-004</w:t>
            </w:r>
          </w:p>
        </w:tc>
        <w:tc>
          <w:tcPr>
            <w:tcW w:w="1200" w:type="dxa"/>
            <w:vAlign w:val="center"/>
          </w:tcPr>
          <w:p w14:paraId="48697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71E004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SCOS向MES下发生产订单，驱动生产组织并回传进度、产量和批次。</w:t>
            </w:r>
          </w:p>
        </w:tc>
        <w:tc>
          <w:tcPr>
            <w:tcW w:w="967" w:type="dxa"/>
            <w:vAlign w:val="center"/>
          </w:tcPr>
          <w:p w14:paraId="675D2B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696371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2E413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w:t>
            </w:r>
          </w:p>
        </w:tc>
        <w:tc>
          <w:tcPr>
            <w:tcW w:w="1108" w:type="dxa"/>
            <w:vAlign w:val="center"/>
          </w:tcPr>
          <w:p w14:paraId="33CDE17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建议：mes/production-order</w:t>
            </w:r>
          </w:p>
        </w:tc>
        <w:tc>
          <w:tcPr>
            <w:tcW w:w="1165" w:type="dxa"/>
            <w:vAlign w:val="center"/>
          </w:tcPr>
          <w:p w14:paraId="5DBE0C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生产订单确认后</w:t>
            </w:r>
          </w:p>
        </w:tc>
      </w:tr>
    </w:tbl>
    <w:p w14:paraId="7260F875">
      <w:pPr>
        <w:rPr>
          <w:rFonts w:hint="eastAsia"/>
        </w:rPr>
      </w:pPr>
    </w:p>
    <w:bookmarkEnd w:id="63"/>
    <w:p w14:paraId="259758A1">
      <w:pPr>
        <w:pStyle w:val="2"/>
        <w:keepNext/>
        <w:pageBreakBefore/>
        <w:rPr>
          <w:rFonts w:hint="eastAsia" w:ascii="黑体" w:hAnsi="黑体" w:eastAsia="黑体" w:cs="黑体"/>
          <w:color w:val="auto"/>
        </w:rPr>
      </w:pPr>
      <w:bookmarkStart w:id="64" w:name="_Toc1157766373"/>
      <w:bookmarkStart w:id="65" w:name="_【待优化-格式不对】SCOS业务场景-智能化覆盖率映射表"/>
      <w:r>
        <w:rPr>
          <w:rFonts w:hint="eastAsia" w:ascii="黑体" w:hAnsi="黑体" w:eastAsia="黑体" w:cs="黑体"/>
          <w:b/>
          <w:color w:val="auto"/>
          <w:sz w:val="32"/>
        </w:rPr>
        <w:t>SCOS业务场景-智能化覆盖率映射表</w:t>
      </w:r>
      <w:bookmarkEnd w:id="64"/>
    </w:p>
    <w:bookmarkEnd w:id="65"/>
    <w:p w14:paraId="5530E875">
      <w:pPr>
        <w:pStyle w:val="3"/>
        <w:bidi w:val="0"/>
        <w:rPr>
          <w:rFonts w:hint="eastAsia" w:ascii="黑体" w:hAnsi="黑体" w:eastAsia="黑体" w:cs="黑体"/>
        </w:rPr>
      </w:pPr>
      <w:bookmarkStart w:id="66" w:name="_Toc230105544"/>
      <w:r>
        <w:rPr>
          <w:rFonts w:hint="eastAsia" w:ascii="黑体" w:hAnsi="黑体" w:eastAsia="黑体" w:cs="黑体"/>
        </w:rPr>
        <w:t>智能化场景清单</w:t>
      </w:r>
      <w:bookmarkEnd w:id="66"/>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02DB1C5F">
        <w:trPr>
          <w:cantSpli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28164D4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19655F12">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EECE95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6356040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718D7893">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5696F36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3FC5C55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22D137A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5100BF2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2E0A303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226BE4A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27B249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3753EAA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1718006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56FADD8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6C98B76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137CD22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0FAAE3D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2C27568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A941F8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3EB298A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480103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170C0C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17BAD7E">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7EEFD7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8C12B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16CCFE5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164D83B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3A29F9F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3BB86BBA">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70BBB3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28DA2AA">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9E3BF9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1FC49E9E">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778DA8AB">
            <w:pPr>
              <w:keepNext w:val="0"/>
              <w:keepLines w:val="0"/>
              <w:widowControl/>
              <w:suppressLineNumbers w:val="0"/>
              <w:snapToGrid w:val="0"/>
              <w:spacing w:before="0" w:beforeAutospacing="0" w:after="0" w:afterAutospacing="0" w:line="240" w:lineRule="auto"/>
              <w:ind w:left="0" w:leftChars="0" w:right="0" w:rightChars="0"/>
              <w:jc w:val="center"/>
              <w:rPr>
                <w:rFonts w:hint="default"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参考精益排程部分</w:t>
            </w:r>
          </w:p>
        </w:tc>
        <w:tc>
          <w:tcPr>
            <w:tcW w:w="1657" w:type="dxa"/>
            <w:tcBorders>
              <w:top w:val="nil"/>
              <w:left w:val="nil"/>
              <w:bottom w:val="nil"/>
              <w:right w:val="nil"/>
            </w:tcBorders>
            <w:noWrap w:val="0"/>
            <w:tcMar>
              <w:top w:w="-1" w:type="dxa"/>
              <w:left w:w="-1" w:type="dxa"/>
              <w:bottom w:w="-1" w:type="dxa"/>
              <w:right w:w="-1" w:type="dxa"/>
            </w:tcMar>
            <w:vAlign w:val="center"/>
          </w:tcPr>
          <w:p w14:paraId="218530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p>
        </w:tc>
        <w:tc>
          <w:tcPr>
            <w:tcW w:w="1428" w:type="dxa"/>
            <w:tcBorders>
              <w:top w:val="nil"/>
              <w:left w:val="nil"/>
              <w:bottom w:val="nil"/>
              <w:right w:val="nil"/>
            </w:tcBorders>
            <w:noWrap w:val="0"/>
            <w:tcMar>
              <w:top w:w="-1" w:type="dxa"/>
              <w:left w:w="-1" w:type="dxa"/>
              <w:bottom w:w="-1" w:type="dxa"/>
              <w:right w:w="-1" w:type="dxa"/>
            </w:tcMar>
            <w:vAlign w:val="center"/>
          </w:tcPr>
          <w:p w14:paraId="2599516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423" w:type="dxa"/>
            <w:tcBorders>
              <w:top w:val="nil"/>
              <w:left w:val="nil"/>
              <w:bottom w:val="nil"/>
              <w:right w:val="nil"/>
            </w:tcBorders>
            <w:noWrap w:val="0"/>
            <w:tcMar>
              <w:top w:w="-1" w:type="dxa"/>
              <w:left w:w="-1" w:type="dxa"/>
              <w:bottom w:w="-1" w:type="dxa"/>
              <w:right w:w="-1" w:type="dxa"/>
            </w:tcMar>
            <w:vAlign w:val="center"/>
          </w:tcPr>
          <w:p w14:paraId="6657A96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757" w:type="dxa"/>
            <w:tcBorders>
              <w:top w:val="nil"/>
              <w:left w:val="nil"/>
              <w:bottom w:val="nil"/>
              <w:right w:val="nil"/>
            </w:tcBorders>
            <w:noWrap w:val="0"/>
            <w:tcMar>
              <w:top w:w="-1" w:type="dxa"/>
              <w:left w:w="-1" w:type="dxa"/>
              <w:bottom w:w="-1" w:type="dxa"/>
              <w:right w:w="-1" w:type="dxa"/>
            </w:tcMar>
            <w:vAlign w:val="center"/>
          </w:tcPr>
          <w:p w14:paraId="62D5FC7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r>
      <w:tr w14:paraId="63409BB8">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077E0E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2BE702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6642083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0251B35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596330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6FA5E0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740F843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361394F4">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8B2F2C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2F5AFE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F6643F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31B3F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2BC8F5F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080F897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499833C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474DBC0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6A8068B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7F4FEA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5F9A4A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2F3A41C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C591F1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68E31D0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07B6566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5D6E833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F52FA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3C5D77B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43E4F5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6F1CE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4B77534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1D7B104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5E6D3E4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bl>
    <w:p w14:paraId="70642555"/>
    <w:p w14:paraId="0F08390F">
      <w:pPr>
        <w:pStyle w:val="3"/>
        <w:bidi w:val="0"/>
        <w:rPr>
          <w:rFonts w:hint="eastAsia" w:ascii="黑体" w:hAnsi="黑体" w:eastAsia="黑体" w:cs="黑体"/>
        </w:rPr>
      </w:pPr>
      <w:bookmarkStart w:id="67" w:name="_Toc1913313408"/>
      <w:r>
        <w:rPr>
          <w:rFonts w:hint="eastAsia" w:ascii="黑体" w:hAnsi="黑体" w:eastAsia="黑体" w:cs="黑体"/>
        </w:rPr>
        <w:t>场景验收指标</w:t>
      </w:r>
      <w:bookmarkEnd w:id="67"/>
    </w:p>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8"/>
        <w:gridCol w:w="1708"/>
        <w:gridCol w:w="1525"/>
        <w:gridCol w:w="2579"/>
        <w:gridCol w:w="2117"/>
      </w:tblGrid>
      <w:tr w14:paraId="3C011DB0">
        <w:trPr>
          <w:cantSplit/>
          <w:tblHeader/>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587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2D262D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306A7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0B834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762858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0E534A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8D49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ECFA1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主视图加载及钻取响应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14A3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w:t>
            </w:r>
            <w:r>
              <w:rPr>
                <w:rFonts w:hint="eastAsia" w:ascii="宋体" w:hAnsi="宋体" w:eastAsia="宋体"/>
                <w:sz w:val="20"/>
                <w:szCs w:val="22"/>
                <w:lang w:val="en-US" w:eastAsia="zh-CN"/>
              </w:rPr>
              <w:t>5</w:t>
            </w:r>
            <w:r>
              <w:rPr>
                <w:rFonts w:hint="default" w:ascii="宋体" w:hAnsi="宋体" w:eastAsia="宋体"/>
                <w:sz w:val="20"/>
                <w:szCs w:val="22"/>
              </w:rPr>
              <w:t>秒；钻取≤</w:t>
            </w:r>
            <w:r>
              <w:rPr>
                <w:rFonts w:hint="eastAsia" w:ascii="宋体" w:hAnsi="宋体"/>
                <w:sz w:val="20"/>
                <w:szCs w:val="22"/>
                <w:lang w:val="en-US" w:eastAsia="zh-CN"/>
              </w:rPr>
              <w:t>10</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5BFA46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在约定数据量及50并发条件下，连续执行主视图加载和逐级钻取，统计95分位响应时间。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D100F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不含首次缓存预热和外部源系统不可用时段。</w:t>
            </w:r>
          </w:p>
        </w:tc>
      </w:tr>
      <w:tr w14:paraId="0591F8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F3C42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E0A5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规则型预警触发准确率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28950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准确率100%；关键异常漏报率0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29D7D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构造正常、越界和恢复样本，逐项比对阈值规则、预警级别、触发时间和处置记录。</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463E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以双方确认的指标口径、阈值和抑制规则为准。</w:t>
            </w:r>
          </w:p>
        </w:tc>
      </w:tr>
      <w:tr w14:paraId="38475AFF">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716F3E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2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沙盘数据隔离率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8FBF6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A5EA78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对同一业务快照执行多组情景推演，核对正式计划、交易和主数据在推演前后均未被修改。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B3A5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沙盘结果只有经审批发布后方可形成正式业务数据。</w:t>
            </w:r>
          </w:p>
        </w:tc>
      </w:tr>
      <w:tr w14:paraId="064579A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3DED6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FAC99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推演结果可复现率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003D0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5ABF4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使用相同快照、参数和模型版本重复运行三次，比对主要产能、库存、采购、交付及成本结果。</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AB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允许显示精度导致的舍入差异。</w:t>
            </w:r>
          </w:p>
        </w:tc>
      </w:tr>
      <w:tr w14:paraId="755C9A1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8AA17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0E72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月度订单满足率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1E52F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和设定的服务水平相差小于5%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8F7250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基于销售订单，计算各产品月度实际的订单满足率，和各产品设定的服务水平进行比对。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6C9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15C762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261C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36353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sz w:val="20"/>
                <w:szCs w:val="22"/>
                <w:lang w:val="en-US" w:eastAsia="zh-CN"/>
              </w:rPr>
              <w:t>月度库存周转天数</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94544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降低5%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3583C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基于月度库存平均水位和月度平均出库，计算月度库存周转天数，和现状进行比对。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7BD9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4635F72D">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F47B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E682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补货约束满足率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1003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3CF18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设置重复计划入库、储罐容量不足和补充周期变化场景，核对防重、容量和风险日判断。</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6370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锁定期内风险只预警，不自动修改已锁定计划。</w:t>
            </w:r>
          </w:p>
        </w:tc>
      </w:tr>
      <w:tr w14:paraId="45B9BEA3">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A887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69DA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排程硬约束满足率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9565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53640E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在确认的订单、产线、物料、设备和清洗约束数据集上运行排程，逐项检查硬约束。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1CC5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预留场景；正式考核前须确认完整约束清单及优先级。</w:t>
            </w:r>
          </w:p>
        </w:tc>
      </w:tr>
      <w:tr w14:paraId="384B3E2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18FB5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BA89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72小时详细排程耗时</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7F98F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≤5分钟</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B977C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在双方确认的数据规模、计算资源和典型生产场景下连续运行三次，记录完整排程时间。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4C41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预留场景；正式考核前须固化数据规模和测试环境。</w:t>
            </w:r>
          </w:p>
        </w:tc>
      </w:tr>
      <w:tr w14:paraId="08FC6E3B">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20178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B516C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待采购需求净算准确率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2C62F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4189B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选取典型物料，按需求、未完成采购承诺和在途数据手工复算，并与系统净算结果逐项比较。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5DD1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以已发布需求版本及有效采购承诺为统计边界。</w:t>
            </w:r>
          </w:p>
        </w:tc>
      </w:tr>
      <w:tr w14:paraId="29FB256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D5BC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8110F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采购方案硬约束满足率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026C37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C4CE80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检查推荐方案是否满足需求量、供应商可供量、交付期、资质和合同等已确认硬约束。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4510D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不可行时必须输出数量或时间缺口及原因。</w:t>
            </w:r>
          </w:p>
        </w:tc>
      </w:tr>
      <w:tr w14:paraId="2D304FC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196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680ED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要货需求覆盖准确率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3CC51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0</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A9F1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选取典型物料和日期，按生产耗用、可用库存及固定到货手工复算，并与系统建议逐项比较。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A07AE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以已发布需求、合格未冻结库存及已确认到货为统计边界。</w:t>
            </w:r>
          </w:p>
        </w:tc>
      </w:tr>
      <w:tr w14:paraId="4167FAE7">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B513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DB2191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B9EFD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CC41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逐项核对合同余量、最早到货、供应能力、收货能力、禁运状态及锁定安排是否满足。</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4673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不可行时必须输出风险日期、缺口数量及原因。</w:t>
            </w:r>
          </w:p>
        </w:tc>
      </w:tr>
      <w:tr w14:paraId="5D00E6C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8A64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D30D53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成本归集对账一致率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4D6C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C6F1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抽取完整核算周期，按费用池、产品、订单和批次汇总SCOS结果，并与SAP权威</w:t>
            </w:r>
            <w:r>
              <w:rPr>
                <w:rFonts w:hint="eastAsia" w:ascii="宋体" w:hAnsi="宋体"/>
                <w:sz w:val="20"/>
                <w:szCs w:val="22"/>
                <w:lang w:val="en-US" w:eastAsia="zh-CN"/>
              </w:rPr>
              <w:t>生产相关</w:t>
            </w:r>
            <w:r>
              <w:rPr>
                <w:rFonts w:hint="default" w:ascii="宋体" w:hAnsi="宋体" w:eastAsia="宋体"/>
                <w:sz w:val="20"/>
                <w:szCs w:val="22"/>
              </w:rPr>
              <w:t>成本对账。</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D32C2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允许双方确认的币种换算和小数舍入差异。</w:t>
            </w:r>
          </w:p>
        </w:tc>
      </w:tr>
      <w:tr w14:paraId="2CBB547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C471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6F2A9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分摊结果可追溯率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413BF3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1602D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从成本结果反查来源凭证、费用池、分摊规则、参数版本和计算记录，检查链路完整性。</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412C8D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所有人工调整须保留原因、操作者和审批记录。</w:t>
            </w:r>
          </w:p>
        </w:tc>
      </w:tr>
      <w:tr w14:paraId="694698E5">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30F7B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0243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批次追溯链完整率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A51C7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63B38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使用预置的原料至客户完整批次链，执行正向和反向查询，与MES、WMS、QMS及SAP记录比对。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C82076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源系统缺失且已登记的数据除外，并单独列示。</w:t>
            </w:r>
          </w:p>
        </w:tc>
      </w:tr>
      <w:tr w14:paraId="1F7BC0D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C2E5EA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AA06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批次追溯查询响应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0902FC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95分位≤</w:t>
            </w:r>
            <w:r>
              <w:rPr>
                <w:rFonts w:hint="eastAsia" w:ascii="宋体" w:hAnsi="宋体"/>
                <w:sz w:val="20"/>
                <w:szCs w:val="22"/>
                <w:lang w:val="en-US" w:eastAsia="zh-CN"/>
              </w:rPr>
              <w:t>10</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8A8C9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在约定批次数量和50并发条件下执行正反向查询，统计95分位端到端响应时间。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95D99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不含外部源系统临时补查等待时间。</w:t>
            </w:r>
          </w:p>
        </w:tc>
      </w:tr>
    </w:tbl>
    <w:p w14:paraId="5209DCF1"/>
    <w:p w14:paraId="256C883B">
      <w:pPr>
        <w:pStyle w:val="3"/>
        <w:bidi w:val="0"/>
        <w:rPr>
          <w:rFonts w:hint="eastAsia" w:ascii="黑体" w:hAnsi="黑体" w:eastAsia="黑体" w:cs="黑体"/>
          <w:b/>
          <w:color w:val="auto"/>
          <w:sz w:val="30"/>
        </w:rPr>
      </w:pPr>
      <w:bookmarkStart w:id="68" w:name="_Toc638318078"/>
      <w:r>
        <w:rPr>
          <w:rFonts w:hint="eastAsia" w:ascii="黑体" w:hAnsi="黑体" w:eastAsia="黑体" w:cs="黑体"/>
          <w:color w:val="auto"/>
        </w:rPr>
        <w:t>智能化场景覆盖率</w:t>
      </w:r>
      <w:bookmarkEnd w:id="68"/>
    </w:p>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5AC06409">
        <w:trPr>
          <w:cantSpli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9C75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0E34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CCCC8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CDAB8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684CFE79">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B9F61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3C2AC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4D07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6.1去重场景编号数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E9A44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001—008共8项，含1项预留场景。</w:t>
            </w:r>
          </w:p>
        </w:tc>
      </w:tr>
      <w:tr w14:paraId="0D347E1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67C35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计入智能化覆盖率考核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94E7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39034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6.1“考核”为“是”的场景数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050B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001—003、005—008，共7项。</w:t>
            </w:r>
          </w:p>
        </w:tc>
      </w:tr>
      <w:tr w14:paraId="5BCAD65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6BF46B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暂不计入考核（预留场景）</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8C720E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2558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DEEF2C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004共1项，待场景内容及约束确认后转入考核。</w:t>
            </w:r>
          </w:p>
        </w:tc>
      </w:tr>
      <w:tr w14:paraId="0F2C53DA">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CA05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本章内部考核覆盖率</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544BF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87.5%</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50299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7÷8×100%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2A85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反映当前已具备明确考核口径的场景比例。</w:t>
            </w:r>
          </w:p>
        </w:tc>
      </w:tr>
      <w:tr w14:paraId="34E91685">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762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10892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4A279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5C9E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待全厂智能化场景总清单确认后更新。</w:t>
            </w:r>
          </w:p>
        </w:tc>
      </w:tr>
    </w:tbl>
    <w:p w14:paraId="5CCDE163"/>
    <w:p w14:paraId="5EA18E2A">
      <w:pPr>
        <w:pStyle w:val="2"/>
        <w:keepNext/>
        <w:pageBreakBefore/>
        <w:rPr>
          <w:rFonts w:hint="eastAsia" w:ascii="黑体" w:hAnsi="黑体" w:eastAsia="黑体" w:cs="黑体"/>
          <w:color w:val="auto"/>
        </w:rPr>
      </w:pPr>
      <w:bookmarkStart w:id="69" w:name="_Toc1531120181"/>
      <w:bookmarkStart w:id="70" w:name="_SCOS非功能性需求响应表"/>
      <w:r>
        <w:rPr>
          <w:rFonts w:hint="eastAsia" w:ascii="黑体" w:hAnsi="黑体" w:eastAsia="黑体" w:cs="黑体"/>
          <w:b/>
          <w:color w:val="auto"/>
          <w:sz w:val="32"/>
        </w:rPr>
        <w:t>SCOS非功能性需求响应表</w:t>
      </w:r>
      <w:bookmarkEnd w:id="69"/>
    </w:p>
    <w:bookmarkEnd w:id="70"/>
    <w:tbl>
      <w:tblPr>
        <w:tblStyle w:val="79"/>
        <w:tblW w:w="10317"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2956"/>
        <w:gridCol w:w="3205"/>
        <w:gridCol w:w="2135"/>
        <w:gridCol w:w="2021"/>
      </w:tblGrid>
      <w:tr w14:paraId="0EC9A410">
        <w:trPr>
          <w:trHeight w:val="546" w:hRule="atLeast"/>
          <w:tblHeader/>
          <w:jc w:val="center"/>
        </w:trPr>
        <w:tc>
          <w:tcPr>
            <w:tcW w:w="2956" w:type="dxa"/>
            <w:tcBorders>
              <w:tl2br w:val="nil"/>
              <w:tr2bl w:val="nil"/>
            </w:tcBorders>
            <w:vAlign w:val="center"/>
          </w:tcPr>
          <w:p w14:paraId="6EB9318E">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招标条款编号及原文</w:t>
            </w:r>
          </w:p>
        </w:tc>
        <w:tc>
          <w:tcPr>
            <w:tcW w:w="3205" w:type="dxa"/>
            <w:tcBorders>
              <w:tl2br w:val="nil"/>
              <w:tr2bl w:val="nil"/>
            </w:tcBorders>
            <w:vAlign w:val="center"/>
          </w:tcPr>
          <w:p w14:paraId="40AD5AD3">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响应方案</w:t>
            </w:r>
          </w:p>
        </w:tc>
        <w:tc>
          <w:tcPr>
            <w:tcW w:w="2135" w:type="dxa"/>
            <w:tcBorders>
              <w:tl2br w:val="nil"/>
              <w:tr2bl w:val="nil"/>
            </w:tcBorders>
            <w:vAlign w:val="center"/>
          </w:tcPr>
          <w:p w14:paraId="027CEB0D">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满足方式</w:t>
            </w:r>
          </w:p>
        </w:tc>
        <w:tc>
          <w:tcPr>
            <w:tcW w:w="2021" w:type="dxa"/>
            <w:tcBorders>
              <w:tl2br w:val="nil"/>
              <w:tr2bl w:val="nil"/>
            </w:tcBorders>
            <w:vAlign w:val="center"/>
          </w:tcPr>
          <w:p w14:paraId="2EF8A134">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对应交付物章节</w:t>
            </w:r>
          </w:p>
        </w:tc>
      </w:tr>
      <w:tr w14:paraId="2DD7C0E1">
        <w:trPr>
          <w:trHeight w:val="1431" w:hRule="atLeast"/>
          <w:jc w:val="center"/>
        </w:trPr>
        <w:tc>
          <w:tcPr>
            <w:tcW w:w="2956" w:type="dxa"/>
            <w:tcBorders>
              <w:tl2br w:val="nil"/>
              <w:tr2bl w:val="nil"/>
            </w:tcBorders>
            <w:vAlign w:val="center"/>
          </w:tcPr>
          <w:p w14:paraId="54CD445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（1）数据高保真与一致性：</w:t>
            </w:r>
            <w:r>
              <w:rPr>
                <w:rStyle w:val="82"/>
                <w:sz w:val="21"/>
                <w:szCs w:val="21"/>
                <w:lang w:val="en-US" w:eastAsia="zh-CN" w:bidi="ar"/>
              </w:rPr>
              <w:t>作为供应链计划中枢，必须确保计划、订单、库存、成本数据绝对准确、版本清晰</w:t>
            </w:r>
          </w:p>
        </w:tc>
        <w:tc>
          <w:tcPr>
            <w:tcW w:w="3205" w:type="dxa"/>
            <w:tcBorders>
              <w:tl2br w:val="nil"/>
              <w:tr2bl w:val="nil"/>
            </w:tcBorders>
            <w:vAlign w:val="center"/>
          </w:tcPr>
          <w:p w14:paraId="71E70B5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、变更管理，确保数据全链路可追溯。</w:t>
            </w:r>
          </w:p>
        </w:tc>
        <w:tc>
          <w:tcPr>
            <w:tcW w:w="2135" w:type="dxa"/>
            <w:tcBorders>
              <w:tl2br w:val="nil"/>
              <w:tr2bl w:val="nil"/>
            </w:tcBorders>
            <w:vAlign w:val="center"/>
          </w:tcPr>
          <w:p w14:paraId="1D6CCF0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主数据唯一编码、版本号规则、</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机制、数据对账机制等闭环管理。</w:t>
            </w:r>
          </w:p>
        </w:tc>
        <w:tc>
          <w:tcPr>
            <w:tcW w:w="2021" w:type="dxa"/>
            <w:tcBorders>
              <w:tl2br w:val="nil"/>
              <w:tr2bl w:val="nil"/>
            </w:tcBorders>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2.2.1</w:t>
            </w:r>
            <w:r>
              <w:rPr>
                <w:rFonts w:hint="eastAsia"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cs="宋体"/>
                <w:i w:val="0"/>
                <w:iCs w:val="0"/>
                <w:color w:val="000000"/>
                <w:kern w:val="0"/>
                <w:sz w:val="21"/>
                <w:szCs w:val="21"/>
                <w:u w:val="none"/>
                <w:lang w:val="en-US" w:eastAsia="zh-CN" w:bidi="ar"/>
              </w:rPr>
              <w:t>2.2.9 每日玉米淀粉投料需求制定</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cs="宋体"/>
                <w:i w:val="0"/>
                <w:iCs w:val="0"/>
                <w:color w:val="000000"/>
                <w:kern w:val="0"/>
                <w:sz w:val="21"/>
                <w:szCs w:val="21"/>
                <w:u w:val="none"/>
                <w:lang w:val="en-US" w:eastAsia="zh-CN" w:bidi="ar"/>
              </w:rPr>
              <w:t>2.5</w:t>
            </w:r>
            <w:r>
              <w:rPr>
                <w:rFonts w:hint="eastAsia" w:ascii="宋体" w:hAnsi="宋体" w:eastAsia="宋体" w:cs="宋体"/>
                <w:i w:val="0"/>
                <w:iCs w:val="0"/>
                <w:color w:val="000000"/>
                <w:kern w:val="0"/>
                <w:sz w:val="21"/>
                <w:szCs w:val="21"/>
                <w:u w:val="none"/>
                <w:lang w:val="en-US" w:eastAsia="zh-CN" w:bidi="ar"/>
              </w:rPr>
              <w:t xml:space="preserve"> SCOS业务规则清单</w:t>
            </w:r>
          </w:p>
        </w:tc>
      </w:tr>
      <w:tr w14:paraId="0273954B">
        <w:trPr>
          <w:trHeight w:val="1115" w:hRule="atLeast"/>
          <w:jc w:val="center"/>
        </w:trPr>
        <w:tc>
          <w:tcPr>
            <w:tcW w:w="2956" w:type="dxa"/>
            <w:tcBorders>
              <w:tl2br w:val="nil"/>
              <w:tr2bl w:val="nil"/>
            </w:tcBorders>
            <w:vAlign w:val="center"/>
          </w:tcPr>
          <w:p w14:paraId="78EAB0FB">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（2）结构化与可配置性：</w:t>
            </w:r>
            <w:r>
              <w:rPr>
                <w:rStyle w:val="82"/>
                <w:sz w:val="21"/>
                <w:szCs w:val="21"/>
                <w:lang w:val="en-US" w:eastAsia="zh-CN" w:bidi="ar"/>
              </w:rPr>
              <w:t>系统需高度结构化以适应淀粉糖行业多品类、多产线、多供应商的复杂供应链场景，同时支持业务流程的灵活配置</w:t>
            </w:r>
          </w:p>
        </w:tc>
        <w:tc>
          <w:tcPr>
            <w:tcW w:w="3205" w:type="dxa"/>
            <w:tcBorders>
              <w:tl2br w:val="nil"/>
              <w:tr2bl w:val="nil"/>
            </w:tcBorders>
            <w:vAlign w:val="center"/>
          </w:tcPr>
          <w:p w14:paraId="3307854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流程的灵活配置</w:t>
            </w:r>
          </w:p>
        </w:tc>
        <w:tc>
          <w:tcPr>
            <w:tcW w:w="2135" w:type="dxa"/>
            <w:tcBorders>
              <w:tl2br w:val="nil"/>
              <w:tr2bl w:val="nil"/>
            </w:tcBorders>
            <w:vAlign w:val="center"/>
          </w:tcPr>
          <w:p w14:paraId="6822822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字段映射表、流程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节点配置、优化参数配置、业务规则配置</w:t>
            </w:r>
          </w:p>
        </w:tc>
        <w:tc>
          <w:tcPr>
            <w:tcW w:w="2021" w:type="dxa"/>
            <w:tcBorders>
              <w:tl2br w:val="nil"/>
              <w:tr2bl w:val="nil"/>
            </w:tcBorders>
            <w:vAlign w:val="center"/>
          </w:tcPr>
          <w:p w14:paraId="6C41C3C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章 全部业务文档</w:t>
            </w:r>
          </w:p>
        </w:tc>
      </w:tr>
      <w:tr w14:paraId="11612A3B">
        <w:trPr>
          <w:trHeight w:val="1115" w:hRule="atLeast"/>
          <w:jc w:val="center"/>
        </w:trPr>
        <w:tc>
          <w:tcPr>
            <w:tcW w:w="2956" w:type="dxa"/>
            <w:tcBorders>
              <w:tl2br w:val="nil"/>
              <w:tr2bl w:val="nil"/>
            </w:tcBorders>
            <w:vAlign w:val="center"/>
          </w:tcPr>
          <w:p w14:paraId="7C53B4CD">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（3）集成可靠性：</w:t>
            </w:r>
            <w:r>
              <w:rPr>
                <w:rStyle w:val="82"/>
                <w:sz w:val="21"/>
                <w:szCs w:val="21"/>
                <w:lang w:val="en-US" w:eastAsia="zh-CN" w:bidi="ar"/>
              </w:rPr>
              <w:t>与其它系统的接口必须具备高可靠性与事务一致性</w:t>
            </w:r>
          </w:p>
        </w:tc>
        <w:tc>
          <w:tcPr>
            <w:tcW w:w="3205" w:type="dxa"/>
            <w:tcBorders>
              <w:tl2br w:val="nil"/>
              <w:tr2bl w:val="nil"/>
            </w:tcBorders>
            <w:vAlign w:val="center"/>
          </w:tcPr>
          <w:p w14:paraId="74A9888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采用统一数据服务层、接口</w:t>
            </w:r>
            <w:r>
              <w:rPr>
                <w:rFonts w:hint="eastAsia" w:ascii="宋体" w:hAnsi="宋体" w:cs="宋体"/>
                <w:i w:val="0"/>
                <w:iCs w:val="0"/>
                <w:color w:val="000000"/>
                <w:kern w:val="0"/>
                <w:sz w:val="21"/>
                <w:szCs w:val="21"/>
                <w:u w:val="none"/>
                <w:lang w:val="en-US" w:eastAsia="zh-CN" w:bidi="ar"/>
              </w:rPr>
              <w:t>请求</w:t>
            </w:r>
            <w:r>
              <w:rPr>
                <w:rFonts w:hint="eastAsia" w:ascii="宋体" w:hAnsi="宋体" w:eastAsia="宋体" w:cs="宋体"/>
                <w:i w:val="0"/>
                <w:iCs w:val="0"/>
                <w:color w:val="000000"/>
                <w:kern w:val="0"/>
                <w:sz w:val="21"/>
                <w:szCs w:val="21"/>
                <w:u w:val="none"/>
                <w:lang w:val="en-US" w:eastAsia="zh-CN" w:bidi="ar"/>
              </w:rPr>
              <w:t>重试</w:t>
            </w:r>
            <w:r>
              <w:rPr>
                <w:rFonts w:hint="eastAsia" w:ascii="宋体" w:hAnsi="宋体" w:eastAsia="宋体" w:cs="宋体"/>
                <w:i w:val="0"/>
                <w:iCs w:val="0"/>
                <w:color w:val="000000"/>
                <w:kern w:val="0"/>
                <w:sz w:val="21"/>
                <w:szCs w:val="21"/>
                <w:highlight w:val="none"/>
                <w:u w:val="none"/>
                <w:lang w:val="en-US" w:eastAsia="zh-CN" w:bidi="ar"/>
              </w:rPr>
              <w:t>、幂等控制</w:t>
            </w:r>
            <w:r>
              <w:rPr>
                <w:rFonts w:hint="eastAsia" w:ascii="宋体" w:hAnsi="宋体" w:cs="宋体"/>
                <w:i w:val="0"/>
                <w:iCs w:val="0"/>
                <w:color w:val="000000"/>
                <w:kern w:val="0"/>
                <w:sz w:val="21"/>
                <w:szCs w:val="21"/>
                <w:highlight w:val="none"/>
                <w:u w:val="none"/>
                <w:lang w:val="en-US" w:eastAsia="zh-CN" w:bidi="ar"/>
              </w:rPr>
              <w:t>（防重）</w:t>
            </w:r>
            <w:r>
              <w:rPr>
                <w:rFonts w:hint="eastAsia" w:ascii="宋体" w:hAnsi="宋体" w:eastAsia="宋体" w:cs="宋体"/>
                <w:i w:val="0"/>
                <w:iCs w:val="0"/>
                <w:color w:val="000000"/>
                <w:kern w:val="0"/>
                <w:sz w:val="21"/>
                <w:szCs w:val="21"/>
                <w:highlight w:val="none"/>
                <w:u w:val="none"/>
                <w:lang w:val="en-US" w:eastAsia="zh-CN" w:bidi="ar"/>
              </w:rPr>
              <w:t>、</w:t>
            </w:r>
            <w:r>
              <w:rPr>
                <w:rFonts w:hint="eastAsia" w:ascii="宋体" w:hAnsi="宋体" w:eastAsia="宋体" w:cs="宋体"/>
                <w:i w:val="0"/>
                <w:iCs w:val="0"/>
                <w:color w:val="000000"/>
                <w:kern w:val="0"/>
                <w:sz w:val="21"/>
                <w:szCs w:val="21"/>
                <w:u w:val="none"/>
                <w:lang w:val="en-US" w:eastAsia="zh-CN" w:bidi="ar"/>
              </w:rPr>
              <w:t>错误码与人工介入机制，保障跨系统数据一致性</w:t>
            </w:r>
          </w:p>
        </w:tc>
        <w:tc>
          <w:tcPr>
            <w:tcW w:w="2135" w:type="dxa"/>
            <w:tcBorders>
              <w:tl2br w:val="nil"/>
              <w:tr2bl w:val="nil"/>
            </w:tcBorders>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HTTP 接口定义超时、</w:t>
            </w:r>
            <w:r>
              <w:rPr>
                <w:rFonts w:hint="eastAsia" w:ascii="宋体" w:hAnsi="宋体" w:cs="宋体"/>
                <w:i w:val="0"/>
                <w:iCs w:val="0"/>
                <w:color w:val="000000"/>
                <w:kern w:val="0"/>
                <w:sz w:val="21"/>
                <w:szCs w:val="21"/>
                <w:u w:val="none"/>
                <w:lang w:val="en-US" w:eastAsia="zh-CN" w:bidi="ar"/>
              </w:rPr>
              <w:t>身份</w:t>
            </w:r>
            <w:r>
              <w:rPr>
                <w:rFonts w:hint="eastAsia" w:ascii="宋体" w:hAnsi="宋体" w:eastAsia="宋体" w:cs="宋体"/>
                <w:i w:val="0"/>
                <w:iCs w:val="0"/>
                <w:color w:val="000000"/>
                <w:kern w:val="0"/>
                <w:sz w:val="21"/>
                <w:szCs w:val="21"/>
                <w:u w:val="none"/>
                <w:lang w:val="en-US" w:eastAsia="zh-CN" w:bidi="ar"/>
              </w:rPr>
              <w:t>鉴权、完整链路日志记录和异常处理</w:t>
            </w:r>
          </w:p>
        </w:tc>
        <w:tc>
          <w:tcPr>
            <w:tcW w:w="2021" w:type="dxa"/>
            <w:tcBorders>
              <w:tl2br w:val="nil"/>
              <w:tr2bl w:val="nil"/>
            </w:tcBorders>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五</w:t>
            </w:r>
            <w:r>
              <w:rPr>
                <w:rFonts w:hint="eastAsia" w:ascii="宋体" w:hAnsi="宋体" w:eastAsia="宋体" w:cs="宋体"/>
                <w:i w:val="0"/>
                <w:iCs w:val="0"/>
                <w:color w:val="000000"/>
                <w:kern w:val="0"/>
                <w:sz w:val="21"/>
                <w:szCs w:val="21"/>
                <w:u w:val="none"/>
                <w:lang w:val="en-US" w:eastAsia="zh-CN" w:bidi="ar"/>
              </w:rPr>
              <w:t>章 SCOS 集成接口规范</w:t>
            </w:r>
          </w:p>
        </w:tc>
      </w:tr>
      <w:tr w14:paraId="409EA768">
        <w:trPr>
          <w:trHeight w:val="1245" w:hRule="atLeast"/>
          <w:jc w:val="center"/>
        </w:trPr>
        <w:tc>
          <w:tcPr>
            <w:tcW w:w="2956" w:type="dxa"/>
            <w:tcBorders>
              <w:tl2br w:val="nil"/>
              <w:tr2bl w:val="nil"/>
            </w:tcBorders>
            <w:vAlign w:val="center"/>
          </w:tcPr>
          <w:p w14:paraId="2CA61F05">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（4）安全性：</w:t>
            </w:r>
            <w:r>
              <w:rPr>
                <w:rStyle w:val="82"/>
                <w:sz w:val="21"/>
                <w:szCs w:val="21"/>
                <w:lang w:val="en-US" w:eastAsia="zh-CN" w:bidi="ar"/>
              </w:rPr>
              <w:t>成本、价格、供应商信息等核心供应链数据须具备严格的访问控制、操作审计与数据加密保护</w:t>
            </w:r>
          </w:p>
        </w:tc>
        <w:tc>
          <w:tcPr>
            <w:tcW w:w="3205" w:type="dxa"/>
            <w:tcBorders>
              <w:tl2br w:val="nil"/>
              <w:tr2bl w:val="nil"/>
            </w:tcBorders>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，数据库</w:t>
            </w:r>
            <w:r>
              <w:rPr>
                <w:rFonts w:hint="eastAsia" w:ascii="宋体" w:hAnsi="宋体" w:cs="宋体"/>
                <w:i w:val="0"/>
                <w:iCs w:val="0"/>
                <w:color w:val="000000"/>
                <w:kern w:val="0"/>
                <w:sz w:val="21"/>
                <w:szCs w:val="21"/>
                <w:highlight w:val="none"/>
                <w:u w:val="none"/>
                <w:lang w:val="en-US" w:eastAsia="zh-CN" w:bidi="ar"/>
              </w:rPr>
              <w:t>文档</w:t>
            </w:r>
            <w:r>
              <w:rPr>
                <w:rFonts w:hint="eastAsia" w:ascii="宋体" w:hAnsi="宋体" w:eastAsia="宋体" w:cs="宋体"/>
                <w:i w:val="0"/>
                <w:iCs w:val="0"/>
                <w:color w:val="000000"/>
                <w:kern w:val="0"/>
                <w:sz w:val="21"/>
                <w:szCs w:val="21"/>
                <w:highlight w:val="none"/>
                <w:u w:val="none"/>
                <w:lang w:val="en-US" w:eastAsia="zh-CN" w:bidi="ar"/>
              </w:rPr>
              <w:t>加密处理</w:t>
            </w:r>
          </w:p>
        </w:tc>
        <w:tc>
          <w:tcPr>
            <w:tcW w:w="2135" w:type="dxa"/>
            <w:tcBorders>
              <w:tl2br w:val="nil"/>
              <w:tr2bl w:val="nil"/>
            </w:tcBorders>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RBAC角色权限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、ABAC字段权限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、接口鉴权、操作审计</w:t>
            </w:r>
          </w:p>
        </w:tc>
        <w:tc>
          <w:tcPr>
            <w:tcW w:w="2021" w:type="dxa"/>
            <w:tcBorders>
              <w:tl2br w:val="nil"/>
              <w:tr2bl w:val="nil"/>
            </w:tcBorders>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cs="宋体"/>
                <w:i w:val="0"/>
                <w:iCs w:val="0"/>
                <w:color w:val="000000"/>
                <w:kern w:val="0"/>
                <w:sz w:val="21"/>
                <w:szCs w:val="21"/>
                <w:u w:val="none"/>
                <w:lang w:val="en-US" w:eastAsia="zh-CN" w:bidi="ar"/>
              </w:rPr>
              <w:t>2.4</w:t>
            </w:r>
            <w:r>
              <w:rPr>
                <w:rFonts w:hint="eastAsia" w:ascii="宋体" w:hAnsi="宋体" w:eastAsia="宋体" w:cs="宋体"/>
                <w:i w:val="0"/>
                <w:iCs w:val="0"/>
                <w:color w:val="000000"/>
                <w:kern w:val="0"/>
                <w:sz w:val="21"/>
                <w:szCs w:val="21"/>
                <w:u w:val="none"/>
                <w:lang w:val="en-US" w:eastAsia="zh-CN" w:bidi="ar"/>
              </w:rPr>
              <w:t xml:space="preserve"> SCOS 角色权限矩阵</w:t>
            </w:r>
          </w:p>
        </w:tc>
      </w:tr>
      <w:tr w14:paraId="272C9F25">
        <w:trPr>
          <w:trHeight w:val="934" w:hRule="atLeast"/>
          <w:jc w:val="center"/>
        </w:trPr>
        <w:tc>
          <w:tcPr>
            <w:tcW w:w="2956" w:type="dxa"/>
            <w:tcBorders>
              <w:tl2br w:val="nil"/>
              <w:tr2bl w:val="nil"/>
            </w:tcBorders>
            <w:vAlign w:val="center"/>
          </w:tcPr>
          <w:p w14:paraId="191CBC6F">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（5）易用性与协同性：</w:t>
            </w:r>
            <w:r>
              <w:rPr>
                <w:rStyle w:val="82"/>
                <w:sz w:val="21"/>
                <w:szCs w:val="21"/>
                <w:lang w:val="en-US" w:eastAsia="zh-CN" w:bidi="ar"/>
              </w:rPr>
              <w:t>界面应直观，便于计划、采购、生产、物流、销售多角色在线协同工作</w:t>
            </w:r>
          </w:p>
        </w:tc>
        <w:tc>
          <w:tcPr>
            <w:tcW w:w="3205" w:type="dxa"/>
            <w:tcBorders>
              <w:tl2br w:val="nil"/>
              <w:tr2bl w:val="nil"/>
            </w:tcBorders>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通过计划池、需求汇总、复核确认、异常预警支持跨部门在线协同，计划调整自动同步相关环节</w:t>
            </w:r>
          </w:p>
        </w:tc>
        <w:tc>
          <w:tcPr>
            <w:tcW w:w="2135" w:type="dxa"/>
            <w:tcBorders>
              <w:tl2br w:val="nil"/>
              <w:tr2bl w:val="nil"/>
            </w:tcBorders>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流程表单标准化、消息通知闭环、数据联动更新</w:t>
            </w:r>
          </w:p>
        </w:tc>
        <w:tc>
          <w:tcPr>
            <w:tcW w:w="2021" w:type="dxa"/>
            <w:tcBorders>
              <w:tl2br w:val="nil"/>
              <w:tr2bl w:val="nil"/>
            </w:tcBorders>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478A3F52">
        <w:trPr>
          <w:trHeight w:val="980" w:hRule="atLeast"/>
          <w:jc w:val="center"/>
        </w:trPr>
        <w:tc>
          <w:tcPr>
            <w:tcW w:w="2956" w:type="dxa"/>
            <w:tcBorders>
              <w:tl2br w:val="nil"/>
              <w:tr2bl w:val="nil"/>
            </w:tcBorders>
            <w:vAlign w:val="center"/>
          </w:tcPr>
          <w:p w14:paraId="6934B789">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（6）可用性要求：</w:t>
            </w:r>
            <w:r>
              <w:rPr>
                <w:rStyle w:val="82"/>
                <w:sz w:val="21"/>
                <w:szCs w:val="21"/>
                <w:lang w:val="en-US" w:eastAsia="zh-CN" w:bidi="ar"/>
              </w:rPr>
              <w:t>系统需 7×24 稳定运行，年可用率≥99.5%</w:t>
            </w:r>
          </w:p>
        </w:tc>
        <w:tc>
          <w:tcPr>
            <w:tcW w:w="3205" w:type="dxa"/>
            <w:tcBorders>
              <w:tl2br w:val="nil"/>
              <w:tr2bl w:val="nil"/>
            </w:tcBorders>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系统建立日常运维监控机制，对系统运行状态、数据备份、接口调用情况进行监控；制定数据备份策略，定期进行数据库备份，确保数据可恢复</w:t>
            </w:r>
          </w:p>
        </w:tc>
        <w:tc>
          <w:tcPr>
            <w:tcW w:w="2135" w:type="dxa"/>
            <w:tcBorders>
              <w:tl2br w:val="nil"/>
              <w:tr2bl w:val="nil"/>
            </w:tcBorders>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系统运行状态监控、数据备份机制、接口调用监控、灾备方案</w:t>
            </w:r>
          </w:p>
        </w:tc>
        <w:tc>
          <w:tcPr>
            <w:tcW w:w="2021" w:type="dxa"/>
            <w:tcBorders>
              <w:tl2br w:val="nil"/>
              <w:tr2bl w:val="nil"/>
            </w:tcBorders>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5D25443F">
        <w:trPr>
          <w:trHeight w:val="934" w:hRule="atLeast"/>
          <w:jc w:val="center"/>
        </w:trPr>
        <w:tc>
          <w:tcPr>
            <w:tcW w:w="2956" w:type="dxa"/>
            <w:tcBorders>
              <w:tl2br w:val="nil"/>
              <w:tr2bl w:val="nil"/>
            </w:tcBorders>
            <w:vAlign w:val="center"/>
          </w:tcPr>
          <w:p w14:paraId="6B5D228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（7）性能要求：</w:t>
            </w:r>
            <w:r>
              <w:rPr>
                <w:rStyle w:val="82"/>
                <w:sz w:val="21"/>
                <w:szCs w:val="21"/>
                <w:lang w:val="en-US" w:eastAsia="zh-CN" w:bidi="ar"/>
              </w:rPr>
              <w:t>页面响应≤</w:t>
            </w:r>
            <w:r>
              <w:rPr>
                <w:rStyle w:val="82"/>
                <w:rFonts w:hint="eastAsia"/>
                <w:sz w:val="21"/>
                <w:szCs w:val="21"/>
                <w:lang w:val="en-US" w:eastAsia="zh-CN" w:bidi="ar"/>
              </w:rPr>
              <w:t>5</w:t>
            </w:r>
            <w:r>
              <w:rPr>
                <w:rStyle w:val="82"/>
                <w:sz w:val="21"/>
                <w:szCs w:val="21"/>
                <w:lang w:val="en-US" w:eastAsia="zh-CN" w:bidi="ar"/>
              </w:rPr>
              <w:t>s，复杂查询≤10s，排程与优化计算≤30s</w:t>
            </w:r>
          </w:p>
        </w:tc>
        <w:tc>
          <w:tcPr>
            <w:tcW w:w="3205" w:type="dxa"/>
            <w:tcBorders>
              <w:tl2br w:val="nil"/>
              <w:tr2bl w:val="nil"/>
            </w:tcBorders>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常用</w:t>
            </w:r>
            <w:r>
              <w:rPr>
                <w:rFonts w:hint="eastAsia" w:ascii="宋体" w:hAnsi="宋体" w:cs="宋体"/>
                <w:i w:val="0"/>
                <w:iCs w:val="0"/>
                <w:color w:val="000000"/>
                <w:kern w:val="0"/>
                <w:sz w:val="21"/>
                <w:szCs w:val="21"/>
                <w:highlight w:val="none"/>
                <w:u w:val="none"/>
                <w:lang w:val="en-US" w:eastAsia="zh-CN" w:bidi="ar"/>
              </w:rPr>
              <w:t>数据</w:t>
            </w:r>
            <w:r>
              <w:rPr>
                <w:rFonts w:hint="eastAsia" w:ascii="宋体" w:hAnsi="宋体" w:eastAsia="宋体" w:cs="宋体"/>
                <w:i w:val="0"/>
                <w:iCs w:val="0"/>
                <w:color w:val="000000"/>
                <w:kern w:val="0"/>
                <w:sz w:val="21"/>
                <w:szCs w:val="21"/>
                <w:highlight w:val="none"/>
                <w:u w:val="none"/>
                <w:lang w:val="en-US" w:eastAsia="zh-CN" w:bidi="ar"/>
              </w:rPr>
              <w:t>与权限</w:t>
            </w:r>
            <w:r>
              <w:rPr>
                <w:rFonts w:hint="eastAsia" w:ascii="宋体" w:hAnsi="宋体" w:cs="宋体"/>
                <w:i w:val="0"/>
                <w:iCs w:val="0"/>
                <w:color w:val="000000"/>
                <w:kern w:val="0"/>
                <w:sz w:val="21"/>
                <w:szCs w:val="21"/>
                <w:highlight w:val="none"/>
                <w:u w:val="none"/>
                <w:lang w:val="en-US" w:eastAsia="zh-CN" w:bidi="ar"/>
              </w:rPr>
              <w:t>等</w:t>
            </w:r>
            <w:r>
              <w:rPr>
                <w:rFonts w:hint="eastAsia" w:ascii="宋体" w:hAnsi="宋体" w:eastAsia="宋体" w:cs="宋体"/>
                <w:i w:val="0"/>
                <w:iCs w:val="0"/>
                <w:color w:val="000000"/>
                <w:kern w:val="0"/>
                <w:sz w:val="21"/>
                <w:szCs w:val="21"/>
                <w:highlight w:val="none"/>
                <w:u w:val="none"/>
                <w:lang w:val="en-US" w:eastAsia="zh-CN" w:bidi="ar"/>
              </w:rPr>
              <w:t>热数据常态缓存</w:t>
            </w:r>
            <w:r>
              <w:rPr>
                <w:rFonts w:hint="eastAsia" w:ascii="宋体" w:hAnsi="宋体" w:cs="宋体"/>
                <w:i w:val="0"/>
                <w:iCs w:val="0"/>
                <w:color w:val="000000"/>
                <w:kern w:val="0"/>
                <w:sz w:val="21"/>
                <w:szCs w:val="21"/>
                <w:highlight w:val="none"/>
                <w:u w:val="none"/>
                <w:lang w:val="en-US" w:eastAsia="zh-CN" w:bidi="ar"/>
              </w:rPr>
              <w:t>化</w:t>
            </w:r>
            <w:r>
              <w:rPr>
                <w:rFonts w:hint="eastAsia" w:ascii="宋体" w:hAnsi="宋体" w:eastAsia="宋体" w:cs="宋体"/>
                <w:i w:val="0"/>
                <w:iCs w:val="0"/>
                <w:color w:val="000000"/>
                <w:kern w:val="0"/>
                <w:sz w:val="21"/>
                <w:szCs w:val="21"/>
                <w:highlight w:val="none"/>
                <w:u w:val="none"/>
                <w:lang w:val="en-US" w:eastAsia="zh-CN" w:bidi="ar"/>
              </w:rPr>
              <w:t>，详情页采用索引、缓存和分页加速；复杂排程与优化计算采用异步任务队列处理</w:t>
            </w:r>
          </w:p>
        </w:tc>
        <w:tc>
          <w:tcPr>
            <w:tcW w:w="2135" w:type="dxa"/>
            <w:tcBorders>
              <w:tl2br w:val="nil"/>
              <w:tr2bl w:val="nil"/>
            </w:tcBorders>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页面查询优化、异步计算任务、结果缓存、接口 QPS</w:t>
            </w:r>
            <w:r>
              <w:rPr>
                <w:rFonts w:hint="eastAsia" w:ascii="宋体" w:hAnsi="宋体" w:cs="宋体"/>
                <w:i w:val="0"/>
                <w:iCs w:val="0"/>
                <w:color w:val="000000"/>
                <w:kern w:val="0"/>
                <w:sz w:val="21"/>
                <w:szCs w:val="21"/>
                <w:highlight w:val="none"/>
                <w:u w:val="none"/>
                <w:lang w:val="en-US" w:eastAsia="zh-CN" w:bidi="ar"/>
              </w:rPr>
              <w:t>（每秒请求数）</w:t>
            </w:r>
            <w:r>
              <w:rPr>
                <w:rFonts w:hint="eastAsia" w:ascii="宋体" w:hAnsi="宋体" w:eastAsia="宋体" w:cs="宋体"/>
                <w:i w:val="0"/>
                <w:iCs w:val="0"/>
                <w:color w:val="000000"/>
                <w:kern w:val="0"/>
                <w:sz w:val="21"/>
                <w:szCs w:val="21"/>
                <w:highlight w:val="none"/>
                <w:u w:val="none"/>
                <w:lang w:val="en-US" w:eastAsia="zh-CN" w:bidi="ar"/>
              </w:rPr>
              <w:t>限制与超时控制</w:t>
            </w:r>
          </w:p>
        </w:tc>
        <w:tc>
          <w:tcPr>
            <w:tcW w:w="2021" w:type="dxa"/>
            <w:tcBorders>
              <w:tl2br w:val="nil"/>
              <w:tr2bl w:val="nil"/>
            </w:tcBorders>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bl>
    <w:p w14:paraId="475E5FFC"/>
    <w:p w14:paraId="3F478F35">
      <w:pPr>
        <w:pStyle w:val="2"/>
        <w:keepNext/>
        <w:pageBreakBefore/>
        <w:rPr>
          <w:rFonts w:hint="eastAsia" w:ascii="黑体" w:hAnsi="黑体" w:eastAsia="黑体" w:cs="黑体"/>
          <w:color w:val="auto"/>
        </w:rPr>
      </w:pPr>
      <w:bookmarkStart w:id="71" w:name="_Toc240340066"/>
      <w:r>
        <w:rPr>
          <w:rFonts w:hint="eastAsia" w:ascii="黑体" w:hAnsi="黑体" w:eastAsia="黑体" w:cs="黑体"/>
          <w:b/>
          <w:color w:val="auto"/>
          <w:sz w:val="32"/>
        </w:rPr>
        <w:t>SCOS蓝图交付物清单</w:t>
      </w:r>
      <w:bookmarkEnd w:id="71"/>
    </w:p>
    <w:tbl>
      <w:tblPr>
        <w:tblStyle w:val="32"/>
        <w:tblW w:w="10298"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rPr>
          <w:trHeight w:val="514" w:hRule="atLeast"/>
          <w:tblHeader/>
          <w:jc w:val="center"/>
        </w:trPr>
        <w:tc>
          <w:tcPr>
            <w:tcW w:w="823" w:type="dxa"/>
            <w:tcBorders>
              <w:tl2br w:val="nil"/>
              <w:tr2bl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2246" w:type="dxa"/>
            <w:tcBorders>
              <w:tl2br w:val="nil"/>
              <w:tr2bl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交付物名称</w:t>
            </w:r>
          </w:p>
        </w:tc>
        <w:tc>
          <w:tcPr>
            <w:tcW w:w="1080" w:type="dxa"/>
            <w:tcBorders>
              <w:tl2br w:val="nil"/>
              <w:tr2bl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文件格式</w:t>
            </w:r>
          </w:p>
        </w:tc>
        <w:tc>
          <w:tcPr>
            <w:tcW w:w="2434" w:type="dxa"/>
            <w:tcBorders>
              <w:tl2br w:val="nil"/>
              <w:tr2bl w:val="nil"/>
            </w:tcBorders>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lang w:val="en-US" w:eastAsia="zh-CN"/>
              </w:rPr>
            </w:pPr>
            <w:r>
              <w:rPr>
                <w:rFonts w:hint="eastAsia" w:ascii="宋体" w:hAnsi="宋体" w:eastAsia="宋体" w:cs="宋体"/>
                <w:b/>
                <w:sz w:val="21"/>
                <w:szCs w:val="21"/>
              </w:rPr>
              <w:t>页数/</w:t>
            </w:r>
            <w:r>
              <w:rPr>
                <w:rFonts w:hint="eastAsia" w:ascii="宋体" w:hAnsi="宋体" w:eastAsia="宋体" w:cs="宋体"/>
                <w:b/>
                <w:sz w:val="21"/>
                <w:szCs w:val="21"/>
                <w:lang w:val="en-US" w:eastAsia="zh-CN"/>
              </w:rPr>
              <w:t>规模</w:t>
            </w:r>
          </w:p>
        </w:tc>
        <w:tc>
          <w:tcPr>
            <w:tcW w:w="2625" w:type="dxa"/>
            <w:tcBorders>
              <w:tl2br w:val="nil"/>
              <w:tr2bl w:val="nil"/>
            </w:tcBorders>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对应本细则条款号</w:t>
            </w:r>
          </w:p>
        </w:tc>
        <w:tc>
          <w:tcPr>
            <w:tcW w:w="1090" w:type="dxa"/>
            <w:tcBorders>
              <w:tl2br w:val="nil"/>
              <w:tr2bl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提交状态</w:t>
            </w:r>
          </w:p>
        </w:tc>
      </w:tr>
      <w:tr w14:paraId="1129939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2246" w:type="dxa"/>
            <w:tcBorders>
              <w:tl2br w:val="nil"/>
              <w:tr2bl w:val="nil"/>
            </w:tcBorders>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业务流程总览</w:t>
            </w:r>
          </w:p>
        </w:tc>
        <w:tc>
          <w:tcPr>
            <w:tcW w:w="1080" w:type="dxa"/>
            <w:tcBorders>
              <w:tl2br w:val="nil"/>
              <w:tr2bl w:val="nil"/>
            </w:tcBorders>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"_SCOS业务流程总览" </w:instrText>
            </w:r>
            <w:r>
              <w:rPr>
                <w:rFonts w:hint="eastAsia" w:ascii="宋体" w:hAnsi="宋体" w:eastAsia="宋体" w:cs="宋体"/>
                <w:sz w:val="21"/>
                <w:szCs w:val="21"/>
                <w:lang w:val="en-US" w:eastAsia="zh-CN"/>
              </w:rPr>
              <w:fldChar w:fldCharType="separate"/>
            </w:r>
            <w:r>
              <w:rPr>
                <w:rStyle w:val="36"/>
                <w:rFonts w:hint="eastAsia" w:ascii="宋体" w:hAnsi="宋体" w:eastAsia="宋体" w:cs="宋体"/>
                <w:sz w:val="21"/>
                <w:szCs w:val="21"/>
                <w:lang w:val="en-US" w:eastAsia="zh-CN"/>
              </w:rPr>
              <w:t>SCOS业务流程总览</w:t>
            </w:r>
            <w:r>
              <w:rPr>
                <w:rFonts w:hint="eastAsia" w:ascii="宋体" w:hAnsi="宋体" w:eastAsia="宋体" w:cs="宋体"/>
                <w:sz w:val="21"/>
                <w:szCs w:val="21"/>
                <w:lang w:val="en-US" w:eastAsia="zh-CN"/>
              </w:rPr>
              <w:fldChar w:fldCharType="end"/>
            </w:r>
          </w:p>
        </w:tc>
        <w:tc>
          <w:tcPr>
            <w:tcW w:w="2625" w:type="dxa"/>
            <w:tcBorders>
              <w:tl2br w:val="nil"/>
              <w:tr2bl w:val="nil"/>
            </w:tcBorders>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 SCOS</w:t>
            </w:r>
            <w:r>
              <w:rPr>
                <w:rFonts w:hint="eastAsia" w:ascii="宋体" w:hAnsi="宋体" w:eastAsia="宋体" w:cs="宋体"/>
                <w:sz w:val="21"/>
                <w:szCs w:val="21"/>
              </w:rPr>
              <w:t>业务流程总</w:t>
            </w:r>
            <w:r>
              <w:rPr>
                <w:rFonts w:hint="eastAsia" w:ascii="宋体" w:hAnsi="宋体" w:eastAsia="宋体" w:cs="宋体"/>
                <w:sz w:val="21"/>
                <w:szCs w:val="21"/>
                <w:lang w:val="en-US" w:eastAsia="zh-CN"/>
              </w:rPr>
              <w:t>图</w:t>
            </w:r>
          </w:p>
        </w:tc>
        <w:tc>
          <w:tcPr>
            <w:tcW w:w="1090" w:type="dxa"/>
            <w:tcBorders>
              <w:tl2br w:val="nil"/>
              <w:tr2bl w:val="nil"/>
            </w:tcBorders>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6F06DF0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2246" w:type="dxa"/>
            <w:tcBorders>
              <w:tl2br w:val="nil"/>
              <w:tr2bl w:val="nil"/>
            </w:tcBorders>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关键业务流程说明</w:t>
            </w:r>
          </w:p>
        </w:tc>
        <w:tc>
          <w:tcPr>
            <w:tcW w:w="1080" w:type="dxa"/>
            <w:tcBorders>
              <w:tl2br w:val="nil"/>
              <w:tr2bl w:val="nil"/>
            </w:tcBorders>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"_【核心部分-待后续优化】关键业务流程说明" </w:instrText>
            </w:r>
            <w:r>
              <w:rPr>
                <w:rFonts w:hint="eastAsia" w:ascii="宋体" w:hAnsi="宋体" w:eastAsia="宋体" w:cs="宋体"/>
                <w:sz w:val="21"/>
                <w:szCs w:val="21"/>
              </w:rPr>
              <w:fldChar w:fldCharType="separate"/>
            </w:r>
            <w:r>
              <w:rPr>
                <w:rStyle w:val="36"/>
                <w:rFonts w:hint="eastAsia" w:ascii="宋体" w:hAnsi="宋体" w:eastAsia="宋体" w:cs="宋体"/>
                <w:sz w:val="21"/>
                <w:szCs w:val="21"/>
              </w:rPr>
              <w:t>SCOS关键业务流程说明</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1"/>
                <w:szCs w:val="21"/>
                <w:lang w:val="en-US"/>
              </w:rPr>
            </w:pPr>
            <w:r>
              <w:rPr>
                <w:rFonts w:hint="eastAsia" w:ascii="宋体" w:hAnsi="宋体" w:eastAsia="宋体" w:cs="宋体"/>
                <w:sz w:val="21"/>
                <w:szCs w:val="21"/>
                <w:lang w:val="en-US" w:eastAsia="zh-CN"/>
              </w:rPr>
              <w:t>2.2 SCOS关键业务流程说明</w:t>
            </w:r>
          </w:p>
        </w:tc>
        <w:tc>
          <w:tcPr>
            <w:tcW w:w="1090" w:type="dxa"/>
            <w:tcBorders>
              <w:tl2br w:val="nil"/>
              <w:tr2bl w:val="nil"/>
            </w:tcBorders>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5DCE4959">
        <w:trPr>
          <w:trHeight w:val="517"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3</w:t>
            </w:r>
          </w:p>
        </w:tc>
        <w:tc>
          <w:tcPr>
            <w:tcW w:w="2246" w:type="dxa"/>
            <w:tcBorders>
              <w:tl2br w:val="nil"/>
              <w:tr2bl w:val="nil"/>
            </w:tcBorders>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rPr>
              <w:t>系统边界与分工表</w:t>
            </w:r>
          </w:p>
        </w:tc>
        <w:tc>
          <w:tcPr>
            <w:tcW w:w="1080" w:type="dxa"/>
            <w:tcBorders>
              <w:tl2br w:val="nil"/>
              <w:tr2bl w:val="nil"/>
            </w:tcBorders>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"_系统边界与分工"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SCOS系统边界与分工</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2.2.6 SCOS</w:t>
            </w:r>
            <w:r>
              <w:rPr>
                <w:rFonts w:hint="eastAsia" w:ascii="宋体" w:hAnsi="宋体" w:eastAsia="宋体" w:cs="宋体"/>
                <w:sz w:val="21"/>
                <w:szCs w:val="21"/>
              </w:rPr>
              <w:t>系统边界与分工</w:t>
            </w:r>
          </w:p>
        </w:tc>
        <w:tc>
          <w:tcPr>
            <w:tcW w:w="1090" w:type="dxa"/>
            <w:tcBorders>
              <w:tl2br w:val="nil"/>
              <w:tr2bl w:val="nil"/>
            </w:tcBorders>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2529D958">
        <w:trPr>
          <w:trHeight w:val="445"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w:t>
            </w:r>
          </w:p>
        </w:tc>
        <w:tc>
          <w:tcPr>
            <w:tcW w:w="2246" w:type="dxa"/>
            <w:tcBorders>
              <w:tl2br w:val="nil"/>
              <w:tr2bl w:val="nil"/>
            </w:tcBorders>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SCOS功能架构</w:t>
            </w:r>
          </w:p>
        </w:tc>
        <w:tc>
          <w:tcPr>
            <w:tcW w:w="1080" w:type="dxa"/>
            <w:tcBorders>
              <w:tl2br w:val="nil"/>
              <w:tr2bl w:val="nil"/>
            </w:tcBorders>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"_功能架构"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SCOS功能架构</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2.3 SCOS功能架构图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2D6A628">
        <w:trPr>
          <w:trHeight w:val="508" w:hRule="atLeast"/>
          <w:jc w:val="center"/>
        </w:trPr>
        <w:tc>
          <w:tcPr>
            <w:tcW w:w="823" w:type="dxa"/>
            <w:tcBorders>
              <w:tl2br w:val="nil"/>
              <w:tr2bl w:val="nil"/>
            </w:tcBorders>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2246" w:type="dxa"/>
            <w:tcBorders>
              <w:tl2br w:val="nil"/>
              <w:tr2bl w:val="nil"/>
            </w:tcBorders>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角色权限矩阵</w:t>
            </w:r>
          </w:p>
        </w:tc>
        <w:tc>
          <w:tcPr>
            <w:tcW w:w="1080" w:type="dxa"/>
            <w:tcBorders>
              <w:tl2br w:val="nil"/>
              <w:tr2bl w:val="nil"/>
            </w:tcBorders>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"_SCOS角色权限矩阵"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SCOS角色权限矩阵</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2.4 SCOS</w:t>
            </w:r>
            <w:r>
              <w:rPr>
                <w:rFonts w:hint="eastAsia" w:ascii="宋体" w:hAnsi="宋体" w:eastAsia="宋体" w:cs="宋体"/>
                <w:sz w:val="21"/>
                <w:szCs w:val="21"/>
              </w:rPr>
              <w:t>角色权限矩阵</w:t>
            </w:r>
          </w:p>
        </w:tc>
        <w:tc>
          <w:tcPr>
            <w:tcW w:w="1090" w:type="dxa"/>
            <w:tcBorders>
              <w:tl2br w:val="nil"/>
              <w:tr2bl w:val="nil"/>
            </w:tcBorders>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2AE35F98">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6</w:t>
            </w:r>
          </w:p>
        </w:tc>
        <w:tc>
          <w:tcPr>
            <w:tcW w:w="2246" w:type="dxa"/>
            <w:tcBorders>
              <w:tl2br w:val="nil"/>
              <w:tr2bl w:val="nil"/>
            </w:tcBorders>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业务规则清单</w:t>
            </w:r>
          </w:p>
        </w:tc>
        <w:tc>
          <w:tcPr>
            <w:tcW w:w="1080" w:type="dxa"/>
            <w:tcBorders>
              <w:tl2br w:val="nil"/>
              <w:tr2bl w:val="nil"/>
            </w:tcBorders>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"_SCOS业务规则清单"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SCOS业务规则清单</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2.5 SCOS</w:t>
            </w:r>
            <w:r>
              <w:rPr>
                <w:rFonts w:hint="eastAsia" w:ascii="宋体" w:hAnsi="宋体" w:eastAsia="宋体" w:cs="宋体"/>
                <w:sz w:val="21"/>
                <w:szCs w:val="21"/>
              </w:rPr>
              <w:t>业务规则清单</w:t>
            </w:r>
          </w:p>
        </w:tc>
        <w:tc>
          <w:tcPr>
            <w:tcW w:w="1090" w:type="dxa"/>
            <w:tcBorders>
              <w:tl2br w:val="nil"/>
              <w:tr2bl w:val="nil"/>
            </w:tcBorders>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BE5791C">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2246" w:type="dxa"/>
            <w:tcBorders>
              <w:tl2br w:val="nil"/>
              <w:tr2bl w:val="nil"/>
            </w:tcBorders>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数据流架构图</w:t>
            </w:r>
          </w:p>
        </w:tc>
        <w:tc>
          <w:tcPr>
            <w:tcW w:w="1080" w:type="dxa"/>
            <w:tcBorders>
              <w:tl2br w:val="nil"/>
              <w:tr2bl w:val="nil"/>
            </w:tcBorders>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"_SCOS数据流架构图"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SCOS数据流架构图</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4.1 SCOS</w:t>
            </w:r>
            <w:r>
              <w:rPr>
                <w:rFonts w:hint="eastAsia" w:ascii="宋体" w:hAnsi="宋体" w:eastAsia="宋体" w:cs="宋体"/>
                <w:sz w:val="21"/>
                <w:szCs w:val="21"/>
              </w:rPr>
              <w:t>数据流架构图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4F9D22A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8</w:t>
            </w:r>
          </w:p>
        </w:tc>
        <w:tc>
          <w:tcPr>
            <w:tcW w:w="2246" w:type="dxa"/>
            <w:tcBorders>
              <w:tl2br w:val="nil"/>
              <w:tr2bl w:val="nil"/>
            </w:tcBorders>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数据实体与字段映射表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"_SCOS数据实体与字段映射表"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SCOS数据实体与字段映射表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4.2 SCOS</w:t>
            </w:r>
            <w:r>
              <w:rPr>
                <w:rFonts w:hint="eastAsia" w:ascii="宋体" w:hAnsi="宋体" w:eastAsia="宋体" w:cs="宋体"/>
                <w:sz w:val="21"/>
                <w:szCs w:val="21"/>
              </w:rPr>
              <w:t>数据实体与字段映射表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D227824">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w:t>
            </w:r>
          </w:p>
        </w:tc>
        <w:tc>
          <w:tcPr>
            <w:tcW w:w="2246" w:type="dxa"/>
            <w:tcBorders>
              <w:tl2br w:val="nil"/>
              <w:tr2bl w:val="nil"/>
            </w:tcBorders>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集成接口规范</w:t>
            </w:r>
          </w:p>
        </w:tc>
        <w:tc>
          <w:tcPr>
            <w:tcW w:w="1080" w:type="dxa"/>
            <w:tcBorders>
              <w:tl2br w:val="nil"/>
              <w:tr2bl w:val="nil"/>
            </w:tcBorders>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"_【待优化-格式不对】SCOS集成接口规范"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SCOS集成接口规范</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五、SCOS</w:t>
            </w:r>
            <w:r>
              <w:rPr>
                <w:rFonts w:hint="eastAsia" w:ascii="宋体" w:hAnsi="宋体" w:eastAsia="宋体" w:cs="宋体"/>
                <w:sz w:val="21"/>
                <w:szCs w:val="21"/>
              </w:rPr>
              <w:t>集成接口规范</w:t>
            </w:r>
          </w:p>
        </w:tc>
        <w:tc>
          <w:tcPr>
            <w:tcW w:w="1090" w:type="dxa"/>
            <w:tcBorders>
              <w:tl2br w:val="nil"/>
              <w:tr2bl w:val="nil"/>
            </w:tcBorders>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5E8499E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5B5015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2246" w:type="dxa"/>
            <w:tcBorders>
              <w:tl2br w:val="nil"/>
              <w:tr2bl w:val="nil"/>
            </w:tcBorders>
            <w:shd w:val="clear" w:color="auto" w:fill="auto"/>
            <w:noWrap w:val="0"/>
            <w:tcMar>
              <w:top w:w="-1" w:type="dxa"/>
              <w:left w:w="-1" w:type="dxa"/>
              <w:bottom w:w="-1" w:type="dxa"/>
              <w:right w:w="-1" w:type="dxa"/>
            </w:tcMar>
            <w:vAlign w:val="center"/>
          </w:tcPr>
          <w:p w14:paraId="312CFB0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SCOS业务场景-智能化覆盖率映射表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3F6EC2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8F3F1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"_【待优化-格式不对】SCOS业务场景-智能化覆盖率映射表" </w:instrText>
            </w:r>
            <w:r>
              <w:rPr>
                <w:rFonts w:hint="eastAsia" w:ascii="宋体" w:hAnsi="宋体" w:eastAsia="宋体" w:cs="宋体"/>
                <w:sz w:val="21"/>
                <w:szCs w:val="21"/>
                <w:lang w:val="en-US" w:eastAsia="zh-CN"/>
              </w:rPr>
              <w:fldChar w:fldCharType="separate"/>
            </w:r>
            <w:r>
              <w:rPr>
                <w:rStyle w:val="37"/>
                <w:rFonts w:hint="eastAsia" w:ascii="宋体" w:hAnsi="宋体" w:eastAsia="宋体" w:cs="宋体"/>
                <w:sz w:val="21"/>
                <w:szCs w:val="21"/>
                <w:lang w:val="en-US" w:eastAsia="zh-CN"/>
              </w:rPr>
              <w:t>SCOS业务场景-智能化覆盖率映射表</w:t>
            </w:r>
            <w:r>
              <w:rPr>
                <w:rFonts w:hint="eastAsia" w:ascii="宋体" w:hAnsi="宋体" w:eastAsia="宋体" w:cs="宋体"/>
                <w:sz w:val="21"/>
                <w:szCs w:val="21"/>
                <w:lang w:val="en-US" w:eastAsia="zh-CN"/>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EC64C9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六、SCOS业务场景-智能化覆盖率映射表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6854B8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205D43C">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w:t>
            </w:r>
          </w:p>
        </w:tc>
        <w:tc>
          <w:tcPr>
            <w:tcW w:w="2246" w:type="dxa"/>
            <w:tcBorders>
              <w:tl2br w:val="nil"/>
              <w:tr2bl w:val="nil"/>
            </w:tcBorders>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非功能性需求响应表</w:t>
            </w:r>
          </w:p>
        </w:tc>
        <w:tc>
          <w:tcPr>
            <w:tcW w:w="1080" w:type="dxa"/>
            <w:tcBorders>
              <w:tl2br w:val="nil"/>
              <w:tr2bl w:val="nil"/>
            </w:tcBorders>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"_SCOS非功能性需求响应表"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SCOS非功能性需求响应表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七、SCOS</w:t>
            </w:r>
            <w:r>
              <w:rPr>
                <w:rFonts w:hint="eastAsia" w:ascii="宋体" w:hAnsi="宋体" w:eastAsia="宋体" w:cs="宋体"/>
                <w:sz w:val="21"/>
                <w:szCs w:val="21"/>
              </w:rPr>
              <w:t>非功能性需求响应表</w:t>
            </w:r>
          </w:p>
        </w:tc>
        <w:tc>
          <w:tcPr>
            <w:tcW w:w="1090" w:type="dxa"/>
            <w:tcBorders>
              <w:tl2br w:val="nil"/>
              <w:tr2bl w:val="nil"/>
            </w:tcBorders>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1FA6F1FE">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2</w:t>
            </w:r>
          </w:p>
        </w:tc>
        <w:tc>
          <w:tcPr>
            <w:tcW w:w="2246" w:type="dxa"/>
            <w:tcBorders>
              <w:tl2br w:val="nil"/>
              <w:tr2bl w:val="nil"/>
            </w:tcBorders>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蓝图交付物清单</w:t>
            </w:r>
          </w:p>
        </w:tc>
        <w:tc>
          <w:tcPr>
            <w:tcW w:w="1080" w:type="dxa"/>
            <w:tcBorders>
              <w:tl2br w:val="nil"/>
              <w:tr2bl w:val="nil"/>
            </w:tcBorders>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"_【待输出】SCOS蓝图交付物清单"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SCOS蓝图交付物清单</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八、SCOS</w:t>
            </w:r>
            <w:r>
              <w:rPr>
                <w:rFonts w:hint="eastAsia" w:ascii="宋体" w:hAnsi="宋体" w:eastAsia="宋体" w:cs="宋体"/>
                <w:sz w:val="21"/>
                <w:szCs w:val="21"/>
              </w:rPr>
              <w:t>蓝图交付物清单</w:t>
            </w:r>
          </w:p>
        </w:tc>
        <w:tc>
          <w:tcPr>
            <w:tcW w:w="1090" w:type="dxa"/>
            <w:tcBorders>
              <w:tl2br w:val="nil"/>
              <w:tr2bl w:val="nil"/>
            </w:tcBorders>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7A9D2"/>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BF0310"/>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75D4F"/>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BD69B9"/>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319BA"/>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2E3B"/>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EFF668B"/>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5B9F"/>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BF96C"/>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E3FBC1"/>
    <w:rsid w:val="4EF23735"/>
    <w:rsid w:val="4EF902B0"/>
    <w:rsid w:val="4EFE032C"/>
    <w:rsid w:val="4F0F4779"/>
    <w:rsid w:val="4F174A8C"/>
    <w:rsid w:val="4F583D63"/>
    <w:rsid w:val="4F592503"/>
    <w:rsid w:val="4F6F8B0A"/>
    <w:rsid w:val="4F7BF45A"/>
    <w:rsid w:val="4F7F4E05"/>
    <w:rsid w:val="4F8DC100"/>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DAA665"/>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3FB6FA"/>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CF743D"/>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C73051"/>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4350"/>
    <w:rsid w:val="5EFB6493"/>
    <w:rsid w:val="5EFDF16C"/>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BD2A5"/>
    <w:rsid w:val="5FFCB86E"/>
    <w:rsid w:val="5FFCCFEF"/>
    <w:rsid w:val="5FFD6422"/>
    <w:rsid w:val="5FFE82FB"/>
    <w:rsid w:val="5FFF2132"/>
    <w:rsid w:val="5FFF2478"/>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770C5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781CA"/>
    <w:rsid w:val="6CEA1EDF"/>
    <w:rsid w:val="6CF5580F"/>
    <w:rsid w:val="6CFB0115"/>
    <w:rsid w:val="6CFC5A53"/>
    <w:rsid w:val="6D0A4613"/>
    <w:rsid w:val="6D0F7C1C"/>
    <w:rsid w:val="6D1B4804"/>
    <w:rsid w:val="6D21195D"/>
    <w:rsid w:val="6D285BB7"/>
    <w:rsid w:val="6D291C5E"/>
    <w:rsid w:val="6D376AB8"/>
    <w:rsid w:val="6D3C105A"/>
    <w:rsid w:val="6D3F3718"/>
    <w:rsid w:val="6D406899"/>
    <w:rsid w:val="6D4A2C62"/>
    <w:rsid w:val="6D66182D"/>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EF5ACC"/>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B17E6"/>
    <w:rsid w:val="749C0C4A"/>
    <w:rsid w:val="74AF3B68"/>
    <w:rsid w:val="74B22B0A"/>
    <w:rsid w:val="74B4020F"/>
    <w:rsid w:val="74D996C1"/>
    <w:rsid w:val="74E46B7B"/>
    <w:rsid w:val="74E66F97"/>
    <w:rsid w:val="74EF9BEE"/>
    <w:rsid w:val="74F47DEE"/>
    <w:rsid w:val="74F5C14B"/>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9BB09"/>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C208A"/>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6C22"/>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D7D65"/>
    <w:rsid w:val="7BBE3C27"/>
    <w:rsid w:val="7BBFC333"/>
    <w:rsid w:val="7BBFC387"/>
    <w:rsid w:val="7BBFCEEC"/>
    <w:rsid w:val="7BC8F17D"/>
    <w:rsid w:val="7BCE76B2"/>
    <w:rsid w:val="7BD66276"/>
    <w:rsid w:val="7BD754CD"/>
    <w:rsid w:val="7BD7816E"/>
    <w:rsid w:val="7BDA1655"/>
    <w:rsid w:val="7BDED489"/>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EE2025"/>
    <w:rsid w:val="7CF65414"/>
    <w:rsid w:val="7CFD9520"/>
    <w:rsid w:val="7CFE5CAF"/>
    <w:rsid w:val="7CFF60D8"/>
    <w:rsid w:val="7CFFBEEF"/>
    <w:rsid w:val="7CFFD058"/>
    <w:rsid w:val="7D07578C"/>
    <w:rsid w:val="7D0A5F6A"/>
    <w:rsid w:val="7D0C7F34"/>
    <w:rsid w:val="7D0E6E9F"/>
    <w:rsid w:val="7D1C7A4B"/>
    <w:rsid w:val="7D23702C"/>
    <w:rsid w:val="7D374D33"/>
    <w:rsid w:val="7D37782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1335"/>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0C11"/>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6D6954"/>
    <w:rsid w:val="7E785749"/>
    <w:rsid w:val="7E7EFF04"/>
    <w:rsid w:val="7E7FC91B"/>
    <w:rsid w:val="7E8169F8"/>
    <w:rsid w:val="7E926980"/>
    <w:rsid w:val="7E951C6A"/>
    <w:rsid w:val="7E97A8A7"/>
    <w:rsid w:val="7E9A9745"/>
    <w:rsid w:val="7EAC0D86"/>
    <w:rsid w:val="7EB18D0D"/>
    <w:rsid w:val="7EB70CC9"/>
    <w:rsid w:val="7EB70CDE"/>
    <w:rsid w:val="7EBB7375"/>
    <w:rsid w:val="7EBBE874"/>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DE39C"/>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28D"/>
    <w:rsid w:val="7F9FD9EC"/>
    <w:rsid w:val="7F9FF007"/>
    <w:rsid w:val="7FA288B2"/>
    <w:rsid w:val="7FA56CBA"/>
    <w:rsid w:val="7FAB1B6C"/>
    <w:rsid w:val="7FAB5503"/>
    <w:rsid w:val="7FADC52C"/>
    <w:rsid w:val="7FAE1F83"/>
    <w:rsid w:val="7FAF004A"/>
    <w:rsid w:val="7FAF3B77"/>
    <w:rsid w:val="7FAF67D1"/>
    <w:rsid w:val="7FAFA22C"/>
    <w:rsid w:val="7FB1B426"/>
    <w:rsid w:val="7FB31036"/>
    <w:rsid w:val="7FB71B95"/>
    <w:rsid w:val="7FB7359B"/>
    <w:rsid w:val="7FB796A0"/>
    <w:rsid w:val="7FB9453E"/>
    <w:rsid w:val="7FB96E7E"/>
    <w:rsid w:val="7FBA2458"/>
    <w:rsid w:val="7FBB28C8"/>
    <w:rsid w:val="7FBBE37D"/>
    <w:rsid w:val="7FBC51B1"/>
    <w:rsid w:val="7FBC6330"/>
    <w:rsid w:val="7FBC6DFA"/>
    <w:rsid w:val="7FBD0F25"/>
    <w:rsid w:val="7FBD6926"/>
    <w:rsid w:val="7FBDBCF1"/>
    <w:rsid w:val="7FBDFDA8"/>
    <w:rsid w:val="7FBF085D"/>
    <w:rsid w:val="7FBF85D0"/>
    <w:rsid w:val="7FBFF27E"/>
    <w:rsid w:val="7FC31497"/>
    <w:rsid w:val="7FCB4EC8"/>
    <w:rsid w:val="7FCB5E84"/>
    <w:rsid w:val="7FCD4F21"/>
    <w:rsid w:val="7FCFF9DD"/>
    <w:rsid w:val="7FD3B142"/>
    <w:rsid w:val="7FD5CD06"/>
    <w:rsid w:val="7FD689B3"/>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8B50"/>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B884"/>
    <w:rsid w:val="7FEFF883"/>
    <w:rsid w:val="7FF07158"/>
    <w:rsid w:val="7FF1DFCC"/>
    <w:rsid w:val="7FF33C62"/>
    <w:rsid w:val="7FF37B6D"/>
    <w:rsid w:val="7FF3B4DA"/>
    <w:rsid w:val="7FF51C4E"/>
    <w:rsid w:val="7FF56A5D"/>
    <w:rsid w:val="7FF58C17"/>
    <w:rsid w:val="7FF5B5BB"/>
    <w:rsid w:val="7FF5EAE8"/>
    <w:rsid w:val="7FF6901D"/>
    <w:rsid w:val="7FF7673A"/>
    <w:rsid w:val="7FF77DAF"/>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4B1"/>
    <w:rsid w:val="7FFF77FF"/>
    <w:rsid w:val="7FFF79EC"/>
    <w:rsid w:val="7FFF8F5A"/>
    <w:rsid w:val="7FFF9B82"/>
    <w:rsid w:val="7FFFE3FD"/>
    <w:rsid w:val="7FFFE541"/>
    <w:rsid w:val="7FFFF5D4"/>
    <w:rsid w:val="7FFFF703"/>
    <w:rsid w:val="83DF4BA6"/>
    <w:rsid w:val="85EF88A3"/>
    <w:rsid w:val="864B19B8"/>
    <w:rsid w:val="8677DBB2"/>
    <w:rsid w:val="87352C0B"/>
    <w:rsid w:val="87BE58AC"/>
    <w:rsid w:val="8AF7A7D1"/>
    <w:rsid w:val="8CF61D35"/>
    <w:rsid w:val="8EEEDA0D"/>
    <w:rsid w:val="8EFC1318"/>
    <w:rsid w:val="8F5B8CB4"/>
    <w:rsid w:val="8FAF319E"/>
    <w:rsid w:val="8FFFB737"/>
    <w:rsid w:val="92FD2B40"/>
    <w:rsid w:val="93FFE889"/>
    <w:rsid w:val="954E26E9"/>
    <w:rsid w:val="95BF23FC"/>
    <w:rsid w:val="95E57FE1"/>
    <w:rsid w:val="95FB80A8"/>
    <w:rsid w:val="96543735"/>
    <w:rsid w:val="96DE6EF5"/>
    <w:rsid w:val="977DA018"/>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BE818E"/>
    <w:rsid w:val="9FD40F55"/>
    <w:rsid w:val="9FD7214E"/>
    <w:rsid w:val="9FD7A23A"/>
    <w:rsid w:val="9FED48A6"/>
    <w:rsid w:val="9FFB9CA7"/>
    <w:rsid w:val="9FFBDE45"/>
    <w:rsid w:val="9FFE16FE"/>
    <w:rsid w:val="9FFF2B06"/>
    <w:rsid w:val="9FFFCF06"/>
    <w:rsid w:val="9FFFD77E"/>
    <w:rsid w:val="A1EF8BFD"/>
    <w:rsid w:val="A1FF023B"/>
    <w:rsid w:val="A31FF8B2"/>
    <w:rsid w:val="A35F3774"/>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EFF108D"/>
    <w:rsid w:val="BF1BE272"/>
    <w:rsid w:val="BF1F8E7C"/>
    <w:rsid w:val="BF2328A9"/>
    <w:rsid w:val="BF374F23"/>
    <w:rsid w:val="BF3B1846"/>
    <w:rsid w:val="BF3F92D4"/>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DBD8A"/>
    <w:rsid w:val="BFFE2535"/>
    <w:rsid w:val="BFFEEF0B"/>
    <w:rsid w:val="BFFF16C7"/>
    <w:rsid w:val="BFFF5AA0"/>
    <w:rsid w:val="BFFF66B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24DB"/>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7189F"/>
    <w:rsid w:val="DBB76AC0"/>
    <w:rsid w:val="DBBDCFE1"/>
    <w:rsid w:val="DBDEE984"/>
    <w:rsid w:val="DBDF4CAB"/>
    <w:rsid w:val="DBDF6C3C"/>
    <w:rsid w:val="DBEA4313"/>
    <w:rsid w:val="DBFC0F7C"/>
    <w:rsid w:val="DBFDB6CF"/>
    <w:rsid w:val="DBFDE603"/>
    <w:rsid w:val="DBFF193B"/>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499DE"/>
    <w:rsid w:val="DDFBC95C"/>
    <w:rsid w:val="DDFF6FA4"/>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BF709B"/>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DFFFAD9F"/>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BE04EF"/>
    <w:rsid w:val="EBD54A6B"/>
    <w:rsid w:val="EBDE2B25"/>
    <w:rsid w:val="EBEDCF1A"/>
    <w:rsid w:val="EBEF7733"/>
    <w:rsid w:val="EBF7114F"/>
    <w:rsid w:val="EBFD3F93"/>
    <w:rsid w:val="EBFF2342"/>
    <w:rsid w:val="EBFF9926"/>
    <w:rsid w:val="EC2FDCD0"/>
    <w:rsid w:val="EC3B4D1A"/>
    <w:rsid w:val="EC3F85E1"/>
    <w:rsid w:val="ECD8E8D3"/>
    <w:rsid w:val="ECFBE4CD"/>
    <w:rsid w:val="ED5FC1AE"/>
    <w:rsid w:val="ED75487F"/>
    <w:rsid w:val="ED77DA7F"/>
    <w:rsid w:val="ED7AE755"/>
    <w:rsid w:val="ED8FDAFE"/>
    <w:rsid w:val="EDBB208B"/>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D7F98"/>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05B5"/>
    <w:rsid w:val="EFED51D6"/>
    <w:rsid w:val="EFEDEC5D"/>
    <w:rsid w:val="EFEE1584"/>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2FF5469"/>
    <w:rsid w:val="F39BDCAB"/>
    <w:rsid w:val="F39F26CA"/>
    <w:rsid w:val="F39F6079"/>
    <w:rsid w:val="F3B5F21A"/>
    <w:rsid w:val="F3BE2AAF"/>
    <w:rsid w:val="F3DCF0ED"/>
    <w:rsid w:val="F3DF811A"/>
    <w:rsid w:val="F3E3E4BE"/>
    <w:rsid w:val="F3EB4E2B"/>
    <w:rsid w:val="F3EF5B10"/>
    <w:rsid w:val="F3F167E4"/>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EBC14"/>
    <w:rsid w:val="F5DFEF11"/>
    <w:rsid w:val="F5EB0C16"/>
    <w:rsid w:val="F5EB676B"/>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A69CC"/>
    <w:rsid w:val="F78FDD92"/>
    <w:rsid w:val="F79EC383"/>
    <w:rsid w:val="F79FA3F2"/>
    <w:rsid w:val="F7ADBA6B"/>
    <w:rsid w:val="F7AEA0C8"/>
    <w:rsid w:val="F7B695CC"/>
    <w:rsid w:val="F7B91025"/>
    <w:rsid w:val="F7B93460"/>
    <w:rsid w:val="F7BCE39F"/>
    <w:rsid w:val="F7BDFDC5"/>
    <w:rsid w:val="F7C70161"/>
    <w:rsid w:val="F7CBB2EB"/>
    <w:rsid w:val="F7CF4146"/>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D23AE"/>
    <w:rsid w:val="F7FE4E74"/>
    <w:rsid w:val="F7FF243C"/>
    <w:rsid w:val="F7FF7B64"/>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EA11A"/>
    <w:rsid w:val="FAFFC179"/>
    <w:rsid w:val="FB1BD6B4"/>
    <w:rsid w:val="FB2E0913"/>
    <w:rsid w:val="FB4537F8"/>
    <w:rsid w:val="FB5E947A"/>
    <w:rsid w:val="FB6FDB88"/>
    <w:rsid w:val="FB729E2A"/>
    <w:rsid w:val="FB7D4B94"/>
    <w:rsid w:val="FB9F81E0"/>
    <w:rsid w:val="FB9FED65"/>
    <w:rsid w:val="FBAFAB6E"/>
    <w:rsid w:val="FBB0619E"/>
    <w:rsid w:val="FBB26FA9"/>
    <w:rsid w:val="FBB9AB0D"/>
    <w:rsid w:val="FBB9F3C4"/>
    <w:rsid w:val="FBBB10BF"/>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6D8F5"/>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CE3F09"/>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EAAB2"/>
    <w:rsid w:val="FE7FFD49"/>
    <w:rsid w:val="FE9F7EB8"/>
    <w:rsid w:val="FEA35C32"/>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5357"/>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DCEBF"/>
    <w:rsid w:val="FFDE7AA0"/>
    <w:rsid w:val="FFDF6E0E"/>
    <w:rsid w:val="FFDFB31B"/>
    <w:rsid w:val="FFDFC932"/>
    <w:rsid w:val="FFE1A067"/>
    <w:rsid w:val="FFE2F0F3"/>
    <w:rsid w:val="FFE30D38"/>
    <w:rsid w:val="FFE6180F"/>
    <w:rsid w:val="FFE6A8D9"/>
    <w:rsid w:val="FFE75944"/>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67A2E"/>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72B7"/>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9" Type="http://schemas.openxmlformats.org/officeDocument/2006/relationships/fontTable" Target="fontTable.xml"/><Relationship Id="rId78" Type="http://schemas.openxmlformats.org/officeDocument/2006/relationships/customXml" Target="../customXml/item2.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svg"/><Relationship Id="rId65" Type="http://schemas.openxmlformats.org/officeDocument/2006/relationships/image" Target="media/image58.png"/><Relationship Id="rId64" Type="http://schemas.openxmlformats.org/officeDocument/2006/relationships/image" Target="media/image57.svg"/><Relationship Id="rId63" Type="http://schemas.openxmlformats.org/officeDocument/2006/relationships/image" Target="media/image56.png"/><Relationship Id="rId62" Type="http://schemas.openxmlformats.org/officeDocument/2006/relationships/image" Target="media/image55.svg"/><Relationship Id="rId61" Type="http://schemas.openxmlformats.org/officeDocument/2006/relationships/image" Target="media/image54.png"/><Relationship Id="rId60" Type="http://schemas.openxmlformats.org/officeDocument/2006/relationships/image" Target="media/image53.sv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svg"/><Relationship Id="rId57" Type="http://schemas.openxmlformats.org/officeDocument/2006/relationships/image" Target="media/image50.png"/><Relationship Id="rId56" Type="http://schemas.openxmlformats.org/officeDocument/2006/relationships/image" Target="media/image49.svg"/><Relationship Id="rId55" Type="http://schemas.openxmlformats.org/officeDocument/2006/relationships/image" Target="media/image48.png"/><Relationship Id="rId54" Type="http://schemas.openxmlformats.org/officeDocument/2006/relationships/image" Target="media/image47.svg"/><Relationship Id="rId53" Type="http://schemas.openxmlformats.org/officeDocument/2006/relationships/image" Target="media/image46.png"/><Relationship Id="rId52" Type="http://schemas.openxmlformats.org/officeDocument/2006/relationships/image" Target="media/image45.svg"/><Relationship Id="rId51" Type="http://schemas.openxmlformats.org/officeDocument/2006/relationships/image" Target="media/image44.png"/><Relationship Id="rId50" Type="http://schemas.openxmlformats.org/officeDocument/2006/relationships/image" Target="media/image43.sv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svg"/><Relationship Id="rId47" Type="http://schemas.openxmlformats.org/officeDocument/2006/relationships/image" Target="media/image40.png"/><Relationship Id="rId46" Type="http://schemas.openxmlformats.org/officeDocument/2006/relationships/image" Target="media/image39.svg"/><Relationship Id="rId45" Type="http://schemas.openxmlformats.org/officeDocument/2006/relationships/image" Target="media/image38.png"/><Relationship Id="rId44" Type="http://schemas.openxmlformats.org/officeDocument/2006/relationships/image" Target="media/image37.svg"/><Relationship Id="rId43" Type="http://schemas.openxmlformats.org/officeDocument/2006/relationships/image" Target="media/image36.png"/><Relationship Id="rId42" Type="http://schemas.openxmlformats.org/officeDocument/2006/relationships/image" Target="media/image35.svg"/><Relationship Id="rId41" Type="http://schemas.openxmlformats.org/officeDocument/2006/relationships/image" Target="media/image34.png"/><Relationship Id="rId40" Type="http://schemas.openxmlformats.org/officeDocument/2006/relationships/image" Target="media/image33.sv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svg"/><Relationship Id="rId37" Type="http://schemas.openxmlformats.org/officeDocument/2006/relationships/image" Target="media/image30.png"/><Relationship Id="rId36" Type="http://schemas.openxmlformats.org/officeDocument/2006/relationships/image" Target="media/image29.svg"/><Relationship Id="rId35" Type="http://schemas.openxmlformats.org/officeDocument/2006/relationships/image" Target="media/image28.png"/><Relationship Id="rId34" Type="http://schemas.openxmlformats.org/officeDocument/2006/relationships/image" Target="media/image27.svg"/><Relationship Id="rId33" Type="http://schemas.openxmlformats.org/officeDocument/2006/relationships/image" Target="media/image26.png"/><Relationship Id="rId32" Type="http://schemas.openxmlformats.org/officeDocument/2006/relationships/image" Target="media/image25.svg"/><Relationship Id="rId31" Type="http://schemas.openxmlformats.org/officeDocument/2006/relationships/image" Target="media/image24.png"/><Relationship Id="rId30" Type="http://schemas.openxmlformats.org/officeDocument/2006/relationships/image" Target="media/image23.sv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svg"/><Relationship Id="rId27" Type="http://schemas.openxmlformats.org/officeDocument/2006/relationships/image" Target="media/image20.png"/><Relationship Id="rId26" Type="http://schemas.openxmlformats.org/officeDocument/2006/relationships/image" Target="media/image19.svg"/><Relationship Id="rId25" Type="http://schemas.openxmlformats.org/officeDocument/2006/relationships/image" Target="media/image18.png"/><Relationship Id="rId24" Type="http://schemas.openxmlformats.org/officeDocument/2006/relationships/image" Target="media/image17.svg"/><Relationship Id="rId23" Type="http://schemas.openxmlformats.org/officeDocument/2006/relationships/image" Target="media/image16.png"/><Relationship Id="rId22" Type="http://schemas.openxmlformats.org/officeDocument/2006/relationships/image" Target="media/image15.sv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190</Pages>
  <Words>636</Words>
  <Characters>965</Characters>
  <Lines>345</Lines>
  <Paragraphs>97</Paragraphs>
  <TotalTime>9</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2011-06-22T22:57:00Z</dcterms:created>
  <dc:creator>fancl</dc:creator>
  <cp:lastModifiedBy>郭子豪</cp:lastModifiedBy>
  <dcterms:modified xsi:type="dcterms:W3CDTF">2026-09-30T13:29:27Z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