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/>
        <w:numPr>
          <w:numId w:val="0"/>
        </w:numPr>
        <w:spacing w:after="120"/>
      </w:pPr>
      <w:r>
        <w:rPr>
          <w:b/>
          <w:color w:val="000000"/>
        </w:rPr>
        <w:t>五、 SCOS集成接口规范</w:t>
      </w:r>
    </w:p>
    <w:tbl>
      <w:tblPr>
        <w:tblStyle w:val="31"/>
        <w:tblW w:w="104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095"/>
        <w:gridCol w:w="1200"/>
        <w:gridCol w:w="2055"/>
        <w:gridCol w:w="967"/>
        <w:gridCol w:w="967"/>
        <w:gridCol w:w="1225"/>
        <w:gridCol w:w="1108"/>
        <w:gridCol w:w="1165"/>
      </w:tblGrid>
      <w:tr w14:paraId="20B8A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 w:val="true"/>
          <w:jc w:val="center"/>
          <w:cantSplit/>
        </w:trPr>
        <w:tc>
          <w:tcPr>
            <w:tcW w:w="714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w="1095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接口编号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接口名称</w:t>
            </w:r>
          </w:p>
        </w:tc>
        <w:tc>
          <w:tcPr>
            <w:tcW w:w="2055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功能描述</w:t>
            </w:r>
          </w:p>
        </w:tc>
        <w:tc>
          <w:tcPr>
            <w:tcW w:w="967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协议方式</w:t>
            </w:r>
          </w:p>
        </w:tc>
        <w:tc>
          <w:tcPr>
            <w:tcW w:w="967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通信模式</w:t>
            </w:r>
          </w:p>
        </w:tc>
        <w:tc>
          <w:tcPr>
            <w:tcW w:w="1225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调用方向</w:t>
            </w:r>
          </w:p>
        </w:tc>
        <w:tc>
          <w:tcPr>
            <w:tcW w:w="110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地址 / 路由 / Topic 名称</w:t>
            </w:r>
          </w:p>
        </w:tc>
        <w:tc>
          <w:tcPr>
            <w:tcW w:w="1165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同步条件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SCOS-CRM-001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每日出货计划同步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CRM向SCOS同步每日出货计划，客户、产品和日期维度的成品需求量，作为库存投影、要货计划和供应链态势分析的需求依据。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推送+定时补偿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CRM→SCOS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建议：crm/shipment-plan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每日计划发布后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SCOS-CON-001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采购合同同步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CON向SCOS同步采购合同，采购合同、供应商、物料、数量、有效期和交付约定，支撑采购优化及要货条件校验。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推送+定时补偿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CON→SCOS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建议：con/purchase-contract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合同生效或变更后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SCOS-CON-002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销售合同同步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CON向SCOS同步销售合同，销售合同及客户交付约定，补充需求优先级、履约约束和驾驶舱合同分析口径。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推送+定时补偿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CON→SCOS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建议：con/sales-contract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合同生效或变更后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主数据同步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SAP向SCOS同步主数据，物料、供应商、客户、组织、仓库、储罐和设备等主数据，统一SCOS编码和业务范围。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批量推送+补偿拉取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SAP→SCOS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建议：sap/master-data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每日T+1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业务数据同步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SAP向SCOS同步业务数据，订单、交易、价格、BOM、未结采购/生产订单、库存、在途、费用池、应收应付和折旧等数据，支撑六大模块计算与对账。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推送+定时拉取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SAP→SCOS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建议：sap/business-data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事件触发+每日补偿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原辅包在库量同步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WMS向SCOS同步原辅包在库量，原料、辅料和包材的可用库存、锁定量及库位状态，支撑欠料分析、采购优化和要货计划。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建议：wms/material-stock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库存变动后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成品库存水位同步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WMS向SCOS同步成品库存水位，成品现存量、可用量和库龄状态，支撑库存投影、风险预警和库存健康度评价。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建议：wms/product-stock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库存变动后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入库原料批次同步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WMS向SCOS同步入库原料批次，入库批次、物料、数量、时间和库位信息，建立原料批次与成本归集的追溯入口。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建议：wms/inbound-batch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入库确认后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在途库存同步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WMS向SCOS同步在途库存，运输中、生产中及待入库数量和预计到达时间，用于库存优化、要货缺口计算和供应风险判断。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WMS→SCOS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建议：wms/in-transit-stock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状态变更后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原料入场车次批次同步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TMS向SCOS同步原料入场车次批次表，原料入场车次、供应商、物料、批次和时间，关联入厂物流与后续生产批次。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建议：tms/inbound-batch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车辆入场后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成品出厂批次同步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TMS向SCOS同步成品出厂批次表，成品出厂车次、销售交付及批次信息，关联销售履约和销售订单成本。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建议：tms/outbound-batch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车辆出厂后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物流状态同步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TMS向SCOS同步物流信息表，车辆、承运、在途状态和预计到达时间，支撑要货计划滚动调整与异常协调。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事件推送+定时补偿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建议：tms/logistics-status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运输状态变更后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生产进度报工同步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MES向SCOS同步生产进度报工表，生产订单、工序、完成量和报工时间，更新库存投影并反馈计划执行状态。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建议：mes/production-progress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报工完成后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生产批次同步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MES向SCOS同步生产批次表，生产批次、订单、物料、产量和时间信息，建立上下游批次关系并支撑成本归集。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建议：mes/production-batch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批次创建或完工后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工艺及原辅料成本同步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MES向SCOS同步工艺及原辅料用量成本表，工艺路线、投入产出、原辅料用量和成本事实，支撑批次成本及生产订单成本计算。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事件推送+定时补偿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建议：mes/process-cost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工序报工或日结后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SCOS-DCS-001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自动化设备数据同步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DCS向SCOS同步自动化设备数据总表，设备运行、计量、能耗和关键过程数据，补充批次边界、产量及成本事实。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实时推送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DCS→SCOS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建议：dcs/equipment-data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实时/分钟级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SCOS-QMS-001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质检结果同步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QMS/LIMS向SCOS同步质检结果表，检验批、质量状态和判定结果，用于批次合格量、质量追溯及驾驶舱质量指标。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定时拉取+事件补充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QMS/LIMS→SCOS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建议：qms/inspection-result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批次检验完成后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SCOS-CON-003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原辅包采购需求下发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SCOS向CON下发原辅包采购需求表，供合同系统形成或调整采购合同并反馈执行状态。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SCOS→CON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建议：con/procurement-demand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采购方案发布后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生产订单下发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SCOS向SAP下发生产订单，驱动SAP创建正式生产订单并返回业务单号。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SCOS→SAP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建议：sap/production-order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生产计划发布后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SCOS-SAP-004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要货计划下发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SCOS向SAP下发要货计划表，作为采购执行、供应商协同和到货跟踪的业务依据。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SCOS→SAP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建议：sap/replenishment-plan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要货计划确认后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SCOS-WMS-005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日投料需求下发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SCOS向WMS下发玉米淀粉日投料需求，驱动仓储备料、投料及执行反馈。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SCOS→WMS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建议：wms/daily-feeding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每日计划发布或调整后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SCOS-TMS-004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要货计划下发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SCOS向TMS下发要货计划表，驱动运输计划、车辆调度和到厂反馈。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SCOS→TMS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建议：tms/arrival-plan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要货计划确认或调整后</w:t>
            </w:r>
          </w:p>
        </w:tc>
      </w:tr>
      <w:tr>
        <w:trPr>
          <w:cantSplit/>
        </w:trPr>
        <w:tc>
          <w:tcPr>
            <w:tcW w:type="dxa" w:w="7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0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SCOS-MES-004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生产订单下发</w:t>
            </w:r>
          </w:p>
        </w:tc>
        <w:tc>
          <w:tcPr>
            <w:tcW w:type="dxa" w:w="205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SCOS向MES下发生产订单，驱动生产组织并回传进度、产量和批次。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HTTP API</w:t>
            </w:r>
          </w:p>
        </w:tc>
        <w:tc>
          <w:tcPr>
            <w:tcW w:type="dxa" w:w="967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同步请求-响应</w:t>
            </w:r>
          </w:p>
        </w:tc>
        <w:tc>
          <w:tcPr>
            <w:tcW w:type="dxa" w:w="122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SCOS→MES</w:t>
            </w:r>
          </w:p>
        </w:tc>
        <w:tc>
          <w:tcPr>
            <w:tcW w:type="dxa" w:w="11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建议：mes/production-order</w:t>
            </w:r>
          </w:p>
        </w:tc>
        <w:tc>
          <w:tcPr>
            <w:tcW w:type="dxa" w:w="116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生产订单确认后</w:t>
            </w:r>
          </w:p>
        </w:tc>
      </w:tr>
    </w:tbl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776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宋体" w:hAnsi="宋体"/>
        <w:color w:val="808080"/>
        <w:sz w:val="18"/>
      </w:rPr>
      <w:t xml:space="preserve">第 </w:t>
    </w:r>
    <w:fldSimple w:instr="PAGE">
      <w:r>
        <w:rPr>
          <w:rFonts w:ascii="宋体" w:hAnsi="宋体" w:eastAsia="宋体"/>
          <w:sz w:val="18"/>
          <w:color w:val="808080"/>
        </w:rPr>
        <w:t>1</w:t>
      </w:r>
    </w:fldSimple>
    <w:r>
      <w:rPr>
        <w:rFonts w:ascii="宋体" w:hAnsi="宋体"/>
        <w:color w:val="808080"/>
        <w:sz w:val="18"/>
      </w:rPr>
      <w:t xml:space="preserve"> 页 共 </w:t>
    </w:r>
    <w:fldSimple w:instr="NUMPAGES">
      <w:r>
        <w:rPr>
          <w:rFonts w:ascii="宋体" w:hAnsi="宋体" w:eastAsia="宋体"/>
          <w:sz w:val="18"/>
          <w:color w:val="808080"/>
        </w:rPr>
        <w:t>1</w:t>
      </w:r>
    </w:fldSimple>
    <w:r>
      <w:rPr>
        <w:rFonts w:ascii="宋体" w:hAnsi="宋体"/>
        <w:color w:val="80808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               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