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1A712" w14:textId="77777777" w:rsidR="00B86A0B" w:rsidRDefault="00000000">
      <w:pPr>
        <w:spacing w:before="40" w:after="160"/>
        <w:jc w:val="center"/>
      </w:pPr>
      <w:r>
        <w:rPr>
          <w:rFonts w:ascii="Calibri" w:eastAsia="Calibri" w:hAnsi="Calibri"/>
          <w:b/>
          <w:color w:val="28323C"/>
          <w:sz w:val="24"/>
        </w:rPr>
        <w:t>DELCO Chile</w:t>
      </w:r>
    </w:p>
    <w:p w14:paraId="769321A5" w14:textId="77777777" w:rsidR="00B86A0B" w:rsidRDefault="00000000">
      <w:pPr>
        <w:spacing w:before="40" w:after="160"/>
        <w:jc w:val="center"/>
      </w:pPr>
      <w:r>
        <w:rPr>
          <w:rFonts w:ascii="Calibri" w:eastAsia="Calibri" w:hAnsi="Calibri"/>
          <w:b/>
          <w:color w:val="28323C"/>
          <w:sz w:val="52"/>
        </w:rPr>
        <w:t>DELCO Inventario</w:t>
      </w:r>
    </w:p>
    <w:p w14:paraId="057EBB6B" w14:textId="77777777" w:rsidR="00B86A0B" w:rsidRDefault="00000000">
      <w:pPr>
        <w:spacing w:before="40" w:after="160"/>
        <w:jc w:val="center"/>
      </w:pPr>
      <w:r>
        <w:rPr>
          <w:rFonts w:ascii="Calibri" w:eastAsia="Calibri" w:hAnsi="Calibri"/>
          <w:color w:val="28323C"/>
          <w:sz w:val="28"/>
        </w:rPr>
        <w:t>Desglose operativo del sistema</w:t>
      </w:r>
    </w:p>
    <w:p w14:paraId="69E8B0BD" w14:textId="77777777" w:rsidR="00B86A0B" w:rsidRDefault="00000000">
      <w:pPr>
        <w:spacing w:before="40" w:after="160"/>
        <w:jc w:val="center"/>
      </w:pPr>
      <w:r>
        <w:rPr>
          <w:rFonts w:ascii="Calibri" w:eastAsia="Calibri" w:hAnsi="Calibri"/>
          <w:color w:val="28323C"/>
          <w:sz w:val="20"/>
        </w:rPr>
        <w:t>Julio 2026</w:t>
      </w:r>
    </w:p>
    <w:p w14:paraId="1ED13DB2" w14:textId="77777777" w:rsidR="00B86A0B" w:rsidRDefault="00000000">
      <w:pPr>
        <w:spacing w:before="40" w:after="160"/>
        <w:jc w:val="center"/>
      </w:pPr>
      <w:r>
        <w:rPr>
          <w:rFonts w:ascii="Calibri" w:eastAsia="Calibri" w:hAnsi="Calibri"/>
          <w:color w:val="28323C"/>
        </w:rPr>
        <w:t>Plataforma unificada de inventario, clientes, órdenes de trabajo e integración con formularios de terreno (MoreApp), con trazabilidad y control de gestión.</w:t>
      </w:r>
    </w:p>
    <w:p w14:paraId="5C3892E1" w14:textId="77777777" w:rsidR="00B86A0B" w:rsidRDefault="00000000">
      <w:pPr>
        <w:spacing w:before="40" w:after="160"/>
        <w:jc w:val="center"/>
      </w:pPr>
      <w:r>
        <w:rPr>
          <w:rFonts w:ascii="Calibri" w:eastAsia="Calibri" w:hAnsi="Calibri"/>
          <w:color w:val="28323C"/>
        </w:rPr>
        <w:t>Este documento describe la estructura funcional del sistema y los flujos que conectan el trabajo en terreno con la operación de oficina, la validación administrativa y la mirada de control.</w:t>
      </w:r>
    </w:p>
    <w:p w14:paraId="0167AAF1" w14:textId="77777777" w:rsidR="00B86A0B" w:rsidRDefault="00000000">
      <w:r>
        <w:br w:type="page"/>
      </w:r>
    </w:p>
    <w:p w14:paraId="011593EE" w14:textId="77777777" w:rsidR="00B86A0B" w:rsidRDefault="00000000">
      <w:pPr>
        <w:pStyle w:val="Ttulo1"/>
      </w:pPr>
      <w:r>
        <w:rPr>
          <w:rFonts w:ascii="Calibri" w:eastAsia="Calibri" w:hAnsi="Calibri"/>
          <w:color w:val="1A3A5C"/>
          <w:sz w:val="32"/>
        </w:rPr>
        <w:lastRenderedPageBreak/>
        <w:t>Estructura de desglose</w:t>
      </w:r>
    </w:p>
    <w:p w14:paraId="33D8C3AA" w14:textId="77777777" w:rsidR="00B86A0B" w:rsidRDefault="00000000">
      <w:pPr>
        <w:spacing w:before="40" w:after="160"/>
      </w:pPr>
      <w:r>
        <w:rPr>
          <w:rFonts w:ascii="Calibri" w:eastAsia="Calibri" w:hAnsi="Calibri"/>
          <w:color w:val="28323C"/>
        </w:rPr>
        <w:t>El sistema se entiende como una estructura de desglose (EDT): un mapa del alcance funcional organizado en dos ramas que comparten la misma base de información. La rama de operación diaria concentra lo que ocurre en el día a día —inventario, clientes, órdenes de trabajo e ingreso desde MoreApp—. La rama de gobierno y control concentra lo que ordena, protege y explota esa información: acceso y roles, reportes, auditoría y catálogos de soporte.</w:t>
      </w:r>
    </w:p>
    <w:p w14:paraId="1DD72A8F" w14:textId="77777777" w:rsidR="00B86A0B" w:rsidRDefault="00000000">
      <w:pPr>
        <w:spacing w:before="40" w:after="160"/>
      </w:pPr>
      <w:r>
        <w:rPr>
          <w:rFonts w:ascii="Calibri" w:eastAsia="Calibri" w:hAnsi="Calibri"/>
          <w:color w:val="28323C"/>
        </w:rPr>
        <w:t>Esta organización permite presentar el alcance sin depender de un recorrido pantalla por pantalla. Cada bloque del diagrama corresponde a una capacidad con responsable, datos propios y reglas de negocio. El valor de la EDT es mostrar que inventario, cliente y orden de trabajo no son módulos aislados, sino partes de un mismo ciclo operativo que luego se gobierna con reportes y trazabilidad.</w:t>
      </w:r>
    </w:p>
    <w:p w14:paraId="62887A50" w14:textId="77777777" w:rsidR="00B86A0B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3D5F1412" wp14:editId="0391DBEC">
            <wp:extent cx="6120000" cy="36293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t_sistem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2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46C3" w14:textId="77777777" w:rsidR="00B86A0B" w:rsidRDefault="00000000">
      <w:pPr>
        <w:spacing w:before="40" w:after="160"/>
      </w:pPr>
      <w:r>
        <w:rPr>
          <w:rFonts w:ascii="Calibri" w:eastAsia="Calibri" w:hAnsi="Calibri"/>
          <w:color w:val="28323C"/>
        </w:rPr>
        <w:t>En operación, Inventario administra activos de campo (medidores, SIM y módems), su estado y ubicación, y el kardex de movimientos. Clientes concentra la ficha del punto, el historial de proyectos (Actual / Reemplazado) y las restricciones con justificación. Órdenes de trabajo cubre el ciclo de vida, la asignación al técnico y la validación de cierre. MoreApp aporta la sincronización desde terreno, la cola de revisión y las alertas o bloqueos operativos.</w:t>
      </w:r>
    </w:p>
    <w:p w14:paraId="4CAC7404" w14:textId="77777777" w:rsidR="00B86A0B" w:rsidRDefault="00000000">
      <w:pPr>
        <w:spacing w:before="40" w:after="160"/>
      </w:pPr>
      <w:r>
        <w:rPr>
          <w:rFonts w:ascii="Calibri" w:eastAsia="Calibri" w:hAnsi="Calibri"/>
          <w:color w:val="28323C"/>
        </w:rPr>
        <w:t>En gobierno y control, Acceso y roles define quién ingresa y con qué permisos; Reportes permite filtrar y exportar información de gestión; Auditoría conserva trazabilidad de cambios relevantes; y Soporte y catálogos mantienen maestros y parámetros que sostienen al resto del sistema.</w:t>
      </w:r>
    </w:p>
    <w:p w14:paraId="0EEB9ABE" w14:textId="77777777" w:rsidR="00B86A0B" w:rsidRDefault="00000000">
      <w:pPr>
        <w:pStyle w:val="Ttulo1"/>
      </w:pPr>
      <w:r>
        <w:rPr>
          <w:rFonts w:ascii="Calibri" w:eastAsia="Calibri" w:hAnsi="Calibri"/>
          <w:color w:val="1A3A5C"/>
          <w:sz w:val="32"/>
        </w:rPr>
        <w:lastRenderedPageBreak/>
        <w:t>Responsabilidades por rol</w:t>
      </w:r>
    </w:p>
    <w:p w14:paraId="7F9C23F7" w14:textId="77777777" w:rsidR="00B86A0B" w:rsidRDefault="00000000">
      <w:pPr>
        <w:spacing w:before="40" w:after="160"/>
      </w:pPr>
      <w:r>
        <w:rPr>
          <w:rFonts w:ascii="Calibri" w:eastAsia="Calibri" w:hAnsi="Calibri"/>
          <w:color w:val="28323C"/>
        </w:rPr>
        <w:t>El acceso está diferenciado por perfil. Administración y operación diaria concentran la gestión de fichas, equipos e informes; el técnico trabaja sobre sus órdenes; gerencia observa indicadores; auditoría consulta la trazabilidad de cambios relevantes.</w:t>
      </w:r>
    </w:p>
    <w:p w14:paraId="241CBCBC" w14:textId="77777777" w:rsidR="00B86A0B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0DAE96FF" wp14:editId="7DE37931">
            <wp:extent cx="5940000" cy="20365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t_ro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3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3177" w14:textId="77777777" w:rsidR="00B86A0B" w:rsidRDefault="00000000">
      <w:r>
        <w:br w:type="page"/>
      </w:r>
    </w:p>
    <w:p w14:paraId="605392C5" w14:textId="6F3ED41A" w:rsidR="00B86A0B" w:rsidRDefault="00000000">
      <w:pPr>
        <w:pStyle w:val="Ttulo1"/>
      </w:pPr>
      <w:proofErr w:type="spellStart"/>
      <w:r>
        <w:rPr>
          <w:rFonts w:ascii="Calibri" w:eastAsia="Calibri" w:hAnsi="Calibri"/>
          <w:color w:val="1A3A5C"/>
          <w:sz w:val="32"/>
        </w:rPr>
        <w:lastRenderedPageBreak/>
        <w:t>Flujo</w:t>
      </w:r>
      <w:proofErr w:type="spellEnd"/>
      <w:r>
        <w:rPr>
          <w:rFonts w:ascii="Calibri" w:eastAsia="Calibri" w:hAnsi="Calibri"/>
          <w:color w:val="1A3A5C"/>
          <w:sz w:val="32"/>
        </w:rPr>
        <w:t xml:space="preserve"> </w:t>
      </w:r>
      <w:proofErr w:type="spellStart"/>
      <w:r>
        <w:rPr>
          <w:rFonts w:ascii="Calibri" w:eastAsia="Calibri" w:hAnsi="Calibri"/>
          <w:color w:val="1A3A5C"/>
          <w:sz w:val="32"/>
        </w:rPr>
        <w:t>operativo</w:t>
      </w:r>
      <w:proofErr w:type="spellEnd"/>
    </w:p>
    <w:p w14:paraId="0132892E" w14:textId="31393A11" w:rsidR="00B86A0B" w:rsidRDefault="00000000">
      <w:pPr>
        <w:spacing w:before="40" w:after="160"/>
      </w:pPr>
      <w:r>
        <w:rPr>
          <w:rFonts w:ascii="Calibri" w:eastAsia="Calibri" w:hAnsi="Calibri"/>
          <w:color w:val="28323C"/>
        </w:rPr>
        <w:t xml:space="preserve">El </w:t>
      </w:r>
      <w:proofErr w:type="spellStart"/>
      <w:r>
        <w:rPr>
          <w:rFonts w:ascii="Calibri" w:eastAsia="Calibri" w:hAnsi="Calibri"/>
          <w:color w:val="28323C"/>
        </w:rPr>
        <w:t>flujo</w:t>
      </w:r>
      <w:proofErr w:type="spellEnd"/>
      <w:r>
        <w:rPr>
          <w:rFonts w:ascii="Calibri" w:eastAsia="Calibri" w:hAnsi="Calibri"/>
          <w:color w:val="28323C"/>
        </w:rPr>
        <w:t xml:space="preserve"> </w:t>
      </w:r>
      <w:proofErr w:type="spellStart"/>
      <w:r>
        <w:rPr>
          <w:rFonts w:ascii="Calibri" w:eastAsia="Calibri" w:hAnsi="Calibri"/>
          <w:color w:val="28323C"/>
        </w:rPr>
        <w:t>punta</w:t>
      </w:r>
      <w:proofErr w:type="spellEnd"/>
      <w:r>
        <w:rPr>
          <w:rFonts w:ascii="Calibri" w:eastAsia="Calibri" w:hAnsi="Calibri"/>
          <w:color w:val="28323C"/>
        </w:rPr>
        <w:t xml:space="preserve"> a punta muestra cómo una actividad de terreno se transforma en información operativa. Al sincronizar MoreApp, el sistema puede actualizar inventario, cruzar datos de cliente y vincular evidencia a la orden de trabajo. Luego interviene la validación administrativa y, finalmente, la explotación mediante reportes y auditoría.</w:t>
      </w:r>
    </w:p>
    <w:p w14:paraId="0AC5559F" w14:textId="6F8D283E" w:rsidR="00B86A0B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1AAD54B9" wp14:editId="631887CC">
            <wp:extent cx="5940000" cy="22062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operativ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792C" w14:textId="793CEDB9" w:rsidR="00B86A0B" w:rsidRDefault="00000000">
      <w:pPr>
        <w:pStyle w:val="Ttulo1"/>
      </w:pPr>
      <w:proofErr w:type="spellStart"/>
      <w:r>
        <w:rPr>
          <w:rFonts w:ascii="Calibri" w:eastAsia="Calibri" w:hAnsi="Calibri"/>
          <w:color w:val="1A3A5C"/>
          <w:sz w:val="32"/>
        </w:rPr>
        <w:t>Ciclo</w:t>
      </w:r>
      <w:proofErr w:type="spellEnd"/>
      <w:r>
        <w:rPr>
          <w:rFonts w:ascii="Calibri" w:eastAsia="Calibri" w:hAnsi="Calibri"/>
          <w:color w:val="1A3A5C"/>
          <w:sz w:val="32"/>
        </w:rPr>
        <w:t xml:space="preserve"> de la </w:t>
      </w:r>
      <w:proofErr w:type="spellStart"/>
      <w:r>
        <w:rPr>
          <w:rFonts w:ascii="Calibri" w:eastAsia="Calibri" w:hAnsi="Calibri"/>
          <w:color w:val="1A3A5C"/>
          <w:sz w:val="32"/>
        </w:rPr>
        <w:t>orden</w:t>
      </w:r>
      <w:proofErr w:type="spellEnd"/>
      <w:r>
        <w:rPr>
          <w:rFonts w:ascii="Calibri" w:eastAsia="Calibri" w:hAnsi="Calibri"/>
          <w:color w:val="1A3A5C"/>
          <w:sz w:val="32"/>
        </w:rPr>
        <w:t xml:space="preserve"> de </w:t>
      </w:r>
      <w:proofErr w:type="spellStart"/>
      <w:r>
        <w:rPr>
          <w:rFonts w:ascii="Calibri" w:eastAsia="Calibri" w:hAnsi="Calibri"/>
          <w:color w:val="1A3A5C"/>
          <w:sz w:val="32"/>
        </w:rPr>
        <w:t>trabajo</w:t>
      </w:r>
      <w:proofErr w:type="spellEnd"/>
    </w:p>
    <w:p w14:paraId="759F6C1A" w14:textId="1ED07D16" w:rsidR="00B86A0B" w:rsidRDefault="00000000">
      <w:pPr>
        <w:spacing w:before="40" w:after="160"/>
      </w:pPr>
      <w:r>
        <w:rPr>
          <w:rFonts w:ascii="Calibri" w:eastAsia="Calibri" w:hAnsi="Calibri"/>
          <w:color w:val="28323C"/>
        </w:rPr>
        <w:t xml:space="preserve">La </w:t>
      </w:r>
      <w:proofErr w:type="spellStart"/>
      <w:r>
        <w:rPr>
          <w:rFonts w:ascii="Calibri" w:eastAsia="Calibri" w:hAnsi="Calibri"/>
          <w:color w:val="28323C"/>
        </w:rPr>
        <w:t>orden</w:t>
      </w:r>
      <w:proofErr w:type="spellEnd"/>
      <w:r>
        <w:rPr>
          <w:rFonts w:ascii="Calibri" w:eastAsia="Calibri" w:hAnsi="Calibri"/>
          <w:color w:val="28323C"/>
        </w:rPr>
        <w:t xml:space="preserve"> de </w:t>
      </w:r>
      <w:proofErr w:type="spellStart"/>
      <w:r>
        <w:rPr>
          <w:rFonts w:ascii="Calibri" w:eastAsia="Calibri" w:hAnsi="Calibri"/>
          <w:color w:val="28323C"/>
        </w:rPr>
        <w:t>trabajo</w:t>
      </w:r>
      <w:proofErr w:type="spellEnd"/>
      <w:r>
        <w:rPr>
          <w:rFonts w:ascii="Calibri" w:eastAsia="Calibri" w:hAnsi="Calibri"/>
          <w:color w:val="28323C"/>
        </w:rPr>
        <w:t xml:space="preserve"> es el eje de ejecución. Avanza desde su creación y asignación hasta la ejecución en terreno, la incorporación de evidencia y el cierre por validación. Cuando corresponde, también contempla la cancelación como salida controlada del ciclo.</w:t>
      </w:r>
    </w:p>
    <w:p w14:paraId="0003252C" w14:textId="1311CA81" w:rsidR="00B86A0B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10D91A24" wp14:editId="03788A92">
            <wp:extent cx="5940000" cy="15274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2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C90D" w14:textId="71621114" w:rsidR="00B86A0B" w:rsidRDefault="00000000">
      <w:pPr>
        <w:pStyle w:val="Ttulo1"/>
      </w:pPr>
      <w:proofErr w:type="spellStart"/>
      <w:r>
        <w:rPr>
          <w:rFonts w:ascii="Calibri" w:eastAsia="Calibri" w:hAnsi="Calibri"/>
          <w:color w:val="1A3A5C"/>
          <w:sz w:val="32"/>
        </w:rPr>
        <w:t>Integración</w:t>
      </w:r>
      <w:proofErr w:type="spellEnd"/>
      <w:r>
        <w:rPr>
          <w:rFonts w:ascii="Calibri" w:eastAsia="Calibri" w:hAnsi="Calibri"/>
          <w:color w:val="1A3A5C"/>
          <w:sz w:val="32"/>
        </w:rPr>
        <w:t xml:space="preserve"> </w:t>
      </w:r>
      <w:proofErr w:type="spellStart"/>
      <w:r>
        <w:rPr>
          <w:rFonts w:ascii="Calibri" w:eastAsia="Calibri" w:hAnsi="Calibri"/>
          <w:color w:val="1A3A5C"/>
          <w:sz w:val="32"/>
        </w:rPr>
        <w:t>MoreApp</w:t>
      </w:r>
      <w:proofErr w:type="spellEnd"/>
    </w:p>
    <w:p w14:paraId="3FEEB6D0" w14:textId="2C926A57" w:rsidR="00B86A0B" w:rsidRDefault="00407C34">
      <w:pPr>
        <w:spacing w:before="40" w:after="160"/>
      </w:pPr>
      <w:r>
        <w:rPr>
          <w:noProof/>
        </w:rPr>
        <w:drawing>
          <wp:anchor distT="0" distB="0" distL="114300" distR="114300" simplePos="0" relativeHeight="251659776" behindDoc="1" locked="0" layoutInCell="1" allowOverlap="0" wp14:anchorId="0BBADAEE" wp14:editId="4F66DB4B">
            <wp:simplePos x="0" y="0"/>
            <wp:positionH relativeFrom="column">
              <wp:posOffset>29992</wp:posOffset>
            </wp:positionH>
            <wp:positionV relativeFrom="paragraph">
              <wp:posOffset>637848</wp:posOffset>
            </wp:positionV>
            <wp:extent cx="5940000" cy="1782000"/>
            <wp:effectExtent l="0" t="0" r="3810" b="88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moreap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8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rPr>
          <w:rFonts w:ascii="Calibri" w:eastAsia="Calibri" w:hAnsi="Calibri"/>
          <w:color w:val="28323C"/>
        </w:rPr>
        <w:t>MoreApp</w:t>
      </w:r>
      <w:proofErr w:type="spellEnd"/>
      <w:r w:rsidR="00000000">
        <w:rPr>
          <w:rFonts w:ascii="Calibri" w:eastAsia="Calibri" w:hAnsi="Calibri"/>
          <w:color w:val="28323C"/>
        </w:rPr>
        <w:t xml:space="preserve"> </w:t>
      </w:r>
      <w:proofErr w:type="spellStart"/>
      <w:r w:rsidR="00000000">
        <w:rPr>
          <w:rFonts w:ascii="Calibri" w:eastAsia="Calibri" w:hAnsi="Calibri"/>
          <w:color w:val="28323C"/>
        </w:rPr>
        <w:t>aporta</w:t>
      </w:r>
      <w:proofErr w:type="spellEnd"/>
      <w:r w:rsidR="00000000">
        <w:rPr>
          <w:rFonts w:ascii="Calibri" w:eastAsia="Calibri" w:hAnsi="Calibri"/>
          <w:color w:val="28323C"/>
        </w:rPr>
        <w:t xml:space="preserve"> </w:t>
      </w:r>
      <w:proofErr w:type="spellStart"/>
      <w:r w:rsidR="00000000">
        <w:rPr>
          <w:rFonts w:ascii="Calibri" w:eastAsia="Calibri" w:hAnsi="Calibri"/>
          <w:color w:val="28323C"/>
        </w:rPr>
        <w:t>el</w:t>
      </w:r>
      <w:proofErr w:type="spellEnd"/>
      <w:r w:rsidR="00000000">
        <w:rPr>
          <w:rFonts w:ascii="Calibri" w:eastAsia="Calibri" w:hAnsi="Calibri"/>
          <w:color w:val="28323C"/>
        </w:rPr>
        <w:t xml:space="preserve"> canal de captura en terreno. La sincronización reduce carga manual, pero no elimina la revisión: advertencias y bloqueos operativos quedan visibles en cola para que el equipo administrativo resuelva con criterio, manteniendo consistencia entre lo reportado en campo y </w:t>
      </w:r>
      <w:proofErr w:type="spellStart"/>
      <w:r w:rsidR="00000000">
        <w:rPr>
          <w:rFonts w:ascii="Calibri" w:eastAsia="Calibri" w:hAnsi="Calibri"/>
          <w:color w:val="28323C"/>
        </w:rPr>
        <w:t>el</w:t>
      </w:r>
      <w:proofErr w:type="spellEnd"/>
      <w:r w:rsidR="00000000">
        <w:rPr>
          <w:rFonts w:ascii="Calibri" w:eastAsia="Calibri" w:hAnsi="Calibri"/>
          <w:color w:val="28323C"/>
        </w:rPr>
        <w:t xml:space="preserve"> maestro del </w:t>
      </w:r>
      <w:proofErr w:type="spellStart"/>
      <w:r w:rsidR="00000000">
        <w:rPr>
          <w:rFonts w:ascii="Calibri" w:eastAsia="Calibri" w:hAnsi="Calibri"/>
          <w:color w:val="28323C"/>
        </w:rPr>
        <w:t>sistema</w:t>
      </w:r>
      <w:proofErr w:type="spellEnd"/>
      <w:r w:rsidR="00000000">
        <w:rPr>
          <w:rFonts w:ascii="Calibri" w:eastAsia="Calibri" w:hAnsi="Calibri"/>
          <w:color w:val="28323C"/>
        </w:rPr>
        <w:t>.</w:t>
      </w:r>
    </w:p>
    <w:p w14:paraId="43E82EFA" w14:textId="5525441C" w:rsidR="00B86A0B" w:rsidRDefault="00B86A0B">
      <w:pPr>
        <w:spacing w:after="240"/>
        <w:jc w:val="center"/>
      </w:pPr>
    </w:p>
    <w:sectPr w:rsidR="00B86A0B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206199">
    <w:abstractNumId w:val="8"/>
  </w:num>
  <w:num w:numId="2" w16cid:durableId="1870217920">
    <w:abstractNumId w:val="6"/>
  </w:num>
  <w:num w:numId="3" w16cid:durableId="335042025">
    <w:abstractNumId w:val="5"/>
  </w:num>
  <w:num w:numId="4" w16cid:durableId="532117462">
    <w:abstractNumId w:val="4"/>
  </w:num>
  <w:num w:numId="5" w16cid:durableId="1849102676">
    <w:abstractNumId w:val="7"/>
  </w:num>
  <w:num w:numId="6" w16cid:durableId="695471471">
    <w:abstractNumId w:val="3"/>
  </w:num>
  <w:num w:numId="7" w16cid:durableId="1592081129">
    <w:abstractNumId w:val="2"/>
  </w:num>
  <w:num w:numId="8" w16cid:durableId="1338995087">
    <w:abstractNumId w:val="1"/>
  </w:num>
  <w:num w:numId="9" w16cid:durableId="1588613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C34"/>
    <w:rsid w:val="00424F6E"/>
    <w:rsid w:val="00AA1D8D"/>
    <w:rsid w:val="00B47730"/>
    <w:rsid w:val="00B86A0B"/>
    <w:rsid w:val="00CB0664"/>
    <w:rsid w:val="00FB65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9D927"/>
  <w14:defaultImageDpi w14:val="300"/>
  <w15:docId w15:val="{43DAEEB1-94D0-43A8-AE68-FE316353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505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Romero</cp:lastModifiedBy>
  <cp:revision>4</cp:revision>
  <dcterms:created xsi:type="dcterms:W3CDTF">2013-12-23T23:15:00Z</dcterms:created>
  <dcterms:modified xsi:type="dcterms:W3CDTF">2026-07-23T18:42:00Z</dcterms:modified>
  <cp:category/>
</cp:coreProperties>
</file>