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Low</w:t>
      </w:r>
      <w:r>
        <w:t xml:space="preserve"> </w:t>
      </w:r>
      <w:r>
        <w:t xml:space="preserve">Level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Volume</w:t>
      </w:r>
      <w:r>
        <w:t xml:space="preserve"> </w:t>
      </w:r>
      <w:r>
        <w:t xml:space="preserve">1:</w:t>
      </w:r>
      <w:r>
        <w:t xml:space="preserve"> </w:t>
      </w:r>
      <w:r>
        <w:t xml:space="preserve">Foundations</w:t>
      </w:r>
      <w:r>
        <w:t xml:space="preserve"> </w:t>
      </w:r>
      <w:r>
        <w:t xml:space="preserve">&amp;</w:t>
      </w:r>
      <w:r>
        <w:t xml:space="preserve"> </w:t>
      </w:r>
      <w:r>
        <w:t xml:space="preserve">Architecture</w:t>
      </w:r>
      <w:r>
        <w:t xml:space="preserve"> </w:t>
      </w:r>
      <w:r>
        <w:t xml:space="preserve">(Chapters</w:t>
      </w:r>
      <w:r>
        <w:t xml:space="preserve"> </w:t>
      </w:r>
      <w:r>
        <w:t xml:space="preserve">1–10)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Pilot:</w:t>
      </w:r>
      <w:r>
        <w:t xml:space="preserve"> </w:t>
      </w:r>
      <w:r>
        <w:t xml:space="preserve">Nalanda</w:t>
      </w:r>
      <w:r>
        <w:t xml:space="preserve"> </w:t>
      </w:r>
      <w:r>
        <w:t xml:space="preserve">/</w:t>
      </w:r>
      <w:r>
        <w:t xml:space="preserve"> </w:t>
      </w:r>
      <w:r>
        <w:t xml:space="preserve">Rajgir,</w:t>
      </w:r>
      <w:r>
        <w:t xml:space="preserve"> </w:t>
      </w:r>
      <w:r>
        <w:t xml:space="preserve">Bihar</w:t>
      </w:r>
      <w:r>
        <w:t xml:space="preserve"> </w:t>
      </w:r>
      <w:r>
        <w:t xml:space="preserve">|</w:t>
      </w:r>
      <w:r>
        <w:t xml:space="preserve"> </w:t>
      </w:r>
      <w:r>
        <w:t xml:space="preserve">Reference:</w:t>
      </w:r>
      <w:r>
        <w:t xml:space="preserve"> </w:t>
      </w:r>
      <w:r>
        <w:t xml:space="preserve">PM</w:t>
      </w:r>
      <w:r>
        <w:t xml:space="preserve"> </w:t>
      </w:r>
      <w:r>
        <w:t xml:space="preserve">GatiShakti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executive-summary"/>
    <w:p>
      <w:pPr>
        <w:pStyle w:val="Heading1"/>
      </w:pPr>
      <w:r>
        <w:t xml:space="preserve">1. Executive Summary</w:t>
      </w:r>
    </w:p>
    <w:bookmarkStart w:id="20" w:name="purpose-of-this-document"/>
    <w:p>
      <w:pPr>
        <w:pStyle w:val="Heading2"/>
      </w:pPr>
      <w:r>
        <w:t xml:space="preserve">1.1 Purpose of this Document</w:t>
      </w:r>
    </w:p>
    <w:p>
      <w:pPr>
        <w:pStyle w:val="FirstParagraph"/>
      </w:pPr>
      <w:r>
        <w:t xml:space="preserve">This Low Level Design (LLD) is the implementation blueprint for the</w:t>
      </w:r>
      <w:r>
        <w:t xml:space="preserve"> </w:t>
      </w:r>
      <w:r>
        <w:rPr>
          <w:bCs/>
          <w:b/>
        </w:rPr>
        <w:t xml:space="preserve">National District Infrastructure &amp; Services Portal (NDISP)</w:t>
      </w:r>
      <w:r>
        <w:t xml:space="preserve">, a GIS-driven Decision Support System (GIS-DSS) commissioned to unify infrastructure planning, departmental execution, and citizen service delivery at district level, beginning with a pilot in Nalanda/Rajgir (Bihar) and scaling to 700+ districts nationally.</w:t>
      </w:r>
    </w:p>
    <w:p>
      <w:pPr>
        <w:pStyle w:val="BodyText"/>
      </w:pPr>
      <w:r>
        <w:t xml:space="preserve">This document consolidates and reconciles four source artifacts into one authoritative design: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Merged Into This LLD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HLD / Prompt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structure, technology stack, scale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Minutes of Meeting (MoM 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Three-portal model, data custodianship, CSV ingestion contract, strategic recommendations (multilingual, grievance loop, NIC/UDISE+ interoperability)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Pan-India District Portal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Four-phase system flow (Ingestion → Analytics → Admin Action → Citizen Visibility)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Nalanda District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Sector-wise actor requirements (Health, Water, Solar, Education, Tourism), data custodian registry, Bhuvan-aligned screen layout</w:t>
            </w:r>
          </w:p>
        </w:tc>
      </w:tr>
    </w:tbl>
    <w:p>
      <w:pPr>
        <w:pStyle w:val="BodyText"/>
      </w:pPr>
      <w:r>
        <w:t xml:space="preserve">Where documents overlapped (e.g., MoM’s three-portal model vs. the Pan-India flow’s four-phase model), they have been merged: the</w:t>
      </w:r>
      <w:r>
        <w:t xml:space="preserve"> </w:t>
      </w:r>
      <w:r>
        <w:rPr>
          <w:bCs/>
          <w:b/>
        </w:rPr>
        <w:t xml:space="preserve">three portals</w:t>
      </w:r>
      <w:r>
        <w:t xml:space="preserve"> </w:t>
      </w:r>
      <w:r>
        <w:t xml:space="preserve">(Citizen, Admin, Line Department) are the</w:t>
      </w:r>
      <w:r>
        <w:t xml:space="preserve"> </w:t>
      </w:r>
      <w:r>
        <w:rPr>
          <w:iCs/>
          <w:i/>
        </w:rPr>
        <w:t xml:space="preserve">access surfaces</w:t>
      </w:r>
      <w:r>
        <w:t xml:space="preserve">; the</w:t>
      </w:r>
      <w:r>
        <w:t xml:space="preserve"> </w:t>
      </w:r>
      <w:r>
        <w:rPr>
          <w:bCs/>
          <w:b/>
        </w:rPr>
        <w:t xml:space="preserve">four-phase flow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process</w:t>
      </w:r>
      <w:r>
        <w:t xml:space="preserve"> </w:t>
      </w:r>
      <w:r>
        <w:t xml:space="preserve">that runs across them. The Nalanda Matrix supplies the sector-specific detail that populates each portal’s modules.</w:t>
      </w:r>
    </w:p>
    <w:bookmarkEnd w:id="20"/>
    <w:bookmarkStart w:id="21" w:name="system-positioning"/>
    <w:p>
      <w:pPr>
        <w:pStyle w:val="Heading2"/>
      </w:pPr>
      <w:r>
        <w:t xml:space="preserve">1.2 System Positioning</w:t>
      </w:r>
    </w:p>
    <w:p>
      <w:pPr>
        <w:pStyle w:val="FirstParagraph"/>
      </w:pPr>
      <w:r>
        <w:t xml:space="preserve">NDISP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static GIS viewer. It is an enterprise-grade, multi-tenant, workflow-driven geospatial governance platform comparable in ambition to PM GatiShakti’s National Master Plan and Bhuvan’s governance layer, purpose-built for district administration.</w:t>
      </w:r>
    </w:p>
    <w:p>
      <w:pPr>
        <w:pStyle w:val="BodyText"/>
      </w:pPr>
      <w:r>
        <w:t xml:space="preserve">NDISP functions as a</w:t>
      </w:r>
      <w:r>
        <w:t xml:space="preserve"> </w:t>
      </w:r>
      <w:r>
        <w:rPr>
          <w:bCs/>
          <w:b/>
        </w:rPr>
        <w:t xml:space="preserve">Spatial Decision Support System (SDSS)</w:t>
      </w:r>
      <w:r>
        <w:t xml:space="preserve">: every administrative decision — facility siting, resource allocation, infrastructure prioritization — is grounded in named spatial evidence (gap scores, suitability surfaces, terrain and accessibility models) rather than tabular reporting alone. This positions NDISP as a</w:t>
      </w:r>
      <w:r>
        <w:t xml:space="preserve"> </w:t>
      </w:r>
      <w:r>
        <w:rPr>
          <w:bCs/>
          <w:b/>
        </w:rPr>
        <w:t xml:space="preserve">Location Intelligence platform</w:t>
      </w:r>
      <w:r>
        <w:t xml:space="preserve"> </w:t>
      </w:r>
      <w:r>
        <w:t xml:space="preserve">for district governance, not merely a data-visualization portal. The full Geospatial Intelligence Framework, GIS Service Catalogue, and Spatial Decision Support methodology are formalized in the companion HLD document; this LLD implements each element referenced there.</w:t>
      </w:r>
    </w:p>
    <w:bookmarkEnd w:id="21"/>
    <w:bookmarkStart w:id="22" w:name="document-scope"/>
    <w:p>
      <w:pPr>
        <w:pStyle w:val="Heading2"/>
      </w:pPr>
      <w:r>
        <w:t xml:space="preserve">1.3 Document Scope</w:t>
      </w:r>
    </w:p>
    <w:p>
      <w:pPr>
        <w:pStyle w:val="FirstParagraph"/>
      </w:pPr>
      <w:r>
        <w:t xml:space="preserve">Volume 1 covers Chapters 1–10: business context, requirements, stakeholders, personas, system architecture, and GIS architecture. Database design, workflow engine, department modules, platform services, API design, and engineering/DevOps LLDs are covered in Volumes 2–5 of this same document set.</w:t>
      </w:r>
    </w:p>
    <w:bookmarkEnd w:id="22"/>
    <w:bookmarkStart w:id="23" w:name="key-design-assumptions"/>
    <w:p>
      <w:pPr>
        <w:pStyle w:val="Heading2"/>
      </w:pPr>
      <w:r>
        <w:t xml:space="preserve">1.4 Key Design Assumptions</w:t>
      </w:r>
    </w:p>
    <w:p>
      <w:pPr>
        <w:pStyle w:val="FirstParagraph"/>
      </w:pPr>
      <w:r>
        <w:t xml:space="preserve">Stated explicitly per the brief’s instruction, since no document fully specifies these: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A1 — Deployment model:</w:t>
      </w:r>
      <w:r>
        <w:t xml:space="preserve"> </w:t>
      </w:r>
      <w:r>
        <w:t xml:space="preserve">On-premise/NIC-hosted Kubernetes cluster with cloud burst capability (assumption; not specified in source docs). To be confirmed with client’s data-residency policy.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A2 — Multi-tenancy:</w:t>
      </w:r>
      <w:r>
        <w:t xml:space="preserve"> </w:t>
      </w:r>
      <w:r>
        <w:t xml:space="preserve">Single shared platform, data logically partitioned by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/</w:t>
      </w:r>
      <w:r>
        <w:rPr>
          <w:rStyle w:val="VerbatimChar"/>
        </w:rPr>
        <w:t xml:space="preserve">state_id</w:t>
      </w:r>
      <w:r>
        <w:t xml:space="preserve"> </w:t>
      </w:r>
      <w:r>
        <w:t xml:space="preserve">(schema-per-tenant rejected at 700+ district scale — see §8.6).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A3 — Authentication:</w:t>
      </w:r>
      <w:r>
        <w:t xml:space="preserve"> </w:t>
      </w:r>
      <w:r>
        <w:t xml:space="preserve">Government SSO (e.g., NIC eOffice/DigiLocker-class IdP) integrated via OIDC; local username/password as fallback for pilot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A4 — Base data authority:</w:t>
      </w:r>
      <w:r>
        <w:t xml:space="preserve"> </w:t>
      </w:r>
      <w:r>
        <w:t xml:space="preserve">Per MoM §2, customer departments (Education, Water &amp; Sanitation, Health, Tourism, District Assets) supply initial CSV base layers; Dr Design owns ingestion, validation, and geocoding.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A5 — Pilot department scope:</w:t>
      </w:r>
      <w:r>
        <w:t xml:space="preserve"> </w:t>
      </w:r>
      <w:r>
        <w:t xml:space="preserve">Health, Water &amp; Sanitation, Education, Tourism, Solar Energy, District Assets — six sectors merged from MoM (5 departments) and Nalanda Matrix (adds Solar Energy explicitly).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A6 — Language:</w:t>
      </w:r>
      <w:r>
        <w:t xml:space="preserve"> </w:t>
      </w:r>
      <w:r>
        <w:t xml:space="preserve">English + Hindi at pilot; regional language toggle framework built now, content populated at state rollout (MoM Strategic Recommendation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A7 — Connectivity:</w:t>
      </w:r>
      <w:r>
        <w:t xml:space="preserve"> </w:t>
      </w:r>
      <w:r>
        <w:t xml:space="preserve">District-level users assumed to have intermittent connectivity; offline-first data capture required for field engineers (inferred from rural pilot context).</w:t>
      </w:r>
    </w:p>
    <w:bookmarkEnd w:id="23"/>
    <w:bookmarkEnd w:id="24"/>
    <w:bookmarkStart w:id="28" w:name="business-objectives"/>
    <w:p>
      <w:pPr>
        <w:pStyle w:val="Heading1"/>
      </w:pPr>
      <w:r>
        <w:t xml:space="preserve">2. Business Objectives</w:t>
      </w:r>
    </w:p>
    <w:bookmarkStart w:id="25" w:name="primary-objectives"/>
    <w:p>
      <w:pPr>
        <w:pStyle w:val="Heading2"/>
      </w:pPr>
      <w:r>
        <w:t xml:space="preserve">2.1 Primary Objectives</w:t>
      </w:r>
    </w:p>
    <w:p>
      <w:pPr>
        <w:numPr>
          <w:ilvl w:val="0"/>
          <w:numId w:val="1002"/>
        </w:numPr>
        <w:pStyle w:val="Compact"/>
      </w:pPr>
      <w:r>
        <w:t xml:space="preserve">Establish a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district infrastructure assets across sectors.</w:t>
      </w:r>
    </w:p>
    <w:p>
      <w:pPr>
        <w:numPr>
          <w:ilvl w:val="0"/>
          <w:numId w:val="1002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evidence-based, geospatial planning</w:t>
      </w:r>
      <w:r>
        <w:t xml:space="preserve"> </w:t>
      </w:r>
      <w:r>
        <w:t xml:space="preserve">for District Collectors/DMs, replacing manual file-based reviews.</w:t>
      </w:r>
    </w:p>
    <w:p>
      <w:pPr>
        <w:numPr>
          <w:ilvl w:val="0"/>
          <w:numId w:val="1002"/>
        </w:numPr>
        <w:pStyle w:val="Compact"/>
      </w:pPr>
      <w:r>
        <w:t xml:space="preserve">Close the loop between citizens and line departments through</w:t>
      </w:r>
      <w:r>
        <w:t xml:space="preserve"> </w:t>
      </w:r>
      <w:r>
        <w:rPr>
          <w:bCs/>
          <w:b/>
        </w:rPr>
        <w:t xml:space="preserve">geo-tagged grievance redressal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Provide an</w:t>
      </w:r>
      <w:r>
        <w:t xml:space="preserve"> </w:t>
      </w:r>
      <w:r>
        <w:rPr>
          <w:bCs/>
          <w:b/>
        </w:rPr>
        <w:t xml:space="preserve">architecture that scales from 2 pilot districts to 700+</w:t>
      </w:r>
      <w:r>
        <w:t xml:space="preserve"> </w:t>
      </w:r>
      <w:r>
        <w:t xml:space="preserve">without redesign (unified national schema — MoM Strategic Recommendation 1).</w:t>
      </w:r>
    </w:p>
    <w:p>
      <w:pPr>
        <w:numPr>
          <w:ilvl w:val="0"/>
          <w:numId w:val="1002"/>
        </w:numPr>
        <w:pStyle w:val="Compact"/>
      </w:pPr>
      <w:r>
        <w:t xml:space="preserve">Align with</w:t>
      </w:r>
      <w:r>
        <w:t xml:space="preserve"> </w:t>
      </w:r>
      <w:r>
        <w:rPr>
          <w:bCs/>
          <w:b/>
        </w:rPr>
        <w:t xml:space="preserve">PM GatiShakti</w:t>
      </w:r>
      <w:r>
        <w:t xml:space="preserve"> </w:t>
      </w:r>
      <w:r>
        <w:t xml:space="preserve">data-sharing principles and interoperate with national registries (UDISE+, National Health Portal).</w:t>
      </w:r>
    </w:p>
    <w:p>
      <w:pPr>
        <w:numPr>
          <w:ilvl w:val="0"/>
          <w:numId w:val="1002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cross-department spatial analytics</w:t>
      </w:r>
      <w:r>
        <w:t xml:space="preserve"> </w:t>
      </w:r>
      <w:r>
        <w:t xml:space="preserve">— deficit scores, suitability surfaces, and terrain/hydrology models computed once and shared across Health, Water, Education, Tourism, Solar, and District Assets modules rather than siloed per department.</w:t>
      </w:r>
    </w:p>
    <w:p>
      <w:pPr>
        <w:numPr>
          <w:ilvl w:val="0"/>
          <w:numId w:val="1002"/>
        </w:numPr>
        <w:pStyle w:val="Compact"/>
      </w:pPr>
      <w:r>
        <w:t xml:space="preserve">Establish each district’s data holdings as a contributing node of</w:t>
      </w:r>
      <w:r>
        <w:t xml:space="preserve"> </w:t>
      </w:r>
      <w:r>
        <w:rPr>
          <w:bCs/>
          <w:b/>
        </w:rPr>
        <w:t xml:space="preserve">India’s National Spatial Data Infrastructure (NSDI)</w:t>
      </w:r>
      <w:r>
        <w:t xml:space="preserve">, standards-aligned (OGC WMS/WFS/WMTS) for interoperability with PM GatiShakti and Bhuvan.</w:t>
      </w:r>
    </w:p>
    <w:p>
      <w:pPr>
        <w:numPr>
          <w:ilvl w:val="0"/>
          <w:numId w:val="1002"/>
        </w:numPr>
        <w:pStyle w:val="Compact"/>
      </w:pPr>
      <w:r>
        <w:t xml:space="preserve">Progressively build toward a</w:t>
      </w:r>
      <w:r>
        <w:t xml:space="preserve"> </w:t>
      </w:r>
      <w:r>
        <w:rPr>
          <w:bCs/>
          <w:b/>
        </w:rPr>
        <w:t xml:space="preserve">District Digital Twin</w:t>
      </w:r>
      <w:r>
        <w:t xml:space="preserve"> </w:t>
      </w:r>
      <w:r>
        <w:t xml:space="preserve">— a continuously updated geospatial representation of district infrastructure, terrain, and administrative boundaries — as an emergent property of the accumulated layer model (§10.9), not a separately built subsystem.</w:t>
      </w:r>
    </w:p>
    <w:bookmarkEnd w:id="25"/>
    <w:bookmarkStart w:id="26" w:name="success-metrics-pilot-phase"/>
    <w:p>
      <w:pPr>
        <w:pStyle w:val="Heading2"/>
      </w:pPr>
      <w:r>
        <w:t xml:space="preserve">2.2 Success Metrics (Pilot Phase)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(Pilot, 6 months post go-live)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Departments onboarded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5 (Health, Water, Education, Tourism, District Assets) — Solar as 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 geo-tagged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of department-supplied CSV records successfully geocoded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 approval 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from baseline (paper-based, ~15–20 days) to ≤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grievance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 closed within SLA (14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(pilot), 99.9% (national)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Gap-analysis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ingested facilities scored against 3km radius deficit model</w:t>
            </w:r>
          </w:p>
        </w:tc>
      </w:tr>
    </w:tbl>
    <w:bookmarkEnd w:id="26"/>
    <w:bookmarkStart w:id="27" w:name="out-of-scope-pilot"/>
    <w:p>
      <w:pPr>
        <w:pStyle w:val="Heading2"/>
      </w:pPr>
      <w:r>
        <w:t xml:space="preserve">2.3 Out of Scope (Pilot)</w:t>
      </w:r>
    </w:p>
    <w:p>
      <w:pPr>
        <w:numPr>
          <w:ilvl w:val="0"/>
          <w:numId w:val="1003"/>
        </w:numPr>
        <w:pStyle w:val="Compact"/>
      </w:pPr>
      <w:r>
        <w:t xml:space="preserve">Payment/financial transaction processing.</w:t>
      </w:r>
    </w:p>
    <w:p>
      <w:pPr>
        <w:numPr>
          <w:ilvl w:val="0"/>
          <w:numId w:val="1003"/>
        </w:numPr>
        <w:pStyle w:val="Compact"/>
      </w:pPr>
      <w:r>
        <w:t xml:space="preserve">Full CAD/BIM integration for engineering drawings (future roadmap, Ch. 30).</w:t>
      </w:r>
    </w:p>
    <w:p>
      <w:pPr>
        <w:numPr>
          <w:ilvl w:val="0"/>
          <w:numId w:val="1003"/>
        </w:numPr>
        <w:pStyle w:val="Compact"/>
      </w:pPr>
      <w:r>
        <w:t xml:space="preserve">Real-time IoT sensor ingestion (e.g., live water flow telemetry) — architecture reserves a message-bus hook (Ch. 18) but pilot uses batch CSV only, per MoM §2.</w:t>
      </w:r>
    </w:p>
    <w:bookmarkEnd w:id="27"/>
    <w:bookmarkEnd w:id="28"/>
    <w:bookmarkStart w:id="32" w:name="project-scope"/>
    <w:p>
      <w:pPr>
        <w:pStyle w:val="Heading1"/>
      </w:pPr>
      <w:r>
        <w:t xml:space="preserve">3. Project Scope</w:t>
      </w:r>
    </w:p>
    <w:bookmarkStart w:id="29" w:name="in-scope-functional-areas-pilot"/>
    <w:p>
      <w:pPr>
        <w:pStyle w:val="Heading2"/>
      </w:pPr>
      <w:r>
        <w:t xml:space="preserve">3.1 In-Scope Functional Areas (Pilot)</w:t>
      </w:r>
    </w:p>
    <w:p>
      <w:pPr>
        <w:numPr>
          <w:ilvl w:val="0"/>
          <w:numId w:val="1004"/>
        </w:numPr>
        <w:pStyle w:val="Compact"/>
      </w:pPr>
      <w:r>
        <w:t xml:space="preserve">Citizen Portal (public, unauthenticated + optional citizen login for grievance tracking)</w:t>
      </w:r>
    </w:p>
    <w:p>
      <w:pPr>
        <w:numPr>
          <w:ilvl w:val="0"/>
          <w:numId w:val="1004"/>
        </w:numPr>
        <w:pStyle w:val="Compact"/>
      </w:pPr>
      <w:r>
        <w:t xml:space="preserve">Admin Portal (District Administration / DM / ADM)</w:t>
      </w:r>
    </w:p>
    <w:p>
      <w:pPr>
        <w:numPr>
          <w:ilvl w:val="0"/>
          <w:numId w:val="1004"/>
        </w:numPr>
        <w:pStyle w:val="Compact"/>
      </w:pPr>
      <w:r>
        <w:t xml:space="preserve">Line Department Portal (Health, Water &amp; Sanitation, Education, Tourism, District Assets, Solar)</w:t>
      </w:r>
    </w:p>
    <w:p>
      <w:pPr>
        <w:numPr>
          <w:ilvl w:val="0"/>
          <w:numId w:val="1004"/>
        </w:numPr>
        <w:pStyle w:val="Compact"/>
      </w:pPr>
      <w:r>
        <w:t xml:space="preserve">Core Analytics / Deficit Detection Engine</w:t>
      </w:r>
    </w:p>
    <w:p>
      <w:pPr>
        <w:numPr>
          <w:ilvl w:val="0"/>
          <w:numId w:val="1004"/>
        </w:numPr>
        <w:pStyle w:val="Compact"/>
      </w:pPr>
      <w:r>
        <w:t xml:space="preserve">CSV-based data ingestion pipeline with geocoding</w:t>
      </w:r>
    </w:p>
    <w:p>
      <w:pPr>
        <w:numPr>
          <w:ilvl w:val="0"/>
          <w:numId w:val="1004"/>
        </w:numPr>
        <w:pStyle w:val="Compact"/>
      </w:pPr>
      <w:r>
        <w:t xml:space="preserve">Workflow engine (proposal → DM approval → tasking → completion → citizen feedback)</w:t>
      </w:r>
    </w:p>
    <w:p>
      <w:pPr>
        <w:numPr>
          <w:ilvl w:val="0"/>
          <w:numId w:val="1004"/>
        </w:numPr>
        <w:pStyle w:val="Compact"/>
      </w:pPr>
      <w:r>
        <w:t xml:space="preserve">Notification engine (SMS/Email/Portal at pilot; WhatsApp/Push reserved for state rollout)</w:t>
      </w:r>
    </w:p>
    <w:p>
      <w:pPr>
        <w:numPr>
          <w:ilvl w:val="0"/>
          <w:numId w:val="1004"/>
        </w:numPr>
        <w:pStyle w:val="Compact"/>
      </w:pPr>
      <w:r>
        <w:t xml:space="preserve">Reporting (PDF/Excel exports of dashboards)</w:t>
      </w:r>
    </w:p>
    <w:bookmarkEnd w:id="29"/>
    <w:bookmarkStart w:id="30" w:name="phased-rollout"/>
    <w:p>
      <w:pPr>
        <w:pStyle w:val="Heading2"/>
      </w:pPr>
      <w:r>
        <w:t xml:space="preserve">3.2 Phased Rollout</w:t>
      </w:r>
    </w:p>
    <w:p>
      <w:pPr>
        <w:pStyle w:val="SourceCode"/>
      </w:pPr>
      <w:r>
        <w:rPr>
          <w:rStyle w:val="VerbatimChar"/>
        </w:rPr>
        <w:t xml:space="preserve">Phase 0  Pilot POC        Nalanda / Rajgir (1-2 districts)     5-6 depts, CSV ingestion, core analytics</w:t>
      </w:r>
      <w:r>
        <w:br/>
      </w:r>
      <w:r>
        <w:rPr>
          <w:rStyle w:val="VerbatimChar"/>
        </w:rPr>
        <w:t xml:space="preserve">Phase 1  Pilot Hardening   Same districts                      Workflow engine, notifications, RBAC</w:t>
      </w:r>
      <w:r>
        <w:br/>
      </w:r>
      <w:r>
        <w:rPr>
          <w:rStyle w:val="VerbatimChar"/>
        </w:rPr>
        <w:t xml:space="preserve">Phase 2  State Rollout     Bihar (all districts)                Multilingual, NIC/UDISE+ API integration</w:t>
      </w:r>
      <w:r>
        <w:br/>
      </w:r>
      <w:r>
        <w:rPr>
          <w:rStyle w:val="VerbatimChar"/>
        </w:rPr>
        <w:t xml:space="preserve">Phase 3  National Rollout  700+ districts                       Full HA, multi-state schema, AI recommendations</w:t>
      </w:r>
    </w:p>
    <w:bookmarkEnd w:id="30"/>
    <w:bookmarkStart w:id="31" w:name="scalability-boundary-conditions"/>
    <w:p>
      <w:pPr>
        <w:pStyle w:val="Heading2"/>
      </w:pPr>
      <w:r>
        <w:t xml:space="preserve">3.3 Scalability Boundary Conditions</w:t>
      </w:r>
    </w:p>
    <w:p>
      <w:pPr>
        <w:pStyle w:val="FirstParagraph"/>
      </w:pPr>
      <w:r>
        <w:t xml:space="preserve">The architecture in Chapters 8–10 is explicitly validated against the Phase 3 load profile, not just the pilot, per the brief’s</w:t>
      </w:r>
      <w:r>
        <w:t xml:space="preserve"> </w:t>
      </w:r>
      <w:r>
        <w:t xml:space="preserve">“</w:t>
      </w:r>
      <w:r>
        <w:t xml:space="preserve">no redesign</w:t>
      </w:r>
      <w:r>
        <w:t xml:space="preserve">”</w:t>
      </w:r>
      <w:r>
        <w:t xml:space="preserve"> </w:t>
      </w:r>
      <w:r>
        <w:t xml:space="preserve">mandate: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(Phase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(Phase 3)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citizen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Geospatial assets (points/polygons)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Departments/sectors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(state-specific extensions)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tile requests/sec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(CDN-fronted)</w:t>
            </w:r>
          </w:p>
        </w:tc>
      </w:tr>
    </w:tbl>
    <w:bookmarkEnd w:id="31"/>
    <w:bookmarkEnd w:id="32"/>
    <w:bookmarkStart w:id="37" w:name="functional-requirements"/>
    <w:p>
      <w:pPr>
        <w:pStyle w:val="Heading1"/>
      </w:pPr>
      <w:r>
        <w:t xml:space="preserve">4. Functional Requirements</w:t>
      </w:r>
    </w:p>
    <w:bookmarkStart w:id="33" w:name="citizen-portal"/>
    <w:p>
      <w:pPr>
        <w:pStyle w:val="Heading2"/>
      </w:pPr>
      <w:r>
        <w:t xml:space="preserve">4.1 Citizen Portal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an interactive district map with layered infrastructure (health, water, education, tourism, solar, assets).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universal search by facility name, category, or location (Ch. 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facility detail cards: contact info, hours, courses/services offered, geotagged photos.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citizens to report an issue on a geo-tagged asset (</w:t>
            </w:r>
            <w:r>
              <w:t xml:space="preserve">“</w:t>
            </w:r>
            <w:r>
              <w:t xml:space="preserve">broken pump</w:t>
            </w:r>
            <w:r>
              <w:t xml:space="preserve">”</w:t>
            </w:r>
            <w:r>
              <w:t xml:space="preserve">) with photo +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citizens to track grievance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government scheme discovery and application-status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English/Hindi toggle at pilot; framework for additional languages.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downloadable reports (PDF) of public facility listings.</w:t>
            </w:r>
          </w:p>
        </w:tc>
      </w:tr>
    </w:tbl>
    <w:bookmarkEnd w:id="33"/>
    <w:bookmarkStart w:id="34" w:name="admin-portal-collectordmadm"/>
    <w:p>
      <w:pPr>
        <w:pStyle w:val="Heading2"/>
      </w:pPr>
      <w:r>
        <w:t xml:space="preserve">4.2 Admin Portal (Collector/DM/ADM)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Situation-based planning matrix: cross-department deficit view on GIS 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Deficit/gap analytics: radius-based facility-scarcity detection (default 3 km, configurable per sector).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workflow: review, modify, approve/reject line-department proposals.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Tasking: issue formal directives to specific line departments.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Cross-department coordination view with live alerts and budget utilization.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District-wide KPI dashboards with drill-down by sector/block/village.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recommendations panel (Ch. 17).</w:t>
            </w:r>
          </w:p>
        </w:tc>
      </w:tr>
    </w:tbl>
    <w:bookmarkEnd w:id="34"/>
    <w:bookmarkStart w:id="35" w:name="line-department-portal"/>
    <w:p>
      <w:pPr>
        <w:pStyle w:val="Heading2"/>
      </w:pPr>
      <w:r>
        <w:t xml:space="preserve">4.3 Line Department Portal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data loader with validation feedback (schema, geocoding failures reported back to uploader).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activity feed: department KPIs, thematic GIS layers, workforce, scheme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and acknowledge directives issued by DM.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and submit upward resource-expansion proposals.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complaints/inspections assigned to the department; update field status (with geo-tagged photo evidence).</w:t>
            </w:r>
          </w:p>
        </w:tc>
      </w:tr>
    </w:tbl>
    <w:bookmarkEnd w:id="35"/>
    <w:bookmarkStart w:id="36" w:name="cross-cutting-functional-requirements"/>
    <w:p>
      <w:pPr>
        <w:pStyle w:val="Heading2"/>
      </w:pPr>
      <w:r>
        <w:t xml:space="preserve">4.4 Cross-Cutting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across all three portals (Ch. 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 of every approval, tasking, and data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Multi-format reporting: PDF, Excel, CSV, GIS export (Ch. 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dispatch on workflow state transitions (Ch.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adapters for UDISE+ (schools) and National Health Portal (hospitals) (MoM §6, Strategic Rec.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Cross-department spatial analytics: gap scores, suitability surfaces, and terrain/hydrology models computed once by the Enterprise Spatial Analytics Engine (LLD Vol 3, Ch. 17) and made available to all relevant department modules rather than recomputed per department.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FR-XC-07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Remote-sensing-derived layers (NDVI, LULC, DEM-derived slope/aspect/contours, satellite change detection) available as standard map layers across all portals (Ch. 10.7).</w:t>
            </w:r>
          </w:p>
        </w:tc>
      </w:tr>
    </w:tbl>
    <w:bookmarkEnd w:id="36"/>
    <w:bookmarkEnd w:id="37"/>
    <w:bookmarkStart w:id="38" w:name="non-functional-requirements"/>
    <w:p>
      <w:pPr>
        <w:pStyle w:val="Heading1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pilot / 99.9% national; RTO ≤ 4h, RPO ≤ 15 min (Ch. 26 DR).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 of all stateless services; must support 700+ district onboarding without schema redesign.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 first paint &lt; 2s on 3G; API p95 latency &lt; 300ms for non-spatial queries, &lt; 800ms for spatial queries.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 L2 minimum; encryption at rest (AES-256) and in transit (TLS 1.2+); RBAC + audit (Ch. 27).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Bhuvan-aligned UI for official familiarity (Nalanda Matrix reference); WCAG 2.1 AA accessibility.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+ Hindi at launch; i18n framework supports additional locales without code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 boundaries aligned to business domains (Ch. 9); contract-first API design (OpenAPI).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ingested CSV rows validated against published schema before load; rejected rows quarantined with reason codes.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REST/GraphQL APIs; adapters for PM GatiShakti data-sharing standards, UDISE+, NHP.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 for all approval/tasking/RBAC events, retained ≥ 7 years (government record-keeping norm — assumption A-NFR-1).</w:t>
            </w:r>
          </w:p>
        </w:tc>
      </w:tr>
    </w:tbl>
    <w:bookmarkEnd w:id="38"/>
    <w:bookmarkStart w:id="39" w:name="stakeholders"/>
    <w:p>
      <w:pPr>
        <w:pStyle w:val="Heading1"/>
      </w:pPr>
      <w:r>
        <w:t xml:space="preserve">6.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 Collector /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decision-maker; approves plans, issues tasking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approvals,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Department Officers (Health, PHED, Education, Tourism, BREDA)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data owners and executors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Engineers / Data Entry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upload, ground-truthing, inspection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consumers of information, grievance raisers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Admin (Bihar, at state rollout)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Cross-district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Admin 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Cross-state oversight, PM GatiShakti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Design (Executing Agency)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build, ingestion scripts, POC delivery (MoM)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Custodians (Civil Surgeon Office, PHED Division, DEO, Tourism Office, BREDA — per Nalanda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source data and validation sign-off</w:t>
            </w:r>
          </w:p>
        </w:tc>
      </w:tr>
    </w:tbl>
    <w:bookmarkEnd w:id="39"/>
    <w:bookmarkStart w:id="40" w:name="user-personas"/>
    <w:p>
      <w:pPr>
        <w:pStyle w:val="Heading1"/>
      </w:pPr>
      <w:r>
        <w:t xml:space="preserve">7. User Personas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Pain Point 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nearest facility, report issues, track 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unified place to locate/report on public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Collector /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District-wide visibility, approve plans, direct 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file-based, slow cross-department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(scoped)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review/approval within assigned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 when DM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 Officer</w:t>
            </w:r>
            <w:r>
              <w:t xml:space="preserve"> </w:t>
            </w:r>
            <w:r>
              <w:t xml:space="preserve">(e.g., DEO, Civil Surgeon)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sector data, respond to directives, request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structured channel to request or justify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Department (mobile-first)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asset status, geo-tag inspection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mobile-friendly field data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Entry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CSV upload, correct validation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feedback loop on bad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(state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Cross-district KPI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aggregated state view (Phase 2+)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(national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Cross-state PM GatiShakti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national rollup (Phase 3)</w:t>
            </w:r>
          </w:p>
        </w:tc>
      </w:tr>
    </w:tbl>
    <w:bookmarkEnd w:id="40"/>
    <w:bookmarkStart w:id="48" w:name="system-architecture"/>
    <w:p>
      <w:pPr>
        <w:pStyle w:val="Heading1"/>
      </w:pPr>
      <w:r>
        <w:t xml:space="preserve">8. System Architecture</w:t>
      </w:r>
    </w:p>
    <w:bookmarkStart w:id="41" w:name="architectural-style"/>
    <w:p>
      <w:pPr>
        <w:pStyle w:val="Heading2"/>
      </w:pPr>
      <w:r>
        <w:t xml:space="preserve">8.1 Architectural Style</w:t>
      </w:r>
    </w:p>
    <w:p>
      <w:pPr>
        <w:pStyle w:val="FirstParagraph"/>
      </w:pPr>
      <w:r>
        <w:t xml:space="preserve">NDISP follows a</w:t>
      </w:r>
      <w:r>
        <w:t xml:space="preserve"> </w:t>
      </w:r>
      <w:r>
        <w:rPr>
          <w:bCs/>
          <w:b/>
        </w:rPr>
        <w:t xml:space="preserve">microservice architecture</w:t>
      </w:r>
      <w:r>
        <w:t xml:space="preserve"> </w:t>
      </w:r>
      <w:r>
        <w:t xml:space="preserve">behind a single API Gateway, with a</w:t>
      </w:r>
      <w:r>
        <w:t xml:space="preserve"> </w:t>
      </w:r>
      <w:r>
        <w:rPr>
          <w:bCs/>
          <w:b/>
        </w:rPr>
        <w:t xml:space="preserve">GIS-first</w:t>
      </w:r>
      <w:r>
        <w:t xml:space="preserve"> </w:t>
      </w:r>
      <w:r>
        <w:t xml:space="preserve">service tier (GeoServer + PostGIS) as a peer to the transactional tier, not bolted on.</w:t>
      </w:r>
    </w:p>
    <w:bookmarkEnd w:id="41"/>
    <w:bookmarkStart w:id="42" w:name="context-diagram"/>
    <w:p>
      <w:pPr>
        <w:pStyle w:val="Heading2"/>
      </w:pPr>
      <w:r>
        <w:t xml:space="preserve">8.2 Context Diagram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Citizens  ───────────▶│                                 │</w:t>
      </w:r>
      <w:r>
        <w:br/>
      </w:r>
      <w:r>
        <w:rPr>
          <w:rStyle w:val="VerbatimChar"/>
        </w:rPr>
        <w:t xml:space="preserve">                         │                                 │◀────── UDISE+ (Schools)</w:t>
      </w:r>
      <w:r>
        <w:br/>
      </w:r>
      <w:r>
        <w:rPr>
          <w:rStyle w:val="VerbatimChar"/>
        </w:rPr>
        <w:t xml:space="preserve">   DM / ADM  ───────────▶│   NATIONAL DISTRICT             │</w:t>
      </w:r>
      <w:r>
        <w:br/>
      </w:r>
      <w:r>
        <w:rPr>
          <w:rStyle w:val="VerbatimChar"/>
        </w:rPr>
        <w:t xml:space="preserve">   Line Dept ───────────▶│   INFRASTRUCTURE &amp; SERVICES    │◀────── National Health Portal</w:t>
      </w:r>
      <w:r>
        <w:br/>
      </w:r>
      <w:r>
        <w:rPr>
          <w:rStyle w:val="VerbatimChar"/>
        </w:rPr>
        <w:t xml:space="preserve">   Officers               │   PORTAL (NDISP)                │</w:t>
      </w:r>
      <w:r>
        <w:br/>
      </w:r>
      <w:r>
        <w:rPr>
          <w:rStyle w:val="VerbatimChar"/>
        </w:rPr>
        <w:t xml:space="preserve">                         │                                 │◀────── PM GatiShakti Data Hub</w:t>
      </w:r>
      <w:r>
        <w:br/>
      </w:r>
      <w:r>
        <w:rPr>
          <w:rStyle w:val="VerbatimChar"/>
        </w:rPr>
        <w:t xml:space="preserve">   State/Nat │───────────▶│                                 │</w:t>
      </w:r>
      <w:r>
        <w:br/>
      </w:r>
      <w:r>
        <w:rPr>
          <w:rStyle w:val="VerbatimChar"/>
        </w:rPr>
        <w:t xml:space="preserve">   Admin                  │                                 │◀────── SMS/Email/WhatsApp Gateways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└───────────────────────────────┘</w:t>
      </w:r>
    </w:p>
    <w:bookmarkEnd w:id="42"/>
    <w:bookmarkStart w:id="43" w:name="container-diagram"/>
    <w:p>
      <w:pPr>
        <w:pStyle w:val="Heading2"/>
      </w:pPr>
      <w:r>
        <w:t xml:space="preserve">8.3 Container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┌──────────────┐   ┌───────────────┐   ┌─────────────┐</w:t>
      </w:r>
      <w:r>
        <w:br/>
      </w:r>
      <w:r>
        <w:rPr>
          <w:rStyle w:val="VerbatimChar"/>
        </w:rPr>
        <w:t xml:space="preserve">│ Citizen Web  │   │  Admin Web   │   │ Line Dept Web │   │ Mobile App  │</w:t>
      </w:r>
      <w:r>
        <w:br/>
      </w:r>
      <w:r>
        <w:rPr>
          <w:rStyle w:val="VerbatimChar"/>
        </w:rPr>
        <w:t xml:space="preserve">│ (React SPA)  │   │ (React SPA)  │   │ (React SPA)   │   │(React Native)│</w:t>
      </w:r>
      <w:r>
        <w:br/>
      </w:r>
      <w:r>
        <w:rPr>
          <w:rStyle w:val="VerbatimChar"/>
        </w:rPr>
        <w:t xml:space="preserve">└──────┬───────┘   └──────┬───────┘   └──────┬────────┘   └──────┬──────┘</w:t>
      </w:r>
      <w:r>
        <w:br/>
      </w:r>
      <w:r>
        <w:rPr>
          <w:rStyle w:val="VerbatimChar"/>
        </w:rPr>
        <w:t xml:space="preserve">       └──────────────────┴──────────┬────────┴───────────────────┘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API Gateway         │</w:t>
      </w:r>
      <w:r>
        <w:br/>
      </w:r>
      <w:r>
        <w:rPr>
          <w:rStyle w:val="VerbatimChar"/>
        </w:rPr>
        <w:t xml:space="preserve">                          │  (NGINX + Auth + RL)  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┌──────────────┬───────────────┼───────────────┬──────────────┐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▼              ▼               ▼               ▼              ▼</w:t>
      </w:r>
      <w:r>
        <w:br/>
      </w:r>
      <w:r>
        <w:rPr>
          <w:rStyle w:val="VerbatimChar"/>
        </w:rPr>
        <w:t xml:space="preserve"> ┌─────────────┐ ┌───────────┐ ┌──────────────┐ ┌─────────────┐ ┌───────────┐</w:t>
      </w:r>
      <w:r>
        <w:br/>
      </w:r>
      <w:r>
        <w:rPr>
          <w:rStyle w:val="VerbatimChar"/>
        </w:rPr>
        <w:t xml:space="preserve"> │ Auth Service│ │ GIS Engine│ │Workflow Engine│ │Analytics Eng│ │Notif. Eng.│</w:t>
      </w:r>
      <w:r>
        <w:br/>
      </w:r>
      <w:r>
        <w:rPr>
          <w:rStyle w:val="VerbatimChar"/>
        </w:rPr>
        <w:t xml:space="preserve"> └──────┬──────┘ └─────┬─────┘ └──────┬────────┘ └──────┬──────┘ └─────┬─────┘</w:t>
      </w:r>
      <w:r>
        <w:br/>
      </w:r>
      <w:r>
        <w:rPr>
          <w:rStyle w:val="VerbatimChar"/>
        </w:rPr>
        <w:t xml:space="preserve">        │              │              │                 │              │</w:t>
      </w:r>
      <w:r>
        <w:br/>
      </w:r>
      <w:r>
        <w:rPr>
          <w:rStyle w:val="VerbatimChar"/>
        </w:rPr>
        <w:t xml:space="preserve">        ▼              ▼              ▼                 ▼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PostgreSQL + PostGIS   |   Redis   |   OpenSearch   |   MinIO  |  RMQ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GeoServer  (WMS / WFS / WMTS)</w:t>
      </w:r>
    </w:p>
    <w:bookmarkEnd w:id="43"/>
    <w:bookmarkStart w:id="44" w:name="deployment-diagram"/>
    <w:p>
      <w:pPr>
        <w:pStyle w:val="Heading2"/>
      </w:pPr>
      <w:r>
        <w:t xml:space="preserve">8.4 Deployment Diagram</w:t>
      </w:r>
    </w:p>
    <w:p>
      <w:pPr>
        <w:pStyle w:val="SourceCode"/>
      </w:pPr>
      <w:r>
        <w:rPr>
          <w:rStyle w:val="VerbatimChar"/>
        </w:rPr>
        <w:t xml:space="preserve">Kubernetes Cluster (Namespace: ndisp-prod)</w:t>
      </w:r>
      <w:r>
        <w:br/>
      </w:r>
      <w:r>
        <w:rPr>
          <w:rStyle w:val="VerbatimChar"/>
        </w:rPr>
        <w:t xml:space="preserve">├── Ingress (NGINX Ingress Controller + cert-manager)</w:t>
      </w:r>
      <w:r>
        <w:br/>
      </w:r>
      <w:r>
        <w:rPr>
          <w:rStyle w:val="VerbatimChar"/>
        </w:rPr>
        <w:t xml:space="preserve">├── Deployment: frontend-citizen (3 replicas, HPA 3-10)</w:t>
      </w:r>
      <w:r>
        <w:br/>
      </w:r>
      <w:r>
        <w:rPr>
          <w:rStyle w:val="VerbatimChar"/>
        </w:rPr>
        <w:t xml:space="preserve">├── Deployment: frontend-admin (2 replicas)</w:t>
      </w:r>
      <w:r>
        <w:br/>
      </w:r>
      <w:r>
        <w:rPr>
          <w:rStyle w:val="VerbatimChar"/>
        </w:rPr>
        <w:t xml:space="preserve">├── Deployment: frontend-linedept (2 replicas)</w:t>
      </w:r>
      <w:r>
        <w:br/>
      </w:r>
      <w:r>
        <w:rPr>
          <w:rStyle w:val="VerbatimChar"/>
        </w:rPr>
        <w:t xml:space="preserve">├── Deployment: api-gateway (3 replicas, HPA)</w:t>
      </w:r>
      <w:r>
        <w:br/>
      </w:r>
      <w:r>
        <w:rPr>
          <w:rStyle w:val="VerbatimChar"/>
        </w:rPr>
        <w:t xml:space="preserve">├── Deployment: svc-auth (3 replicas)</w:t>
      </w:r>
      <w:r>
        <w:br/>
      </w:r>
      <w:r>
        <w:rPr>
          <w:rStyle w:val="VerbatimChar"/>
        </w:rPr>
        <w:t xml:space="preserve">├── Deployment: svc-gis (4 replicas, HPA — CPU spatial ops)</w:t>
      </w:r>
      <w:r>
        <w:br/>
      </w:r>
      <w:r>
        <w:rPr>
          <w:rStyle w:val="VerbatimChar"/>
        </w:rPr>
        <w:t xml:space="preserve">├── Deployment: svc-workflow (3 replicas)</w:t>
      </w:r>
      <w:r>
        <w:br/>
      </w:r>
      <w:r>
        <w:rPr>
          <w:rStyle w:val="VerbatimChar"/>
        </w:rPr>
        <w:t xml:space="preserve">├── Deployment: svc-analytics (2 replicas, batch + on-demand)</w:t>
      </w:r>
      <w:r>
        <w:br/>
      </w:r>
      <w:r>
        <w:rPr>
          <w:rStyle w:val="VerbatimChar"/>
        </w:rPr>
        <w:t xml:space="preserve">├── Deployment: svc-notification (2 replicas)</w:t>
      </w:r>
      <w:r>
        <w:br/>
      </w:r>
      <w:r>
        <w:rPr>
          <w:rStyle w:val="VerbatimChar"/>
        </w:rPr>
        <w:t xml:space="preserve">├── Deployment: svc-master-data (2 replicas)</w:t>
      </w:r>
      <w:r>
        <w:br/>
      </w:r>
      <w:r>
        <w:rPr>
          <w:rStyle w:val="VerbatimChar"/>
        </w:rPr>
        <w:t xml:space="preserve">├── Deployment: svc-asset (3 replicas)</w:t>
      </w:r>
      <w:r>
        <w:br/>
      </w:r>
      <w:r>
        <w:rPr>
          <w:rStyle w:val="VerbatimChar"/>
        </w:rPr>
        <w:t xml:space="preserve">├── Deployment: svc-reporting (2 replicas)</w:t>
      </w:r>
      <w:r>
        <w:br/>
      </w:r>
      <w:r>
        <w:rPr>
          <w:rStyle w:val="VerbatimChar"/>
        </w:rPr>
        <w:t xml:space="preserve">├── Deployment: svc-search (2 replicas)</w:t>
      </w:r>
      <w:r>
        <w:br/>
      </w:r>
      <w:r>
        <w:rPr>
          <w:rStyle w:val="VerbatimChar"/>
        </w:rPr>
        <w:t xml:space="preserve">├── Deployment: svc-document (2 replicas)</w:t>
      </w:r>
      <w:r>
        <w:br/>
      </w:r>
      <w:r>
        <w:rPr>
          <w:rStyle w:val="VerbatimChar"/>
        </w:rPr>
        <w:t xml:space="preserve">├── Deployment: svc-audit (2 replicas)</w:t>
      </w:r>
      <w:r>
        <w:br/>
      </w:r>
      <w:r>
        <w:rPr>
          <w:rStyle w:val="VerbatimChar"/>
        </w:rPr>
        <w:t xml:space="preserve">├── StatefulSet: postgresql-postgis (primary + 2 read replicas, Patroni-managed)</w:t>
      </w:r>
      <w:r>
        <w:br/>
      </w:r>
      <w:r>
        <w:rPr>
          <w:rStyle w:val="VerbatimChar"/>
        </w:rPr>
        <w:t xml:space="preserve">├── StatefulSet: redis (Sentinel, 3 nodes)</w:t>
      </w:r>
      <w:r>
        <w:br/>
      </w:r>
      <w:r>
        <w:rPr>
          <w:rStyle w:val="VerbatimChar"/>
        </w:rPr>
        <w:t xml:space="preserve">├── StatefulSet: opensearch (3-node cluster)</w:t>
      </w:r>
      <w:r>
        <w:br/>
      </w:r>
      <w:r>
        <w:rPr>
          <w:rStyle w:val="VerbatimChar"/>
        </w:rPr>
        <w:t xml:space="preserve">├── StatefulSet: minio (4-node distributed erasure-coded)</w:t>
      </w:r>
      <w:r>
        <w:br/>
      </w:r>
      <w:r>
        <w:rPr>
          <w:rStyle w:val="VerbatimChar"/>
        </w:rPr>
        <w:t xml:space="preserve">├── StatefulSet: rabbitmq (3-node quorum queue cluster)</w:t>
      </w:r>
      <w:r>
        <w:br/>
      </w:r>
      <w:r>
        <w:rPr>
          <w:rStyle w:val="VerbatimChar"/>
        </w:rPr>
        <w:t xml:space="preserve">├── Deployment: geoserver (3 replicas behind internal LB)</w:t>
      </w:r>
      <w:r>
        <w:br/>
      </w:r>
      <w:r>
        <w:rPr>
          <w:rStyle w:val="VerbatimChar"/>
        </w:rPr>
        <w:t xml:space="preserve">└── Observability: prometheus, grafana, loki, otel-collector (DaemonSet)</w:t>
      </w:r>
    </w:p>
    <w:bookmarkEnd w:id="44"/>
    <w:bookmarkStart w:id="45" w:name="component-diagram-api-gateway"/>
    <w:p>
      <w:pPr>
        <w:pStyle w:val="Heading2"/>
      </w:pPr>
      <w:r>
        <w:t xml:space="preserve">8.5 Component Diagram — API Gateway</w:t>
      </w:r>
    </w:p>
    <w:p>
      <w:pPr>
        <w:pStyle w:val="SourceCode"/>
      </w:pP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├── Auth Middleware (JWT verify, refresh)</w:t>
      </w:r>
      <w:r>
        <w:br/>
      </w:r>
      <w:r>
        <w:rPr>
          <w:rStyle w:val="VerbatimChar"/>
        </w:rPr>
        <w:t xml:space="preserve"> ├── RBAC Middleware (permission check per route)</w:t>
      </w:r>
      <w:r>
        <w:br/>
      </w:r>
      <w:r>
        <w:rPr>
          <w:rStyle w:val="VerbatimChar"/>
        </w:rPr>
        <w:t xml:space="preserve"> ├── Rate Limiter (per-user, per-IP, per-role tiers)</w:t>
      </w:r>
      <w:r>
        <w:br/>
      </w:r>
      <w:r>
        <w:rPr>
          <w:rStyle w:val="VerbatimChar"/>
        </w:rPr>
        <w:t xml:space="preserve"> ├── Request Router (service discovery via K8s DNS)</w:t>
      </w:r>
      <w:r>
        <w:br/>
      </w:r>
      <w:r>
        <w:rPr>
          <w:rStyle w:val="VerbatimChar"/>
        </w:rPr>
        <w:t xml:space="preserve"> ├── Response Cache (Redis, GET-only, TTL by route class)</w:t>
      </w:r>
      <w:r>
        <w:br/>
      </w:r>
      <w:r>
        <w:rPr>
          <w:rStyle w:val="VerbatimChar"/>
        </w:rPr>
        <w:t xml:space="preserve"> ├── Audit Interceptor (async publish to svc-audit via RabbitMQ)</w:t>
      </w:r>
      <w:r>
        <w:br/>
      </w:r>
      <w:r>
        <w:rPr>
          <w:rStyle w:val="VerbatimChar"/>
        </w:rPr>
        <w:t xml:space="preserve"> └── GraphQL Gateway (internal-only, stitches svc-* schemas)</w:t>
      </w:r>
    </w:p>
    <w:bookmarkEnd w:id="45"/>
    <w:bookmarkStart w:id="46" w:name="X9255a8db4a1a8d67b85c80e0427b4cea2254861"/>
    <w:p>
      <w:pPr>
        <w:pStyle w:val="Heading2"/>
      </w:pPr>
      <w:r>
        <w:t xml:space="preserve">8.6 Service Communication &amp; Multi-Tenancy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Synchronous</w:t>
      </w:r>
      <w:r>
        <w:t xml:space="preserve">: REST over HTTP/2 between gateway and services; GraphQL for internal cross-service aggregation (e.g., Admin dashboard composing workflow + analytics + master-data in one call).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Asynchronous</w:t>
      </w:r>
      <w:r>
        <w:t xml:space="preserve">: RabbitMQ topic exchanges for workflow-state-change → notification, CSV-ingested → analytics-recompute, grievance-raised → line-dept-alert.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Multi-tenancy (assumption A2)</w:t>
      </w:r>
      <w:r>
        <w:t xml:space="preserve">: Row-level partitioning by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 </w:t>
      </w:r>
      <w:r>
        <w:t xml:space="preserve">(FK to</w:t>
      </w:r>
      <w:r>
        <w:t xml:space="preserve"> </w:t>
      </w:r>
      <w:r>
        <w:rPr>
          <w:rStyle w:val="VerbatimChar"/>
        </w:rPr>
        <w:t xml:space="preserve">mst_district</w:t>
      </w:r>
      <w:r>
        <w:t xml:space="preserve">) with PostgreSQL Row-Level Security policies enforced per authenticated tenant context — chosen over schema-per-tenant because 700+ schemas would break connection pooling and migration tooling at national scale. Table partitioning (declarative, by</w:t>
      </w:r>
      <w:r>
        <w:t xml:space="preserve"> </w:t>
      </w:r>
      <w:r>
        <w:rPr>
          <w:rStyle w:val="VerbatimChar"/>
        </w:rPr>
        <w:t xml:space="preserve">state_id</w:t>
      </w:r>
      <w:r>
        <w:t xml:space="preserve">) applied to high-volume tables (assets, audit log) for query performance.</w:t>
      </w:r>
    </w:p>
    <w:bookmarkEnd w:id="46"/>
    <w:bookmarkStart w:id="47" w:name="Xaff834936cae61a3b418560b21b7129f4cd6d1e"/>
    <w:p>
      <w:pPr>
        <w:pStyle w:val="Heading2"/>
      </w:pPr>
      <w:r>
        <w:t xml:space="preserve">8.7 Microservice Architecture — Service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JWT/refresh tokens, SSO/OIDC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(users, roles), Redis (sessions)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queries, tile serving orchestration,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PostGIS, GeoServer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→ approval → tasking → completion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 detection, gap analysis, 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(read), Redis (cache)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SMS/Email/WhatsApp/Push/Portal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svc-master-data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State/District/Block/Village/Department hierarchies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asset CRUD + geo-tagging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PDF/Excel/CSV/GIS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(output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+ spatial search,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Uploads, geo-tagged images, OCR,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MinIO, PostgreSQL (metadata)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svc-audit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(append-only, partitioned)</w:t>
            </w:r>
          </w:p>
        </w:tc>
      </w:tr>
    </w:tbl>
    <w:bookmarkEnd w:id="47"/>
    <w:bookmarkEnd w:id="48"/>
    <w:bookmarkStart w:id="51" w:name="application-architecture"/>
    <w:p>
      <w:pPr>
        <w:pStyle w:val="Heading1"/>
      </w:pPr>
      <w:r>
        <w:t xml:space="preserve">9. Application Architecture</w:t>
      </w:r>
    </w:p>
    <w:bookmarkStart w:id="49" w:name="portal-to-service-mapping"/>
    <w:p>
      <w:pPr>
        <w:pStyle w:val="Heading2"/>
      </w:pPr>
      <w:r>
        <w:t xml:space="preserve">9.1 Portal-to-Service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Services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svc-gis, svc-search, svc-asset (read), svc-workflow (grievance sub-flow), svc-notification (status updates), svc-document (photo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svc-analytics, svc-workflow, svc-master-data, svc-audit, svc-reporting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Department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svc-asset, svc-workflow, svc-document, svc-notification, CSV ingestion pipeline (Ch.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svc-asset (field updates), svc-document (geo-tagged photo capture, offline queue), svc-workflow (inspection status)</w:t>
            </w:r>
          </w:p>
        </w:tc>
      </w:tr>
    </w:tbl>
    <w:bookmarkEnd w:id="49"/>
    <w:bookmarkStart w:id="50" w:name="engine-responsibilities-detail"/>
    <w:p>
      <w:pPr>
        <w:pStyle w:val="Heading2"/>
      </w:pPr>
      <w:r>
        <w:t xml:space="preserve">9.2 Engine Responsibilities (Detail)</w:t>
      </w:r>
    </w:p>
    <w:p>
      <w:pPr>
        <w:pStyle w:val="FirstParagraph"/>
      </w:pPr>
      <w:r>
        <w:rPr>
          <w:bCs/>
          <w:b/>
        </w:rPr>
        <w:t xml:space="preserve">GIS Engine</w:t>
      </w:r>
      <w:r>
        <w:t xml:space="preserve"> </w:t>
      </w:r>
      <w:r>
        <w:t xml:space="preserve">— abstracts GeoServer/PostGIS behind a stable internal API: layer registration, style (SLD) management, WMS/WFS/WMTS proxying with auth, vector-tile generation for high-density layers.</w:t>
      </w:r>
    </w:p>
    <w:p>
      <w:pPr>
        <w:pStyle w:val="BodyText"/>
      </w:pPr>
      <w:r>
        <w:rPr>
          <w:bCs/>
          <w:b/>
        </w:rPr>
        <w:t xml:space="preserve">Analytics Engine</w:t>
      </w:r>
      <w:r>
        <w:t xml:space="preserve"> </w:t>
      </w:r>
      <w:r>
        <w:t xml:space="preserve">— runs the Deficit Detection Engine (Ch. 17): scheduled batch recompute (nightly) + on-demand recompute triggered by new CSV ingestion; publishes gap scores back into PostGIS as a materialized</w:t>
      </w:r>
      <w:r>
        <w:t xml:space="preserve"> </w:t>
      </w:r>
      <w:r>
        <w:rPr>
          <w:rStyle w:val="VerbatimChar"/>
        </w:rPr>
        <w:t xml:space="preserve">analytics.facility_gap_score</w:t>
      </w:r>
      <w:r>
        <w:t xml:space="preserve"> </w:t>
      </w:r>
      <w:r>
        <w:t xml:space="preserve">layer consumable directly by the GIS Engine.</w:t>
      </w:r>
    </w:p>
    <w:p>
      <w:pPr>
        <w:pStyle w:val="BodyText"/>
      </w:pPr>
      <w:r>
        <w:rPr>
          <w:bCs/>
          <w:b/>
        </w:rPr>
        <w:t xml:space="preserve">Workflow Engine</w:t>
      </w:r>
      <w:r>
        <w:t xml:space="preserve"> </w:t>
      </w:r>
      <w:r>
        <w:t xml:space="preserve">— generic state-machine service (Ch. 15) parameterized per workflow type (complaint, proposal, budget approval, inspection) so new department workflows don’t require new services.</w:t>
      </w:r>
    </w:p>
    <w:p>
      <w:pPr>
        <w:pStyle w:val="BodyText"/>
      </w:pPr>
      <w:r>
        <w:rPr>
          <w:bCs/>
          <w:b/>
        </w:rPr>
        <w:t xml:space="preserve">Notification Engine</w:t>
      </w:r>
      <w:r>
        <w:t xml:space="preserve"> </w:t>
      </w:r>
      <w:r>
        <w:t xml:space="preserve">— channel-agnostic dispatcher; templates stored per event type; retries with exponential backoff; DLQ for failed sends surfaced to svc-audit.</w:t>
      </w:r>
    </w:p>
    <w:p>
      <w:pPr>
        <w:pStyle w:val="BodyText"/>
      </w:pPr>
      <w:r>
        <w:rPr>
          <w:bCs/>
          <w:b/>
        </w:rPr>
        <w:t xml:space="preserve">Authentication Service</w:t>
      </w:r>
      <w:r>
        <w:t xml:space="preserve"> </w:t>
      </w:r>
      <w:r>
        <w:t xml:space="preserve">— OIDC-compliant; issues short-lived JWT (15 min) + rotating refresh token (7 days); role/permission claims embedded per Ch. 14 RBAC matrix.</w:t>
      </w:r>
    </w:p>
    <w:p>
      <w:pPr>
        <w:pStyle w:val="BodyText"/>
      </w:pPr>
      <w:r>
        <w:rPr>
          <w:bCs/>
          <w:b/>
        </w:rPr>
        <w:t xml:space="preserve">Master Data Service</w:t>
      </w:r>
      <w:r>
        <w:t xml:space="preserve"> </w:t>
      </w:r>
      <w:r>
        <w:t xml:space="preserve">— single authoritative source for administrative hierarchy (State → District → Subdivision → Block → Village/Ward) and department/scheme reference data; all other services resolve these by ID, never duplicate.</w:t>
      </w:r>
    </w:p>
    <w:p>
      <w:pPr>
        <w:pStyle w:val="BodyText"/>
      </w:pPr>
      <w:r>
        <w:rPr>
          <w:bCs/>
          <w:b/>
        </w:rPr>
        <w:t xml:space="preserve">Asset Service</w:t>
      </w:r>
      <w:r>
        <w:t xml:space="preserve"> </w:t>
      </w:r>
      <w:r>
        <w:t xml:space="preserve">— generic asset model (Ch. 12) specialized per department via a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+ JSONB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extension pattern, avoiding a new table per department while remaining query-indexable via GIN.</w:t>
      </w:r>
    </w:p>
    <w:p>
      <w:pPr>
        <w:pStyle w:val="BodyText"/>
      </w:pPr>
      <w:r>
        <w:rPr>
          <w:bCs/>
          <w:b/>
        </w:rPr>
        <w:t xml:space="preserve">Reporting Service</w:t>
      </w:r>
      <w:r>
        <w:t xml:space="preserve"> </w:t>
      </w:r>
      <w:r>
        <w:t xml:space="preserve">— templated report generation (Puppeteer/Chromium for PDF from HTML templates; ExcelJS for spreadsheets); async job queue for large exports.</w:t>
      </w:r>
    </w:p>
    <w:p>
      <w:pPr>
        <w:pStyle w:val="BodyText"/>
      </w:pPr>
      <w:r>
        <w:rPr>
          <w:bCs/>
          <w:b/>
        </w:rPr>
        <w:t xml:space="preserve">AI Recommendation Service</w:t>
      </w:r>
      <w:r>
        <w:t xml:space="preserve"> </w:t>
      </w:r>
      <w:r>
        <w:t xml:space="preserve">— (Phase 2+) consumes analytics gap scores + historical proposal outcomes to rank recommended interventions; pilot ships a rules-based version, ML model reserved for state rollout (assumption, since no source document specifies model type).</w:t>
      </w:r>
    </w:p>
    <w:p>
      <w:pPr>
        <w:pStyle w:val="BodyText"/>
      </w:pPr>
      <w:r>
        <w:rPr>
          <w:bCs/>
          <w:b/>
        </w:rPr>
        <w:t xml:space="preserve">Search Service</w:t>
      </w:r>
      <w:r>
        <w:t xml:space="preserve"> </w:t>
      </w:r>
      <w:r>
        <w:t xml:space="preserve">— OpenSearch index synchronized from PostgreSQL via CDC (Debezium) for near-real-time search freshness.</w:t>
      </w:r>
    </w:p>
    <w:p>
      <w:pPr>
        <w:pStyle w:val="BodyText"/>
      </w:pPr>
      <w:r>
        <w:rPr>
          <w:bCs/>
          <w:b/>
        </w:rPr>
        <w:t xml:space="preserve">Document Service</w:t>
      </w:r>
      <w:r>
        <w:t xml:space="preserve"> </w:t>
      </w:r>
      <w:r>
        <w:t xml:space="preserve">— stores geo-tagged images/PDFs in MinIO with EXIF GPS extraction validated against claimed asset location (tolerance configurable, default 200m) to detect mis-tagged uploads.</w:t>
      </w:r>
    </w:p>
    <w:p>
      <w:pPr>
        <w:pStyle w:val="BodyText"/>
      </w:pPr>
      <w:r>
        <w:rPr>
          <w:bCs/>
          <w:b/>
        </w:rPr>
        <w:t xml:space="preserve">Audit Service</w:t>
      </w:r>
      <w:r>
        <w:t xml:space="preserve"> </w:t>
      </w:r>
      <w:r>
        <w:t xml:space="preserve">— append-only, partitioned by month; every write-service publishes audit events asynchronously so audit logging never blocks the user-facing transaction.</w:t>
      </w:r>
    </w:p>
    <w:bookmarkEnd w:id="50"/>
    <w:bookmarkEnd w:id="51"/>
    <w:bookmarkStart w:id="61" w:name="gis-architecture"/>
    <w:p>
      <w:pPr>
        <w:pStyle w:val="Heading1"/>
      </w:pPr>
      <w:r>
        <w:t xml:space="preserve">10. GIS Architecture</w:t>
      </w:r>
    </w:p>
    <w:bookmarkStart w:id="52" w:name="layer-model"/>
    <w:p>
      <w:pPr>
        <w:pStyle w:val="Heading2"/>
      </w:pPr>
      <w:r>
        <w:t xml:space="preserve">10.1 Layer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State, District, Subdivision, Block, Village/Ward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polygons (</w:t>
            </w:r>
            <w:r>
              <w:rPr>
                <w:rStyle w:val="VerbatimChar"/>
              </w:rPr>
              <w:t xml:space="preserve">MultiPolygon, SRID 4326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base imagery (Bhuvan/NRSC),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GeoServer raster store (GeoTIFF, COG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(points), roads/pipelines (lines), catchments (polygons)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PostGIS, served as vector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Analytics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 heatmaps, service-radius buffers, 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materialized views, regenerated by Analytics Engine</w:t>
            </w:r>
          </w:p>
        </w:tc>
      </w:tr>
    </w:tbl>
    <w:bookmarkEnd w:id="52"/>
    <w:bookmarkStart w:id="53" w:name="spatial-indexing-query-strategy"/>
    <w:p>
      <w:pPr>
        <w:pStyle w:val="Heading2"/>
      </w:pPr>
      <w:r>
        <w:t xml:space="preserve">10.2 Spatial Indexing &amp; Query Strategy</w:t>
      </w:r>
    </w:p>
    <w:p>
      <w:pPr>
        <w:numPr>
          <w:ilvl w:val="0"/>
          <w:numId w:val="1006"/>
        </w:numPr>
        <w:pStyle w:val="Compact"/>
      </w:pPr>
      <w:r>
        <w:t xml:space="preserve">GiST indexes on all geometry columns; BRIN indexes on time-partitioned audit/asset-history tables.</w:t>
      </w:r>
    </w:p>
    <w:p>
      <w:pPr>
        <w:numPr>
          <w:ilvl w:val="0"/>
          <w:numId w:val="1006"/>
        </w:numPr>
        <w:pStyle w:val="Compact"/>
      </w:pPr>
      <w:r>
        <w:t xml:space="preserve">Spatial queries (radius search,</w:t>
      </w:r>
      <w:r>
        <w:t xml:space="preserve"> </w:t>
      </w:r>
      <w:r>
        <w:t xml:space="preserve">“</w:t>
      </w:r>
      <w:r>
        <w:t xml:space="preserve">nearest N</w:t>
      </w:r>
      <w:r>
        <w:t xml:space="preserve">”</w:t>
      </w:r>
      <w:r>
        <w:t xml:space="preserve">) executed via PostGIS</w:t>
      </w:r>
      <w:r>
        <w:t xml:space="preserve"> </w:t>
      </w:r>
      <w:r>
        <w:rPr>
          <w:rStyle w:val="VerbatimChar"/>
        </w:rPr>
        <w:t xml:space="preserve">ST_DWithin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ST_Distance</w:t>
      </w:r>
      <w:r>
        <w:t xml:space="preserve"> </w:t>
      </w:r>
      <w:r>
        <w:t xml:space="preserve">with bounding-box pre-filter for performance at 100M+ point scale.</w:t>
      </w:r>
    </w:p>
    <w:p>
      <w:pPr>
        <w:numPr>
          <w:ilvl w:val="0"/>
          <w:numId w:val="1006"/>
        </w:numPr>
        <w:pStyle w:val="Compact"/>
      </w:pPr>
      <w:r>
        <w:t xml:space="preserve">Vector tiles pre-generated (</w:t>
      </w:r>
      <w:r>
        <w:rPr>
          <w:rStyle w:val="VerbatimChar"/>
        </w:rPr>
        <w:t xml:space="preserve">ST_AsMVT</w:t>
      </w:r>
      <w:r>
        <w:t xml:space="preserve">) and cached in Redis/CDN for high-traffic layers (facility points); heavy analytical layers computed on-demand with a 60s cache.</w:t>
      </w:r>
    </w:p>
    <w:bookmarkEnd w:id="53"/>
    <w:bookmarkStart w:id="54" w:name="map-serving"/>
    <w:p>
      <w:pPr>
        <w:pStyle w:val="Heading2"/>
      </w:pPr>
      <w:r>
        <w:t xml:space="preserve">10.3 Map Serving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GeoServer</w:t>
      </w:r>
      <w:r>
        <w:t xml:space="preserve"> </w:t>
      </w:r>
      <w:r>
        <w:t xml:space="preserve">exposes WMS (map images), WFS (feature data for admin editing tools), WMTS (cached base tiles).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MapLibre GL JS</w:t>
      </w:r>
      <w:r>
        <w:t xml:space="preserve"> </w:t>
      </w:r>
      <w:r>
        <w:t xml:space="preserve">(frontend) consumes vector tiles directly from a tile endpoint for citizen/admin maps;</w:t>
      </w:r>
      <w:r>
        <w:t xml:space="preserve"> </w:t>
      </w:r>
      <w:r>
        <w:rPr>
          <w:bCs/>
          <w:b/>
        </w:rPr>
        <w:t xml:space="preserve">OpenLayers</w:t>
      </w:r>
      <w:r>
        <w:t xml:space="preserve"> </w:t>
      </w:r>
      <w:r>
        <w:t xml:space="preserve">used where WMS/WFS editing widgets are required (Line Department asset editing UI).</w:t>
      </w:r>
    </w:p>
    <w:bookmarkEnd w:id="54"/>
    <w:bookmarkStart w:id="55" w:name="X28a41cfb5df14d90578c30e98bbe73602779cba"/>
    <w:p>
      <w:pPr>
        <w:pStyle w:val="Heading2"/>
      </w:pPr>
      <w:r>
        <w:t xml:space="preserve">10.4 Spatial Analysis Capabilities (mapped to MoM &amp; Nalanda Matrix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3km radius facility-scarcity detection (Pan-India Flow 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when new asset falls inside/outside a defined zone (e.g., protected heritage 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Tourism, District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Population-density vs. facility-density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Portal Matrix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Route/Network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planning, ambulance coverage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/ Isochrone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Reachable in N minutes</w:t>
            </w:r>
            <w:r>
              <w:t xml:space="preserve">”</w:t>
            </w:r>
            <w:r>
              <w:t xml:space="preserve"> </w:t>
            </w:r>
            <w:r>
              <w:t xml:space="preserve">for schools/hospitals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Suitability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Rooftop/solar-farm site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Energy (BREDA)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Nearest hospital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hospitals within 5km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Portal, svc-search</w:t>
            </w:r>
          </w:p>
        </w:tc>
      </w:tr>
    </w:tbl>
    <w:bookmarkEnd w:id="55"/>
    <w:bookmarkStart w:id="56" w:name="geo-tagging-data-provenance"/>
    <w:p>
      <w:pPr>
        <w:pStyle w:val="Heading2"/>
      </w:pPr>
      <w:r>
        <w:t xml:space="preserve">10.5 Geo-Tagging &amp; Data Provenance</w:t>
      </w:r>
    </w:p>
    <w:p>
      <w:pPr>
        <w:pStyle w:val="FirstParagraph"/>
      </w:pPr>
      <w:r>
        <w:t xml:space="preserve">Every asset ingested (Ch. 11) carries: source department, custodian office (per Nalanda Matrix data-custodian registry), ingestion batch ID, geocoding method (exact-coordinate vs. address-geocoded vs. manually placed), and confidence score — enabling the Analytics Engine to weight low-confidence points appropriately in gap analysis.</w:t>
      </w:r>
    </w:p>
    <w:bookmarkEnd w:id="56"/>
    <w:bookmarkStart w:id="57" w:name="Xce69cc48979603093f78f746daa4fd7dd770e3c"/>
    <w:p>
      <w:pPr>
        <w:pStyle w:val="Heading2"/>
      </w:pPr>
      <w:r>
        <w:t xml:space="preserve">10.6 National Spatial Data Infrastructure (NSDI) Alignment</w:t>
      </w:r>
    </w:p>
    <w:p>
      <w:pPr>
        <w:pStyle w:val="FirstParagraph"/>
      </w:pPr>
      <w:r>
        <w:t xml:space="preserve">NDISP’s GIS layer stack (§10.1) is designed as a district-level node of India’s NSDI rather than a standalone data silo: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Standards</w:t>
      </w:r>
      <w:r>
        <w:t xml:space="preserve">: all map services are exposed OGC-compliant (WMS/WFS/WMTS, §10.3) — no proprietary format required for interoperability with national geoportals.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data lineage</w:t>
      </w:r>
      <w:r>
        <w:t xml:space="preserve">: administrative boundaries and satellite imagery are sourced from Survey of India (SoI) and NRSC/Bhuvan (§10.1), preserving national data lineage rather than locally digitized approximations.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Bidirectional posture</w:t>
      </w:r>
      <w:r>
        <w:t xml:space="preserve">: NDISP consumes national layers today (pilot) and is architected to publish ground-truthed district asset layers upward to national registries in Phase 2+ (MoM Strategic Recommendation 3), once data-sharing agreements are formalized with UDISE+/NHP/PM GatiShakti (Ch. 11.3).</w:t>
      </w:r>
    </w:p>
    <w:bookmarkEnd w:id="57"/>
    <w:bookmarkStart w:id="58" w:name="remote-sensing-data-sources-summary"/>
    <w:p>
      <w:pPr>
        <w:pStyle w:val="Heading2"/>
      </w:pPr>
      <w:r>
        <w:t xml:space="preserve">10.7 Remote Sensing Data Sources (Summary)</w:t>
      </w:r>
    </w:p>
    <w:p>
      <w:pPr>
        <w:pStyle w:val="FirstParagraph"/>
      </w:pPr>
      <w:r>
        <w:t xml:space="preserve">NDISP’s raster layer model (§10.1) formally incorporates three satellite data classes, detailed alongside the Enterprise Spatial Analytics Engine in LLD Volume 3, §17.6: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 in NDISP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NRSC / Bhuvan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reference, thematic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reference layers, LULC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(Copernicus)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Medium-resolution multispectral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NDVI, seasonal 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Landsat (USGS)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time-series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LULC/water-body change detection</w:t>
            </w:r>
          </w:p>
        </w:tc>
      </w:tr>
    </w:tbl>
    <w:p>
      <w:pPr>
        <w:pStyle w:val="BodyText"/>
      </w:pPr>
      <w:r>
        <w:t xml:space="preserve">Derived terrain products (DEM-based slope, aspect, contours) and vegetation/land-cover products (NDVI, LULC classification) are computed from these sources and stored per the extended schema in LLD Volume 2, §12.11.</w:t>
      </w:r>
    </w:p>
    <w:bookmarkEnd w:id="58"/>
    <w:bookmarkStart w:id="59" w:name="location-intelligence-layer"/>
    <w:p>
      <w:pPr>
        <w:pStyle w:val="Heading2"/>
      </w:pPr>
      <w:r>
        <w:t xml:space="preserve">10.8 Location Intelligence Layer</w:t>
      </w:r>
    </w:p>
    <w:p>
      <w:pPr>
        <w:pStyle w:val="FirstParagraph"/>
      </w:pPr>
      <w:r>
        <w:t xml:space="preserve">Every citizen- and administrator-facing surface (Citizen Portal, Admin Portal, Line Department Portal) presents data with spatial context by default — nearest facility, service-area membership, gap-score overlay — rather than as tabular listings requiring separate lookup. This is not a new component: it is the consistent application of svc-gis + svc-search (Ch. 9.2) across every portal, formalized here as NDISP’s</w:t>
      </w:r>
      <w:r>
        <w:t xml:space="preserve"> </w:t>
      </w:r>
      <w:r>
        <w:rPr>
          <w:bCs/>
          <w:b/>
        </w:rPr>
        <w:t xml:space="preserve">Location Intelligence</w:t>
      </w:r>
      <w:r>
        <w:t xml:space="preserve"> </w:t>
      </w:r>
      <w:r>
        <w:t xml:space="preserve">principle.</w:t>
      </w:r>
    </w:p>
    <w:bookmarkEnd w:id="59"/>
    <w:bookmarkStart w:id="60" w:name="X5b91893a9039627dcad682aaf60a64fc5d7cd6e"/>
    <w:p>
      <w:pPr>
        <w:pStyle w:val="Heading2"/>
      </w:pPr>
      <w:r>
        <w:t xml:space="preserve">10.9 Spatial Decision Support System (SDSS) &amp; District Digital Twin Vision</w:t>
      </w:r>
    </w:p>
    <w:p>
      <w:pPr>
        <w:pStyle w:val="FirstParagraph"/>
      </w:pPr>
      <w:r>
        <w:t xml:space="preserve">The Analytics Engine (Ch. 9.2), enriched into the</w:t>
      </w:r>
      <w:r>
        <w:t xml:space="preserve"> </w:t>
      </w:r>
      <w:r>
        <w:rPr>
          <w:bCs/>
          <w:b/>
        </w:rPr>
        <w:t xml:space="preserve">Enterprise Spatial Analytics Engine</w:t>
      </w:r>
      <w:r>
        <w:t xml:space="preserve"> </w:t>
      </w:r>
      <w:r>
        <w:t xml:space="preserve">in LLD Volume 3, Ch. 17, implements NDISP’s SDSS: Multi-Criteria Decision Analysis (MCDA) over weighted spatial overlays (population, accessibility, terrain, existing coverage) to produce auditable, evidence-linked recommendations (§ Ch. 17.5,</w:t>
      </w:r>
      <w:r>
        <w:t xml:space="preserve"> </w:t>
      </w:r>
      <w:r>
        <w:t xml:space="preserve">“</w:t>
      </w:r>
      <w:r>
        <w:t xml:space="preserve">GIS Decision Support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As administrative, raster, vector, terrain, and asset layers accumulate across the pilot-to-national rollout (Ch. 3.2), they compose into an increasingly complete geospatial representation of each district — its</w:t>
      </w:r>
      <w:r>
        <w:t xml:space="preserve"> </w:t>
      </w:r>
      <w:r>
        <w:rPr>
          <w:bCs/>
          <w:b/>
        </w:rPr>
        <w:t xml:space="preserve">District Digital Twin</w:t>
      </w:r>
      <w:r>
        <w:t xml:space="preserve">. This is an emergent capability of the existing layer model (§10.1) at sufficient data maturity, not a separately architected subsystem; no new services or schema are required beyond what is already specified in this LLD.</w:t>
      </w:r>
    </w:p>
    <w:p>
      <w:pPr>
        <w:pStyle w:val="BodyText"/>
      </w:pPr>
      <w:r>
        <w:rPr>
          <w:iCs/>
          <w:i/>
        </w:rPr>
        <w:t xml:space="preserve">End of Volume 1. Continued in Volume 2 — Data &amp; Database Design (Chapters 11–14).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District Infrastructure &amp; Services Portal</dc:title>
  <dc:creator>Dr Design — Enterprise Architecture Group</dc:creator>
  <cp:keywords/>
  <dcterms:created xsi:type="dcterms:W3CDTF">2026-07-21T06:33:46Z</dcterms:created>
  <dcterms:modified xsi:type="dcterms:W3CDTF">2026-07-21T06:33:46Z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Pilot: Nalanda / Rajgir, Bihar | Reference: PM GatiShakti</vt:lpwstr>
  </property>
  <property fmtid="{D5CDD505-2E9C-101B-9397-08002B2CF9AE}" pid="3" name="subtitle">
    <vt:lpwstr>Low Level Design — Volume 1: Foundations &amp; Architecture (Chapters 1–10)</vt:lpwstr>
  </property>
</Properties>
</file>