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National</w:t>
      </w:r>
      <w:r>
        <w:t xml:space="preserve"> </w:t>
      </w:r>
      <w:r>
        <w:t xml:space="preserve">District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&amp;</w:t>
      </w:r>
      <w:r>
        <w:t xml:space="preserve"> </w:t>
      </w:r>
      <w:r>
        <w:t xml:space="preserve">Services</w:t>
      </w:r>
      <w:r>
        <w:t xml:space="preserve"> </w:t>
      </w:r>
      <w:r>
        <w:t xml:space="preserve">Portal</w:t>
      </w:r>
    </w:p>
    <w:p>
      <w:pPr>
        <w:pStyle w:val="Subtitle"/>
      </w:pPr>
      <w:r>
        <w:t xml:space="preserve">Low</w:t>
      </w:r>
      <w:r>
        <w:t xml:space="preserve"> </w:t>
      </w:r>
      <w:r>
        <w:t xml:space="preserve">Level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Volume</w:t>
      </w:r>
      <w:r>
        <w:t xml:space="preserve"> </w:t>
      </w:r>
      <w:r>
        <w:t xml:space="preserve">3:</w:t>
      </w:r>
      <w:r>
        <w:t xml:space="preserve"> </w:t>
      </w:r>
      <w:r>
        <w:t xml:space="preserve">Workflow</w:t>
      </w:r>
      <w:r>
        <w:t xml:space="preserve"> </w:t>
      </w:r>
      <w:r>
        <w:t xml:space="preserve">Engine</w:t>
      </w:r>
      <w:r>
        <w:t xml:space="preserve"> </w:t>
      </w:r>
      <w:r>
        <w:t xml:space="preserve">&amp;</w:t>
      </w:r>
      <w:r>
        <w:t xml:space="preserve"> </w:t>
      </w:r>
      <w:r>
        <w:t xml:space="preserve">Department</w:t>
      </w:r>
      <w:r>
        <w:t xml:space="preserve"> </w:t>
      </w:r>
      <w:r>
        <w:t xml:space="preserve">Modules</w:t>
      </w:r>
      <w:r>
        <w:t xml:space="preserve"> </w:t>
      </w:r>
      <w:r>
        <w:t xml:space="preserve">(Chapters</w:t>
      </w:r>
      <w:r>
        <w:t xml:space="preserve"> </w:t>
      </w:r>
      <w:r>
        <w:t xml:space="preserve">15–18)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Enterprise</w:t>
      </w:r>
      <w:r>
        <w:t xml:space="preserve"> </w:t>
      </w:r>
      <w:r>
        <w:t xml:space="preserve">Architecture</w:t>
      </w:r>
      <w:r>
        <w:t xml:space="preserve"> </w:t>
      </w:r>
      <w:r>
        <w:t xml:space="preserve">Group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complete-workflow-engine"/>
    <w:p>
      <w:pPr>
        <w:pStyle w:val="Heading1"/>
      </w:pPr>
      <w:r>
        <w:t xml:space="preserve">15. Complete Workflow Engine</w:t>
      </w:r>
    </w:p>
    <w:bookmarkStart w:id="20" w:name="design-approach"/>
    <w:p>
      <w:pPr>
        <w:pStyle w:val="Heading2"/>
      </w:pPr>
      <w:r>
        <w:t xml:space="preserve">15.1 Design Approach</w:t>
      </w:r>
    </w:p>
    <w:p>
      <w:pPr>
        <w:pStyle w:val="FirstParagraph"/>
      </w:pPr>
      <w:r>
        <w:t xml:space="preserve">A single generic</w:t>
      </w:r>
      <w:r>
        <w:t xml:space="preserve"> </w:t>
      </w:r>
      <w:r>
        <w:rPr>
          <w:bCs/>
          <w:b/>
        </w:rPr>
        <w:t xml:space="preserve">state-machine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svc-workflow</w:t>
      </w:r>
      <w:r>
        <w:t xml:space="preserve">) parameterized by</w:t>
      </w:r>
      <w:r>
        <w:t xml:space="preserve"> </w:t>
      </w:r>
      <w:r>
        <w:rPr>
          <w:rStyle w:val="VerbatimChar"/>
        </w:rPr>
        <w:t xml:space="preserve">workflow_type</w:t>
      </w:r>
      <w:r>
        <w:t xml:space="preserve">, rather than one bespoke service per process. Each workflow type registers a state graph (states, allowed transitions, guard conditions, SLA timers) as configuration, not code — enabling new department workflows (e.g., a future Solar subsidy approval) without a service redeploy.</w:t>
      </w:r>
    </w:p>
    <w:bookmarkEnd w:id="20"/>
    <w:bookmarkStart w:id="21" w:name="citizen-complaint-workflow"/>
    <w:p>
      <w:pPr>
        <w:pStyle w:val="Heading2"/>
      </w:pPr>
      <w:r>
        <w:t xml:space="preserve">15.2 Citizen Complaint Workflow</w:t>
      </w:r>
    </w:p>
    <w:p>
      <w:pPr>
        <w:pStyle w:val="SourceCode"/>
      </w:pPr>
      <w:r>
        <w:rPr>
          <w:rStyle w:val="VerbatimChar"/>
        </w:rPr>
        <w:t xml:space="preserve">[Submitted] ──(auto-route by asset.department_id)──▶ [Assigned to Dept]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(dept action)▼</w:t>
      </w:r>
      <w:r>
        <w:br/>
      </w:r>
      <w:r>
        <w:rPr>
          <w:rStyle w:val="VerbatimChar"/>
        </w:rPr>
        <w:t xml:space="preserve">     │                                             [In Progress]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(field update)▼</w:t>
      </w:r>
      <w:r>
        <w:br/>
      </w:r>
      <w:r>
        <w:rPr>
          <w:rStyle w:val="VerbatimChar"/>
        </w:rPr>
        <w:t xml:space="preserve">     │                                             [Resolved]</w:t>
      </w:r>
      <w:r>
        <w:br/>
      </w:r>
      <w:r>
        <w:rPr>
          <w:rStyle w:val="VerbatimChar"/>
        </w:rPr>
        <w:t xml:space="preserve">     │   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(citizen confirms)▼</w:t>
      </w:r>
      <w:r>
        <w:br/>
      </w:r>
      <w:r>
        <w:rPr>
          <w:rStyle w:val="VerbatimChar"/>
        </w:rPr>
        <w:t xml:space="preserve">     │                                              [Closed]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└──(no action within SLA)──▶ [Escalated to ADM/DM] ──▶ [Assigned to Dept] (re-enter)</w:t>
      </w:r>
    </w:p>
    <w:p>
      <w:pPr>
        <w:pStyle w:val="FirstParagraph"/>
      </w:pPr>
      <w:r>
        <w:t xml:space="preserve">States:</w:t>
      </w:r>
      <w:r>
        <w:t xml:space="preserve"> </w:t>
      </w:r>
      <w:r>
        <w:rPr>
          <w:rStyle w:val="VerbatimChar"/>
        </w:rPr>
        <w:t xml:space="preserve">submitted → assigned → in_progress → resolved → closed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as a side-state re-entrant to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. SLA default: 14 days to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(configurable per asset category).</w:t>
      </w:r>
    </w:p>
    <w:bookmarkEnd w:id="21"/>
    <w:bookmarkStart w:id="22" w:name="X794662aa0a4a17a0e392038db5737bc4aba1593"/>
    <w:p>
      <w:pPr>
        <w:pStyle w:val="Heading2"/>
      </w:pPr>
      <w:r>
        <w:t xml:space="preserve">15.3 Department Proposal → DM Approval → Budget → Tasking</w:t>
      </w:r>
    </w:p>
    <w:p>
      <w:pPr>
        <w:pStyle w:val="SourceCode"/>
      </w:pPr>
      <w:r>
        <w:rPr>
          <w:rStyle w:val="VerbatimChar"/>
        </w:rPr>
        <w:t xml:space="preserve">[Draft] ─▶ [Submitted] ─▶ [Under DM Review] ─┬─▶ [Approved] ─▶ [Budget Approved] ─▶ [Tasked] ─▶</w:t>
      </w:r>
      <w:r>
        <w:br/>
      </w:r>
      <w:r>
        <w:rPr>
          <w:rStyle w:val="VerbatimChar"/>
        </w:rPr>
        <w:t xml:space="preserve">                                                │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└─▶ [Rejected] (terminal, with remarks)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 [Assigned to Field] ─▶</w:t>
      </w:r>
      <w:r>
        <w:br/>
      </w:r>
      <w:r>
        <w:rPr>
          <w:rStyle w:val="VerbatimChar"/>
        </w:rPr>
        <w:t xml:space="preserve">                                                                                     [Inspection Scheduled] ─▶</w:t>
      </w:r>
      <w:r>
        <w:br/>
      </w:r>
      <w:r>
        <w:rPr>
          <w:rStyle w:val="VerbatimChar"/>
        </w:rPr>
        <w:t xml:space="preserve">                                                                                     [Inspection Complete] ─▶</w:t>
      </w:r>
      <w:r>
        <w:br/>
      </w:r>
      <w:r>
        <w:rPr>
          <w:rStyle w:val="VerbatimChar"/>
        </w:rPr>
        <w:t xml:space="preserve">                                                                                     [Completed] ─▶</w:t>
      </w:r>
      <w:r>
        <w:br/>
      </w:r>
      <w:r>
        <w:rPr>
          <w:rStyle w:val="VerbatimChar"/>
        </w:rPr>
        <w:t xml:space="preserve">                                                                                     [Citizen Feedback Open] ─▶</w:t>
      </w:r>
      <w:r>
        <w:br/>
      </w:r>
      <w:r>
        <w:rPr>
          <w:rStyle w:val="VerbatimChar"/>
        </w:rPr>
        <w:t xml:space="preserve">                                                                                     [Closed]</w:t>
      </w:r>
    </w:p>
    <w:bookmarkEnd w:id="22"/>
    <w:bookmarkStart w:id="23" w:name="X3146444fd85eb6b8cfff6533f129a2addf4dd1e"/>
    <w:p>
      <w:pPr>
        <w:pStyle w:val="Heading2"/>
      </w:pPr>
      <w:r>
        <w:t xml:space="preserve">15.4 State Definitions &amp; Guard Conditions (excerpt)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→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mandatory proposal fields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 → under_review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under_review →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actor.role ∈ {ADM, DM}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actor.district_id = proposal.district_id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ADM/DM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under_review →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above;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  <w:r>
              <w:t xml:space="preserve"> </w:t>
            </w: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ADM/DM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→ budget_approved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approved_amount ≤ actor.approval_limit</w:t>
            </w:r>
            <w:r>
              <w:t xml:space="preserve"> </w:t>
            </w:r>
            <w:r>
              <w:t xml:space="preserve">(delegated limits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DM/State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budget_approved → tasked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on budget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tasked → assigned_to_field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Officer nominates Field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inspection_complete →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Geo-tagged photo evidence attached (</w:t>
            </w:r>
            <w:r>
              <w:rPr>
                <w:rStyle w:val="VerbatimChar"/>
              </w:rPr>
              <w:t xml:space="preserve">doc_file.geo_tag_variance_m &lt; threshold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→ citizen_feedback_open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Auto; triggers notification to original grievance citizen if 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</w:tbl>
    <w:bookmarkEnd w:id="23"/>
    <w:bookmarkStart w:id="24" w:name="escalation-notification-hooks"/>
    <w:p>
      <w:pPr>
        <w:pStyle w:val="Heading2"/>
      </w:pPr>
      <w:r>
        <w:t xml:space="preserve">15.5 Escalation &amp; Notification Hooks</w:t>
      </w:r>
    </w:p>
    <w:p>
      <w:pPr>
        <w:pStyle w:val="FirstParagraph"/>
      </w:pPr>
      <w:r>
        <w:t xml:space="preserve">Every transition publishes a</w:t>
      </w:r>
      <w:r>
        <w:t xml:space="preserve"> </w:t>
      </w:r>
      <w:r>
        <w:rPr>
          <w:rStyle w:val="VerbatimChar"/>
        </w:rPr>
        <w:t xml:space="preserve">workflow.transitioned</w:t>
      </w:r>
      <w:r>
        <w:t xml:space="preserve"> </w:t>
      </w:r>
      <w:r>
        <w:t xml:space="preserve">event to RabbitMQ, consumed by: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svc-notification</w:t>
      </w:r>
      <w:r>
        <w:t xml:space="preserve"> </w:t>
      </w:r>
      <w:r>
        <w:t xml:space="preserve">→ templated message to relevant actor(s).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svc-audit</w:t>
      </w:r>
      <w:r>
        <w:t xml:space="preserve"> </w:t>
      </w:r>
      <w:r>
        <w:t xml:space="preserve">→ immutable log entry.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svc-analytics</w:t>
      </w:r>
      <w:r>
        <w:t xml:space="preserve"> </w:t>
      </w:r>
      <w:r>
        <w:t xml:space="preserve">→ recompute proposal-outcome features feeding the AI Recommendation Service.</w:t>
      </w:r>
    </w:p>
    <w:p>
      <w:pPr>
        <w:pStyle w:val="BodyText"/>
      </w:pPr>
      <w:r>
        <w:t xml:space="preserve">SLA breach is evaluated by a scheduled job scanning</w:t>
      </w:r>
      <w:r>
        <w:t xml:space="preserve"> </w:t>
      </w:r>
      <w:r>
        <w:rPr>
          <w:rStyle w:val="VerbatimChar"/>
        </w:rPr>
        <w:t xml:space="preserve">txn_workflow_instance.sla_due_at</w:t>
      </w:r>
      <w:r>
        <w:t xml:space="preserve">; breach transitions state to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and notifies the next role up the</w:t>
      </w:r>
      <w:r>
        <w:t xml:space="preserve"> </w:t>
      </w:r>
      <w:r>
        <w:rPr>
          <w:rStyle w:val="VerbatimChar"/>
        </w:rPr>
        <w:t xml:space="preserve">mst_user.reports_to_user_id</w:t>
      </w:r>
      <w:r>
        <w:t xml:space="preserve"> </w:t>
      </w:r>
      <w:r>
        <w:t xml:space="preserve">chain.</w:t>
      </w:r>
    </w:p>
    <w:bookmarkEnd w:id="24"/>
    <w:bookmarkEnd w:id="25"/>
    <w:bookmarkStart w:id="32" w:name="department-modules"/>
    <w:p>
      <w:pPr>
        <w:pStyle w:val="Heading1"/>
      </w:pPr>
      <w:r>
        <w:t xml:space="preserve">16. Department Modules</w:t>
      </w:r>
    </w:p>
    <w:p>
      <w:pPr>
        <w:pStyle w:val="FirstParagraph"/>
      </w:pPr>
      <w:r>
        <w:t xml:space="preserve">Each module below follows the same structural template:</w:t>
      </w:r>
      <w:r>
        <w:t xml:space="preserve"> </w:t>
      </w:r>
      <w:r>
        <w:rPr>
          <w:bCs/>
          <w:b/>
        </w:rPr>
        <w:t xml:space="preserve">Entities → Database → Workflows → GIS Layers → Analytics → KPIs/Dashboards → APIs</w:t>
      </w:r>
      <w:r>
        <w:t xml:space="preserve">. Entities extend the generic</w:t>
      </w:r>
      <w:r>
        <w:t xml:space="preserve"> </w:t>
      </w:r>
      <w:r>
        <w:rPr>
          <w:rStyle w:val="VerbatimChar"/>
        </w:rPr>
        <w:t xml:space="preserve">ast_facility</w:t>
      </w:r>
      <w:r>
        <w:t xml:space="preserve"> </w:t>
      </w:r>
      <w:r>
        <w:t xml:space="preserve">(Ch. 12) via</w:t>
      </w:r>
      <w:r>
        <w:t xml:space="preserve"> </w:t>
      </w:r>
      <w:r>
        <w:rPr>
          <w:rStyle w:val="VerbatimChar"/>
        </w:rPr>
        <w:t xml:space="preserve">attributes JSONB</w:t>
      </w:r>
      <w:r>
        <w:t xml:space="preserve">, validated against</w:t>
      </w:r>
      <w:r>
        <w:t xml:space="preserve"> </w:t>
      </w:r>
      <w:r>
        <w:rPr>
          <w:rStyle w:val="VerbatimChar"/>
        </w:rPr>
        <w:t xml:space="preserve">mst_asset_category.field_schema</w:t>
      </w:r>
      <w:r>
        <w:t xml:space="preserve">.</w:t>
      </w:r>
    </w:p>
    <w:bookmarkStart w:id="26" w:name="health"/>
    <w:p>
      <w:pPr>
        <w:pStyle w:val="Heading2"/>
      </w:pPr>
      <w:r>
        <w:t xml:space="preserve">16.1 Health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Entities</w:t>
      </w:r>
      <w:r>
        <w:t xml:space="preserve">: Hospital, PHC, Subcentre, ASHA Coverage Zone, Ambulance, Vaccination Centre.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attributes</w:t>
      </w:r>
      <w:r>
        <w:rPr>
          <w:bCs/>
          <w:b/>
        </w:rPr>
        <w:t xml:space="preserve"> </w:t>
      </w:r>
      <w:r>
        <w:rPr>
          <w:bCs/>
          <w:b/>
        </w:rPr>
        <w:t xml:space="preserve">schema (excerpt)</w:t>
      </w:r>
      <w:r>
        <w:t xml:space="preserve">:</w:t>
      </w:r>
      <w:r>
        <w:t xml:space="preserve"> </w:t>
      </w:r>
      <w:r>
        <w:rPr>
          <w:rStyle w:val="VerbatimChar"/>
        </w:rPr>
        <w:t xml:space="preserve">bed_count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has_emergency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has_maternity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ambulance_ids[]</w:t>
      </w:r>
      <w:r>
        <w:t xml:space="preserve">,</w:t>
      </w:r>
      <w:r>
        <w:t xml:space="preserve"> </w:t>
      </w:r>
      <w:r>
        <w:rPr>
          <w:rStyle w:val="VerbatimChar"/>
        </w:rPr>
        <w:t xml:space="preserve">oxygen_supply_status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Workflows</w:t>
      </w:r>
      <w:r>
        <w:t xml:space="preserve">: Health Infrastructure Proposal (uses generic Proposal workflow, Ch. 15); Disease Outbreak Alert (new lightweight workflow:</w:t>
      </w:r>
      <w:r>
        <w:t xml:space="preserve"> </w:t>
      </w:r>
      <w:r>
        <w:rPr>
          <w:rStyle w:val="VerbatimChar"/>
        </w:rPr>
        <w:t xml:space="preserve">reported → verified → response_active → contained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GIS Layers</w:t>
      </w:r>
      <w:r>
        <w:t xml:space="preserve">: facility points, ASHA coverage polygons, ambulance live-position (Phase 2, IoT hook reserved), vaccination-centre points.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Analytics</w:t>
      </w:r>
      <w:r>
        <w:t xml:space="preserve">: facility-to-population ratio per block; ambulance response-time isochrones; outbreak hotspot clustering.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Healthcare Accessibility Analysis</w:t>
      </w:r>
      <w:r>
        <w:t xml:space="preserve"> </w:t>
      </w:r>
      <w:r>
        <w:t xml:space="preserve">(extends the above): nearest-hospital analysis (</w:t>
      </w:r>
      <w:r>
        <w:rPr>
          <w:rStyle w:val="VerbatimChar"/>
        </w:rPr>
        <w:t xml:space="preserve">ST_DWithin</w:t>
      </w:r>
      <w:r>
        <w:t xml:space="preserve">/</w:t>
      </w:r>
      <w:r>
        <w:rPr>
          <w:rStyle w:val="VerbatimChar"/>
        </w:rPr>
        <w:t xml:space="preserve">ST_Distance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ast_facility</w:t>
      </w:r>
      <w:r>
        <w:t xml:space="preserve"> </w:t>
      </w:r>
      <w:r>
        <w:t xml:space="preserve">filtered to Health), travel-time analysis via pgRouting over</w:t>
      </w:r>
      <w:r>
        <w:t xml:space="preserve"> </w:t>
      </w:r>
      <w:r>
        <w:rPr>
          <w:rStyle w:val="VerbatimChar"/>
        </w:rPr>
        <w:t xml:space="preserve">ast_road_network</w:t>
      </w:r>
      <w:r>
        <w:t xml:space="preserve"> </w:t>
      </w:r>
      <w:r>
        <w:t xml:space="preserve">(replacing straight-line distance where road data exists), service-radius analysis per facility tier (Subcentre/PHC/CHC/District Hospital, each with a configurable radius threshold), emergency reachability scoring (ambulance isochrone ∩ population grid, identifying settlements beyond acceptable emergency response time).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Facility Allocation &amp; Population Coverage</w:t>
      </w:r>
      <w:r>
        <w:t xml:space="preserve">: location-allocation modeling (LLD Vol 3, Ch. 17.1 capability catalog) recommending optimal placement of new facilities against uncovered population; population-coverage rollup per facility tier reported at Block/Subdivision/District 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Healthcare Gap Analysis &amp; Health Vulnerability Mapping</w:t>
      </w:r>
      <w:r>
        <w:t xml:space="preserve">: composite vulnerability surface combining population density, facility-coverage deficit, terrain accessibility (slope-adjusted travel time in hilly terrain), and disease-outbreak hotspot history — feeding the Health module’s entry in the GIS Decision Support recommendation set (Ch. 17.5).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</w:t>
      </w:r>
      <w:r>
        <w:t xml:space="preserve">: facilities per 10,000 population, % villages within 3km of a PHC, immunization coverage %, % population within acceptable emergency-response isochrone.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/api/v1/health/facilities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/api/v1/health/outbreak-alerts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/api/v1/health/analytics/coverage-gap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/api/v1/health/analytics/accessibility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/api/v1/health/analytics/vulnerability-map</w:t>
      </w:r>
      <w:r>
        <w:t xml:space="preserve">.</w:t>
      </w:r>
    </w:p>
    <w:bookmarkEnd w:id="26"/>
    <w:bookmarkStart w:id="27" w:name="water-resources-water-sanitation"/>
    <w:p>
      <w:pPr>
        <w:pStyle w:val="Heading2"/>
      </w:pPr>
      <w:r>
        <w:t xml:space="preserve">16.2 Water Resources (Water &amp; Sanitation)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Entities</w:t>
      </w:r>
      <w:r>
        <w:t xml:space="preserve">: Pipeline (LineString), Water Tank, Borewell, Reservoir, Jal Jeevan Mission Connection.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attributes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capacity_liters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(borewell/surface/piped),</w:t>
      </w:r>
      <w:r>
        <w:t xml:space="preserve"> </w:t>
      </w:r>
      <w:r>
        <w:rPr>
          <w:rStyle w:val="VerbatimChar"/>
        </w:rPr>
        <w:t xml:space="preserve">quality_test_status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last_quality_test_date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connection_count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Workflows</w:t>
      </w:r>
      <w:r>
        <w:t xml:space="preserve">: Maintenance Request (Field Engineer-initiated, lightweight:</w:t>
      </w:r>
      <w:r>
        <w:t xml:space="preserve"> </w:t>
      </w:r>
      <w:r>
        <w:rPr>
          <w:rStyle w:val="VerbatimChar"/>
        </w:rPr>
        <w:t xml:space="preserve">reported → dispatched → repaired → verified</w:t>
      </w:r>
      <w:r>
        <w:t xml:space="preserve">); Leak/Issue Report (citizen-linked, feeds Citizen Complaint workflow).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GIS Layers</w:t>
      </w:r>
      <w:r>
        <w:t xml:space="preserve">: pipeline network, tank/borewell points, drought/flood-prone zone polygons (from PHED/NRSC data per custodian registry).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Analytics</w:t>
      </w:r>
      <w:r>
        <w:t xml:space="preserve">: groundwater stress index by block, Jal Jeevan Mission implementation %, drinking-water availability gap score.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Watershed &amp; Hydrological Modeling</w:t>
      </w:r>
      <w:r>
        <w:t xml:space="preserve"> </w:t>
      </w:r>
      <w:r>
        <w:t xml:space="preserve">(extends the above, backed by</w:t>
      </w:r>
      <w:r>
        <w:t xml:space="preserve"> </w:t>
      </w:r>
      <w:r>
        <w:rPr>
          <w:rStyle w:val="VerbatimChar"/>
        </w:rPr>
        <w:t xml:space="preserve">gis_watershed</w:t>
      </w:r>
      <w:r>
        <w:t xml:space="preserve">/</w:t>
      </w:r>
      <w:r>
        <w:rPr>
          <w:rStyle w:val="VerbatimChar"/>
        </w:rPr>
        <w:t xml:space="preserve">gis_drainage_network</w:t>
      </w:r>
      <w:r>
        <w:t xml:space="preserve">/</w:t>
      </w:r>
      <w:r>
        <w:rPr>
          <w:rStyle w:val="VerbatimChar"/>
        </w:rPr>
        <w:t xml:space="preserve">gis_soil_dataset</w:t>
      </w:r>
      <w:r>
        <w:t xml:space="preserve">/</w:t>
      </w:r>
      <w:r>
        <w:rPr>
          <w:rStyle w:val="VerbatimChar"/>
        </w:rPr>
        <w:t xml:space="preserve">gis_rainfall_dataset</w:t>
      </w:r>
      <w:r>
        <w:t xml:space="preserve">/</w:t>
      </w:r>
      <w:r>
        <w:rPr>
          <w:rStyle w:val="VerbatimChar"/>
        </w:rPr>
        <w:t xml:space="preserve">gis_groundwater_dataset</w:t>
      </w:r>
      <w:r>
        <w:t xml:space="preserve">, LLD Vol 2, §12.11): watershed delineation from DEM, drainage-network analysis (stream order, flow direction), surface-runoff analysis (rainfall × slope × soil-infiltration class), catchment analysis per proposed structure site.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Groundwater Recharge &amp; Structure Recommendation</w:t>
      </w:r>
      <w:r>
        <w:t xml:space="preserve">: groundwater recharge potential modeling (lithology + rainfall + infiltration overlay per the DST Water Harvesting reference methodology), recharge-structure-type recommendation (check dam / percolation tank / farm pond / recharge shaft / contour trench) ranked by suitability score, rainwater-harvesting-structure suitability mapping combining terrain, soil, and runoff accumulation.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Water Availability &amp; Drought Vulnerability</w:t>
      </w:r>
      <w:r>
        <w:t xml:space="preserve">: drinking-water-availability analysis at village/ward level; drought vulnerability mapping (rainfall deficit trend × groundwater stress × surface-water-body proximity).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KPIs</w:t>
      </w:r>
      <w:r>
        <w:t xml:space="preserve">: % households with piped water, average repair turnaround time, water-quality pass rate, groundwater recharge potential score by block, drought vulnerability index.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/api/v1/water/assets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/api/v1/water/maintenance-requests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/api/v1/water/analytics/stress-index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/api/v1/water/analytics/watershed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/api/v1/water/analytics/recharge-suitability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/api/v1/water/analytics/drought-vulnerability</w:t>
      </w:r>
      <w:r>
        <w:t xml:space="preserve">.</w:t>
      </w:r>
    </w:p>
    <w:bookmarkEnd w:id="27"/>
    <w:bookmarkStart w:id="28" w:name="education"/>
    <w:p>
      <w:pPr>
        <w:pStyle w:val="Heading2"/>
      </w:pPr>
      <w:r>
        <w:t xml:space="preserve">16.3 Education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Entities</w:t>
      </w:r>
      <w:r>
        <w:t xml:space="preserve">: School, College, Anganwadi Centre.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attributes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institution_type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board_affiliation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courses_offered[]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has_digital_classroom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official_url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Workflows</w:t>
      </w:r>
      <w:r>
        <w:t xml:space="preserve">: Infrastructure Proposal (generic); Enrolment Anomaly Alert (dropout-hotspot flagged by Analytics, routed to DEO for review).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GIS Layers</w:t>
      </w:r>
      <w:r>
        <w:t xml:space="preserve">: institution points, catchment-area polygons, transport-route lines.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Analytics</w:t>
      </w:r>
      <w:r>
        <w:t xml:space="preserve">: catchment analysis (students vs. nearest school distance), teacher deployment gap, dropout hotspot clustering.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School Catchment &amp; Accessibility Analysis</w:t>
      </w:r>
      <w:r>
        <w:t xml:space="preserve"> </w:t>
      </w:r>
      <w:r>
        <w:t xml:space="preserve">(extends the above): formal catchment-area delineation per institution (service-area polygon by travel distance, not straight-line radius), travel-distance analysis to nearest institution per settlement, population-served computation per catchment, education-accessibility scoring combining catchment overlap gaps and travel distance.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Future School Recommendation</w:t>
      </w:r>
      <w:r>
        <w:t xml:space="preserve">: location-allocation modeling (shared capability, Ch. 17.1) ranking candidate sites by uncovered student population within acceptable travel distance — feeds the GIS Decision Support</w:t>
      </w:r>
      <w:r>
        <w:t xml:space="preserve"> </w:t>
      </w:r>
      <w:r>
        <w:t xml:space="preserve">“</w:t>
      </w:r>
      <w:r>
        <w:t xml:space="preserve">Recommend Schools</w:t>
      </w:r>
      <w:r>
        <w:t xml:space="preserve">”</w:t>
      </w:r>
      <w:r>
        <w:t xml:space="preserve"> </w:t>
      </w:r>
      <w:r>
        <w:t xml:space="preserve">output (Ch. 17.5).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</w:t>
      </w:r>
      <w:r>
        <w:t xml:space="preserve">: student-teacher ratio, % schools with digital classrooms, average commute distance, % settlements outside acceptable school catchment.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/api/v1/education/institutions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/api/v1/education/analytics/catchment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/api/v1/education/analytics/site-recommendation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/api/v1/education/institutions/{id}/courses</w:t>
      </w:r>
      <w:r>
        <w:t xml:space="preserve">.</w:t>
      </w:r>
    </w:p>
    <w:bookmarkEnd w:id="28"/>
    <w:bookmarkStart w:id="29" w:name="tourism"/>
    <w:p>
      <w:pPr>
        <w:pStyle w:val="Heading2"/>
      </w:pPr>
      <w:r>
        <w:t xml:space="preserve">16.4 Tourism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Entities</w:t>
      </w:r>
      <w:r>
        <w:t xml:space="preserve">: Heritage Site, Museum, Hotel, Visitor Facility, Tourist Circuit (route).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attributes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site_category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visiting_hours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entry_fee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heritage_protection_status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avg_footfall_monthly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Workflows</w:t>
      </w:r>
      <w:r>
        <w:t xml:space="preserve">: Heritage Conservation Proposal (generic); Circuit Planning (new workflow:</w:t>
      </w:r>
      <w:r>
        <w:t xml:space="preserve"> </w:t>
      </w:r>
      <w:r>
        <w:rPr>
          <w:rStyle w:val="VerbatimChar"/>
        </w:rPr>
        <w:t xml:space="preserve">proposed → route_validated → published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GIS Layers</w:t>
      </w:r>
      <w:r>
        <w:t xml:space="preserve">: site points, circuit route lines, visitor-facility points, heritage-buffer geofences.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Analytics</w:t>
      </w:r>
      <w:r>
        <w:t xml:space="preserve">: visitor-flow analysis (aggregated from ticketing/footfall data if available — Phase 2), route optimization suggestions.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Tourism Corridor &amp; Density Analysis</w:t>
      </w:r>
      <w:r>
        <w:t xml:space="preserve"> </w:t>
      </w:r>
      <w:r>
        <w:t xml:space="preserve">(extends the above): tourism corridor planning via network analysis linking heritage sites/museums/visitor facilities; visitor-density mapping and tourism heatmaps (kernel density over footfall/geo-tagged check-in data); parking-accessibility analysis (proximity of parking assets to high-footfall sites); tourism route optimization (shortest/most-scenic path across pgRouting network respecting heritage-buffer constraints).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Heritage Buffer Zones</w:t>
      </w:r>
      <w:r>
        <w:t xml:space="preserve">: geofenced protection buffers around heritage sites (Ch. 10.4 geofencing capability) enforced during District Assets/Solar/Water site-suitability screening to prevent conflicting infrastructure proposals near protected sites.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KPIs</w:t>
      </w:r>
      <w:r>
        <w:t xml:space="preserve">: footfall trend, facility-to-site adequacy ratio, circuit completion rate, parking-accessibility index.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APIs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/api/v1/tourism/sites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/api/v1/tourism/circuits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/api/v1/tourism/analytics/footfall-trend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/api/v1/tourism/analytics/density-heatmap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/api/v1/tourism/analytics/route-optimization</w:t>
      </w:r>
      <w:r>
        <w:t xml:space="preserve">.</w:t>
      </w:r>
    </w:p>
    <w:bookmarkEnd w:id="29"/>
    <w:bookmarkStart w:id="30" w:name="solar-energy"/>
    <w:p>
      <w:pPr>
        <w:pStyle w:val="Heading2"/>
      </w:pPr>
      <w:r>
        <w:t xml:space="preserve">16.5 Solar Energy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Entities</w:t>
      </w:r>
      <w:r>
        <w:t xml:space="preserve">: Government Building (rooftop candidate), Solar Installation, Solar Park, Transmission Line.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attributes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rooftop_area_sqm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installed_capacity_kw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subsidy_scheme_id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Workflows</w:t>
      </w:r>
      <w:r>
        <w:t xml:space="preserve">: Site Suitability Proposal (uses Suitability Analysis output as</w:t>
      </w:r>
      <w:r>
        <w:t xml:space="preserve"> </w:t>
      </w:r>
      <w:r>
        <w:rPr>
          <w:rStyle w:val="VerbatimChar"/>
        </w:rPr>
        <w:t xml:space="preserve">gap_score_ref</w:t>
      </w:r>
      <w:r>
        <w:t xml:space="preserve">, generic Proposal workflow); Installation Commissioning (</w:t>
      </w:r>
      <w:r>
        <w:rPr>
          <w:rStyle w:val="VerbatimChar"/>
        </w:rPr>
        <w:t xml:space="preserve">site_approved → installed → grid_connected → generating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GIS Layers</w:t>
      </w:r>
      <w:r>
        <w:t xml:space="preserve">: rooftop suitability heatmap, installed-site points, transmission-line lines.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Analytics</w:t>
      </w:r>
      <w:r>
        <w:t xml:space="preserve">: rooftop solar potential scoring (roof area × solar-irradiance layer), solar-farm site suitability model.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Solar Irradiance &amp; Roof Suitability</w:t>
      </w:r>
      <w:r>
        <w:t xml:space="preserve"> </w:t>
      </w:r>
      <w:r>
        <w:t xml:space="preserve">(extends the above): solar-irradiance surface (derived raster, seasonal aggregation), roof-suitability scoring combining irradiance, roof area, and orientation (aspect, from</w:t>
      </w:r>
      <w:r>
        <w:t xml:space="preserve"> </w:t>
      </w:r>
      <w:r>
        <w:rPr>
          <w:rStyle w:val="VerbatimChar"/>
        </w:rPr>
        <w:t xml:space="preserve">gis_terrain_derivative</w:t>
      </w:r>
      <w:r>
        <w:t xml:space="preserve">, LLD Vol 2, §12.11), shadow analysis using DEM + building-height proxy to discount shaded roof segments.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Solar Farm Site Selection</w:t>
      </w:r>
      <w:r>
        <w:t xml:space="preserve">: multi-criteria suitability analysis (weighted overlay of irradiance, slope, land-use classification from LULC, transmission-line proximity, heritage-buffer exclusion) ranking candidate solar-farm parcels — feeds the GIS Decision Support</w:t>
      </w:r>
      <w:r>
        <w:t xml:space="preserve"> </w:t>
      </w:r>
      <w:r>
        <w:t xml:space="preserve">“</w:t>
      </w:r>
      <w:r>
        <w:t xml:space="preserve">Recommend Solar Sites</w:t>
      </w:r>
      <w:r>
        <w:t xml:space="preserve">”</w:t>
      </w:r>
      <w:r>
        <w:t xml:space="preserve"> </w:t>
      </w:r>
      <w:r>
        <w:t xml:space="preserve">output (Ch. 17.5).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</w:t>
      </w:r>
      <w:r>
        <w:t xml:space="preserve">: installed capacity (kW) vs. target, % government buildings assessed, generation vs. forecast, average roof-suitability score of assessed buildings.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/api/v1/solar/suitability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/api/v1/solar/analytics/shadow-analysis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/api/v1/solar/analytics/farm-site-selection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/api/v1/solar/installations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/api/v1/solar/analytics/capacity-progress</w:t>
      </w:r>
      <w:r>
        <w:t xml:space="preserve">.</w:t>
      </w:r>
    </w:p>
    <w:bookmarkEnd w:id="30"/>
    <w:bookmarkStart w:id="31" w:name="district-assets-cross-cutting"/>
    <w:p>
      <w:pPr>
        <w:pStyle w:val="Heading2"/>
      </w:pPr>
      <w:r>
        <w:t xml:space="preserve">16.6 District Assets (Cross-Cutting)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Entities</w:t>
      </w:r>
      <w:r>
        <w:t xml:space="preserve">: general government infrastructure not captured under a sector department (roads, government buildings, public land parcels).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Workflows</w:t>
      </w:r>
      <w:r>
        <w:t xml:space="preserve">: generic Proposal + Maintenance workflows, department_id =</w:t>
      </w:r>
      <w:r>
        <w:t xml:space="preserve"> </w:t>
      </w:r>
      <w:r>
        <w:t xml:space="preserve">“</w:t>
      </w:r>
      <w:r>
        <w:t xml:space="preserve">District Assets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GIS Layers</w:t>
      </w:r>
      <w:r>
        <w:t xml:space="preserve">: asset points/polygons, land-parcel boundaries.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Village Asset Inventory</w:t>
      </w:r>
      <w:r>
        <w:t xml:space="preserve">: comprehensive geo-tagged inventory of village-level physical assets (per the DST Village Asset Inventory reference methodology) using the generic</w:t>
      </w:r>
      <w:r>
        <w:t xml:space="preserve"> </w:t>
      </w:r>
      <w:r>
        <w:rPr>
          <w:rStyle w:val="VerbatimChar"/>
        </w:rPr>
        <w:t xml:space="preserve">ast_facility</w:t>
      </w:r>
      <w:r>
        <w:t xml:space="preserve"> </w:t>
      </w:r>
      <w:r>
        <w:t xml:space="preserve">model (category</w:t>
      </w:r>
      <w:r>
        <w:t xml:space="preserve"> </w:t>
      </w:r>
      <w:r>
        <w:rPr>
          <w:rStyle w:val="VerbatimChar"/>
        </w:rPr>
        <w:t xml:space="preserve">district_asset</w:t>
      </w:r>
      <w:r>
        <w:t xml:space="preserve">), consolidating previously department-scattered, non-standardized asset records into one spatially indexed inventory.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Infrastructure Condition Mapping &amp; Geo-Tag Validation</w:t>
      </w:r>
      <w:r>
        <w:t xml:space="preserve">: field-captured condition ratings attached to each asset (</w:t>
      </w:r>
      <w:r>
        <w:rPr>
          <w:rStyle w:val="VerbatimChar"/>
        </w:rPr>
        <w:t xml:space="preserve">doc_file</w:t>
      </w:r>
      <w:r>
        <w:t xml:space="preserve"> </w:t>
      </w:r>
      <w:r>
        <w:t xml:space="preserve">geo-tagged photo evidence, LLD Vol 2, §12.6), with geo-tag variance validation (Ch. 20.2) flagging mis-located field updates for QA review before condition status is trusted.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Asset Lifecycle &amp; Maintenance Intelligence</w:t>
      </w:r>
      <w:r>
        <w:t xml:space="preserve">: lifecycle-state tracking per asset (planned → constructed → operational → under-maintenance → decommissioned) via</w:t>
      </w:r>
      <w:r>
        <w:t xml:space="preserve"> </w:t>
      </w:r>
      <w:r>
        <w:rPr>
          <w:rStyle w:val="VerbatimChar"/>
        </w:rPr>
        <w:t xml:space="preserve">ast_facility_history</w:t>
      </w:r>
      <w:r>
        <w:t xml:space="preserve"> </w:t>
      </w:r>
      <w:r>
        <w:t xml:space="preserve">(SCD Type-2, LLD Vol 2, §12.3); maintenance-intelligence scoring prioritizing inspection/repair backlog by condition rating × population served × time-since-last-inspection.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Scheme Monitoring</w:t>
      </w:r>
      <w:r>
        <w:t xml:space="preserve">: asset-to-scheme linkage (</w:t>
      </w:r>
      <w:r>
        <w:rPr>
          <w:rStyle w:val="VerbatimChar"/>
        </w:rPr>
        <w:t xml:space="preserve">mst_scheme</w:t>
      </w:r>
      <w:r>
        <w:t xml:space="preserve">, LLD Vol 2, §12.2) enabling spatial visualization of scheme-funded infrastructure (e.g., PMGSY roads, MGNREGA works) and progress tracking against sanctioned vs. completed status.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KPIs</w:t>
      </w:r>
      <w:r>
        <w:t xml:space="preserve">: asset condition index, maintenance backlog count, % assets geo-tag-validated, scheme completion rate by scheme.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/api/v1/district-assets/inventory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/api/v1/district-assets/analytics/condition-index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/api/v1/district-assets/analytics/maintenance-priority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/api/v1/district-assets/schemes/{scheme_id}/progress</w:t>
      </w:r>
      <w:r>
        <w:t xml:space="preserve">.</w:t>
      </w:r>
    </w:p>
    <w:bookmarkEnd w:id="31"/>
    <w:bookmarkEnd w:id="32"/>
    <w:bookmarkStart w:id="40" w:name="gis-analytics-engine"/>
    <w:p>
      <w:pPr>
        <w:pStyle w:val="Heading1"/>
      </w:pPr>
      <w:r>
        <w:t xml:space="preserve">17. GIS Analytics Engine</w:t>
      </w:r>
    </w:p>
    <w:p>
      <w:pPr>
        <w:pStyle w:val="FirstParagraph"/>
      </w:pPr>
      <w:r>
        <w:t xml:space="preserve">This chapter’s service —</w:t>
      </w:r>
      <w:r>
        <w:t xml:space="preserve"> </w:t>
      </w:r>
      <w:r>
        <w:rPr>
          <w:rStyle w:val="VerbatimChar"/>
        </w:rPr>
        <w:t xml:space="preserve">svc-analytics</w:t>
      </w:r>
      <w:r>
        <w:t xml:space="preserve"> </w:t>
      </w:r>
      <w:r>
        <w:t xml:space="preserve">— is formally designated the</w:t>
      </w:r>
      <w:r>
        <w:t xml:space="preserve"> </w:t>
      </w:r>
      <w:r>
        <w:rPr>
          <w:bCs/>
          <w:b/>
        </w:rPr>
        <w:t xml:space="preserve">Enterprise Spatial Analytics Engine</w:t>
      </w:r>
      <w:r>
        <w:t xml:space="preserve">: the single shared spatial-analysis capability consumed by every department module (Ch. 16) rather than a per-department analytics component. The chapter number, service boundary, and underlying architecture (LLD Vol 1, Ch. 9.2) are unchanged; this designation and §17.6–17.7 below formalize and extend its capability catalog.</w:t>
      </w:r>
    </w:p>
    <w:bookmarkStart w:id="33" w:name="X6c72fae8894a46594f7d1aa62298be0eaf9e8f2"/>
    <w:p>
      <w:pPr>
        <w:pStyle w:val="Heading2"/>
      </w:pPr>
      <w:r>
        <w:t xml:space="preserve">17.1 Deficit Detection Engine (core algorithm, per Pan-India Flow Phase 2)</w:t>
      </w:r>
    </w:p>
    <w:p>
      <w:pPr>
        <w:pStyle w:val="FirstParagraph"/>
      </w:pPr>
      <w:r>
        <w:rPr>
          <w:bCs/>
          <w:b/>
        </w:rPr>
        <w:t xml:space="preserve">Input</w:t>
      </w:r>
      <w:r>
        <w:t xml:space="preserve">: population grid (from Census/NRSC gridded population data, or block-level population apportioned to a uniform grid at pilot — assumption A-GIS-1, since no gridded dataset is specified in source docs), facility points per department/category.</w:t>
      </w:r>
    </w:p>
    <w:p>
      <w:pPr>
        <w:pStyle w:val="BodyText"/>
      </w:pPr>
      <w:r>
        <w:rPr>
          <w:bCs/>
          <w:b/>
        </w:rPr>
        <w:t xml:space="preserve">Algorithm (per grid cell)</w:t>
      </w:r>
      <w:r>
        <w:t xml:space="preserve">:</w:t>
      </w:r>
      <w:r>
        <w:t xml:space="preserve"> </w:t>
      </w:r>
      <w:r>
        <w:t xml:space="preserve">1. Estimate</w:t>
      </w:r>
      <w:r>
        <w:t xml:space="preserve"> </w:t>
      </w:r>
      <w:r>
        <w:rPr>
          <w:rStyle w:val="VerbatimChar"/>
        </w:rPr>
        <w:t xml:space="preserve">population_estimate</w:t>
      </w:r>
      <w:r>
        <w:t xml:space="preserve"> </w:t>
      </w:r>
      <w:r>
        <w:t xml:space="preserve">for the cell.</w:t>
      </w:r>
      <w:r>
        <w:t xml:space="preserve"> </w:t>
      </w:r>
      <w:r>
        <w:t xml:space="preserve">2. Compute</w:t>
      </w:r>
      <w:r>
        <w:t xml:space="preserve"> </w:t>
      </w:r>
      <w:r>
        <w:rPr>
          <w:rStyle w:val="VerbatimChar"/>
        </w:rPr>
        <w:t xml:space="preserve">nearest_facility_distance_m</w:t>
      </w:r>
      <w:r>
        <w:t xml:space="preserve"> </w:t>
      </w:r>
      <w:r>
        <w:t xml:space="preserve">to the nearest active facility of the relevant category (</w:t>
      </w:r>
      <w:r>
        <w:rPr>
          <w:rStyle w:val="VerbatimChar"/>
        </w:rPr>
        <w:t xml:space="preserve">ST_Distance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ast_facility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status='active'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deficit_score = normalize(population_estimate) × normalize(nearest_facility_distance_m − radius_threshold)</w:t>
      </w:r>
      <w:r>
        <w:t xml:space="preserve">, clipped to [0,1]; radius_threshold defaults to 3km (configurable per category per §10.4).</w:t>
      </w:r>
      <w:r>
        <w:t xml:space="preserve"> </w:t>
      </w:r>
      <w:r>
        <w:t xml:space="preserve">4. Persist to</w:t>
      </w:r>
      <w:r>
        <w:t xml:space="preserve"> </w:t>
      </w:r>
      <w:r>
        <w:rPr>
          <w:rStyle w:val="VerbatimChar"/>
        </w:rPr>
        <w:t xml:space="preserve">anl_gap_score</w:t>
      </w:r>
      <w:r>
        <w:t xml:space="preserve"> </w:t>
      </w:r>
      <w:r>
        <w:t xml:space="preserve">(Ch. 12.5); regenerate on nightly schedule + on-demand after ingestion.</w:t>
      </w:r>
    </w:p>
    <w:bookmarkEnd w:id="33"/>
    <w:bookmarkStart w:id="34" w:name="population-analysis"/>
    <w:p>
      <w:pPr>
        <w:pStyle w:val="Heading2"/>
      </w:pPr>
      <w:r>
        <w:t xml:space="preserve">17.2 Population Analysis</w:t>
      </w:r>
    </w:p>
    <w:p>
      <w:pPr>
        <w:pStyle w:val="FirstParagraph"/>
      </w:pPr>
      <w:r>
        <w:t xml:space="preserve">Rolls up</w:t>
      </w:r>
      <w:r>
        <w:t xml:space="preserve"> </w:t>
      </w:r>
      <w:r>
        <w:rPr>
          <w:rStyle w:val="VerbatimChar"/>
        </w:rPr>
        <w:t xml:space="preserve">population_estimate</w:t>
      </w:r>
      <w:r>
        <w:t xml:space="preserve"> </w:t>
      </w:r>
      <w:r>
        <w:t xml:space="preserve">from grid cells to Village/Ward → Block → Subdivision → District via the administrative hierarchy join (Ch. 13.1), feeding both the Admin KPI dashboard and per-department demand models.</w:t>
      </w:r>
    </w:p>
    <w:bookmarkEnd w:id="34"/>
    <w:bookmarkStart w:id="35" w:name="accessibility-service-radius-analysis"/>
    <w:p>
      <w:pPr>
        <w:pStyle w:val="Heading2"/>
      </w:pPr>
      <w:r>
        <w:t xml:space="preserve">17.3 Accessibility / Service Radius Analysis</w:t>
      </w:r>
    </w:p>
    <w:p>
      <w:pPr>
        <w:pStyle w:val="FirstParagraph"/>
      </w:pPr>
      <w:r>
        <w:t xml:space="preserve">Isochrone computation (walk/drive-time polygons) for Health and Education categories, using OSRM or a PostGIS-native</w:t>
      </w:r>
      <w:r>
        <w:t xml:space="preserve"> </w:t>
      </w:r>
      <w:r>
        <w:rPr>
          <w:rStyle w:val="VerbatimChar"/>
        </w:rPr>
        <w:t xml:space="preserve">pgRouting</w:t>
      </w:r>
      <w:r>
        <w:t xml:space="preserve"> </w:t>
      </w:r>
      <w:r>
        <w:t xml:space="preserve">network analysis against the</w:t>
      </w:r>
      <w:r>
        <w:t xml:space="preserve"> </w:t>
      </w:r>
      <w:r>
        <w:rPr>
          <w:rStyle w:val="VerbatimChar"/>
        </w:rPr>
        <w:t xml:space="preserve">ast_road_network</w:t>
      </w:r>
      <w:r>
        <w:t xml:space="preserve"> </w:t>
      </w:r>
      <w:r>
        <w:t xml:space="preserve">table (Ch. 12.3) — pgRouting selected over external routing engine to keep the spatial stack within the existing PostGIS deployment (design decision; alternative OSRM microservice can be swapped in if road network coverage proves insufficient).</w:t>
      </w:r>
    </w:p>
    <w:bookmarkEnd w:id="35"/>
    <w:bookmarkStart w:id="36" w:name="hotspot-detection"/>
    <w:p>
      <w:pPr>
        <w:pStyle w:val="Heading2"/>
      </w:pPr>
      <w:r>
        <w:t xml:space="preserve">17.4 Hotspot Detection</w:t>
      </w:r>
    </w:p>
    <w:p>
      <w:pPr>
        <w:pStyle w:val="FirstParagraph"/>
      </w:pPr>
      <w:r>
        <w:t xml:space="preserve">Kernel density estimation (via PostGIS</w:t>
      </w:r>
      <w:r>
        <w:t xml:space="preserve"> </w:t>
      </w:r>
      <w:r>
        <w:rPr>
          <w:rStyle w:val="VerbatimChar"/>
        </w:rPr>
        <w:t xml:space="preserve">ST_ClusterKMeans</w:t>
      </w:r>
      <w:r>
        <w:t xml:space="preserve">/custom SQL) applied to citizen-grievance point data and disease-outbreak reports to surface emerging hotspots for Admin Portal alerting.</w:t>
      </w:r>
    </w:p>
    <w:bookmarkEnd w:id="36"/>
    <w:bookmarkStart w:id="37" w:name="Xc31aedacf64ba997483d96a6150b8d4abac6b39"/>
    <w:p>
      <w:pPr>
        <w:pStyle w:val="Heading2"/>
      </w:pPr>
      <w:r>
        <w:t xml:space="preserve">17.5 Demand Prediction &amp; GIS Decision Support (formerly</w:t>
      </w:r>
      <w:r>
        <w:t xml:space="preserve"> </w:t>
      </w:r>
      <w:r>
        <w:t xml:space="preserve">“</w:t>
      </w:r>
      <w:r>
        <w:t xml:space="preserve">AI Recommendations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Pilot ships a</w:t>
      </w:r>
      <w:r>
        <w:t xml:space="preserve"> </w:t>
      </w:r>
      <w:r>
        <w:rPr>
          <w:bCs/>
          <w:b/>
        </w:rPr>
        <w:t xml:space="preserve">rules-based Spatial Decision Support (SDSS) engine</w:t>
      </w:r>
      <w:r>
        <w:t xml:space="preserve">: applies Multi-Criteria Decision Analysis (MCDA) — weighted overlay of</w:t>
      </w:r>
      <w:r>
        <w:t xml:space="preserve"> </w:t>
      </w:r>
      <w:r>
        <w:rPr>
          <w:rStyle w:val="VerbatimChar"/>
        </w:rPr>
        <w:t xml:space="preserve">anl_gap_score</w:t>
      </w:r>
      <w:r>
        <w:t xml:space="preserve">, terrain constraints (§17.6), and department budget-approval history — to rank priority interventions with the specific spatial evidence behind each ranking always retained (</w:t>
      </w:r>
      <w:r>
        <w:rPr>
          <w:rStyle w:val="VerbatimChar"/>
        </w:rPr>
        <w:t xml:space="preserve">anl_recommendation.confidence</w:t>
      </w:r>
      <w:r>
        <w:t xml:space="preserve"> </w:t>
      </w:r>
      <w:r>
        <w:t xml:space="preserve">plus a linked evidence set, LLD Vol 2, §12.5). This is a decision-support reframing of the same service and schema already specified — no new component.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Inputs 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PHC/facility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Population-coverage gap (§16.1), travel-time isochrone, existing service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water-harvesting structure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Watershed delineation, drainage accumulation, groundwater recharge potential, soil/slope suitability (§16.2)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solar site (roof or farm)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Irradiance surface, roof suitability/shadow analysis, LULC exclusion, transmission proximity (§16.5)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tourism 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density, network analysis, heritage-buffer constraints (§16.4)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school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Catchment analysis, population served, travel distance (§16.3)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road/connectivity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analysis, settlement accessibility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 infrastructure investment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multi-criteria overlay across all department gap scores</w:t>
            </w:r>
          </w:p>
        </w:tc>
      </w:tr>
    </w:tbl>
    <w:p>
      <w:pPr>
        <w:pStyle w:val="BodyText"/>
      </w:pPr>
      <w:r>
        <w:t xml:space="preserve">Reserved extension point unchanged: a trained ML ranking model may replace the rules-based MCDA ranker at state rollout once sufficient labeled proposal-outcome data exists (assumption A-GIS-2); the recommendation API contract (LLD Vol 4, Ch. 23) does not change between the two implementations.</w:t>
      </w:r>
    </w:p>
    <w:bookmarkEnd w:id="37"/>
    <w:bookmarkStart w:id="38" w:name="Xe59d38e712936f82bcd7e565b2125d75184103e"/>
    <w:p>
      <w:pPr>
        <w:pStyle w:val="Heading2"/>
      </w:pPr>
      <w:r>
        <w:t xml:space="preserve">17.6 Enterprise Spatial Analytics — Capability Catalog</w:t>
      </w:r>
    </w:p>
    <w:p>
      <w:pPr>
        <w:pStyle w:val="FirstParagraph"/>
      </w:pPr>
      <w:r>
        <w:t xml:space="preserve">Consolidates every spatial-analysis capability exposed by</w:t>
      </w:r>
      <w:r>
        <w:t xml:space="preserve"> </w:t>
      </w:r>
      <w:r>
        <w:rPr>
          <w:rStyle w:val="VerbatimChar"/>
        </w:rPr>
        <w:t xml:space="preserve">svc-analytics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svc-gis</w:t>
      </w:r>
      <w:r>
        <w:t xml:space="preserve"> </w:t>
      </w:r>
      <w:r>
        <w:t xml:space="preserve">together, referenced by department modules in Ch. 16: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Consumer(s)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(recharge structures), Tourism (heritage buffers)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Service-radius / nearest-facility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Isochrone / travel-time analysis (pgRouting)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(emergency reachability), Education (catchment)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departments (gap-score composition)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overlay / multi-criteria 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(site selection), Water (recharge suitability)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analysis / route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(corridor planning), Health (ambulance routing)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Heatmaps / kernel density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(visitor density), Health (outbreak hotspots)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detection / spatial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Water (grievance clustering)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 processing, slope/aspect/contour 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(hydrology), Solar (shadow/orientation)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Watershed delineation, drainage-network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NDVI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Water, District Assets (vegetation context)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LULC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(site exclusion), Water (runoff modeling)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change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Assets, Water (water-body extent)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Locational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Location-allocation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Education (facility siting)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Locational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interpolation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(rainfall/groundwater surfaces)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(heritage buffers), District Assets</w:t>
            </w:r>
          </w:p>
        </w:tc>
      </w:tr>
    </w:tbl>
    <w:p>
      <w:pPr>
        <w:pStyle w:val="BodyText"/>
      </w:pPr>
      <w:r>
        <w:t xml:space="preserve">All capabilities above execute against the raster/vector datasets and processing-job framework specified in LLD Vol 2, §12.11–§12.14.</w:t>
      </w:r>
    </w:p>
    <w:bookmarkEnd w:id="38"/>
    <w:bookmarkStart w:id="39" w:name="remote-sensing-integration"/>
    <w:p>
      <w:pPr>
        <w:pStyle w:val="Heading2"/>
      </w:pPr>
      <w:r>
        <w:t xml:space="preserve">17.7 Remote Sensing Integration</w:t>
      </w:r>
    </w:p>
    <w:p>
      <w:pPr>
        <w:pStyle w:val="FirstParagraph"/>
      </w:pPr>
      <w:r>
        <w:t xml:space="preserve">The Enterprise Spatial Analytics Engine consumes satellite-derived inputs as a standard data class, not an ad hoc addition: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Consumed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NRSC / Bhuvan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reference layers, national LULC baseline, CartoDEM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 (Copernicus)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Multispectral imagery for NDVI, seasonal LULC/change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Landsat (USGS)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time-series imagery for historical change detection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Processing chain</w:t>
      </w:r>
      <w:r>
        <w:t xml:space="preserve">: raw satellite imagery (</w:t>
      </w:r>
      <w:r>
        <w:rPr>
          <w:rStyle w:val="VerbatimChar"/>
        </w:rPr>
        <w:t xml:space="preserve">gis_satellite_imagery</w:t>
      </w:r>
      <w:r>
        <w:t xml:space="preserve">, LLD Vol 2, §12.11) →</w:t>
      </w:r>
      <w:r>
        <w:t xml:space="preserve"> </w:t>
      </w:r>
      <w:r>
        <w:rPr>
          <w:rStyle w:val="VerbatimChar"/>
        </w:rPr>
        <w:t xml:space="preserve">gis_processing_job</w:t>
      </w:r>
      <w:r>
        <w:t xml:space="preserve"> </w:t>
      </w:r>
      <w:r>
        <w:t xml:space="preserve">(NDVI compute / LULC classify / change detect, §12.13) → derived product (</w:t>
      </w:r>
      <w:r>
        <w:rPr>
          <w:rStyle w:val="VerbatimChar"/>
        </w:rPr>
        <w:t xml:space="preserve">gis_ndvi_dataset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gis_lulc_dataset</w:t>
      </w:r>
      <w:r>
        <w:t xml:space="preserve">) → catalogued (</w:t>
      </w:r>
      <w:r>
        <w:rPr>
          <w:rStyle w:val="VerbatimChar"/>
        </w:rPr>
        <w:t xml:space="preserve">gis_catalog_entry</w:t>
      </w:r>
      <w:r>
        <w:t xml:space="preserve">, §12.12) → surfaced as a standard map layer via GeoServer (Ch. 10.3) and as an input to department suitability models (§17.6). DEM-derived products (slope, aspect, contours) follow the same chain via</w:t>
      </w:r>
      <w:r>
        <w:t xml:space="preserve"> </w:t>
      </w:r>
      <w:r>
        <w:rPr>
          <w:rStyle w:val="VerbatimChar"/>
        </w:rPr>
        <w:t xml:space="preserve">gis_dem_dataset</w:t>
      </w:r>
      <w:r>
        <w:t xml:space="preserve">/</w:t>
      </w:r>
      <w:r>
        <w:rPr>
          <w:rStyle w:val="VerbatimChar"/>
        </w:rPr>
        <w:t xml:space="preserve">gis_terrain_derivative</w:t>
      </w:r>
      <w:r>
        <w:t xml:space="preserve">.</w:t>
      </w:r>
    </w:p>
    <w:p>
      <w:pPr>
        <w:pStyle w:val="BodyText"/>
      </w:pPr>
      <w:r>
        <w:t xml:space="preserve">Rainfall (IMD), temperature, and groundwater (CGWB) observational datasets (</w:t>
      </w:r>
      <w:r>
        <w:rPr>
          <w:rStyle w:val="VerbatimChar"/>
        </w:rPr>
        <w:t xml:space="preserve">gis_rainfall_dataset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gis_groundwater_dataset</w:t>
      </w:r>
      <w:r>
        <w:t xml:space="preserve">, LLD Vol 2, §12.11) are ingested on the same staging → QA → publish pipeline as department CSV data (Ch. 11), keeping a single ingestion discipline across all spatial data classes.</w:t>
      </w:r>
    </w:p>
    <w:bookmarkEnd w:id="39"/>
    <w:bookmarkEnd w:id="40"/>
    <w:bookmarkStart w:id="46" w:name="notification-system"/>
    <w:p>
      <w:pPr>
        <w:pStyle w:val="Heading1"/>
      </w:pPr>
      <w:r>
        <w:t xml:space="preserve">18. Notification System</w:t>
      </w:r>
    </w:p>
    <w:bookmarkStart w:id="41" w:name="channels"/>
    <w:p>
      <w:pPr>
        <w:pStyle w:val="Heading2"/>
      </w:pPr>
      <w:r>
        <w:t xml:space="preserve">18.1 Channels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State/National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(in-app)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(reserved)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(mobile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(reserved)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1"/>
    <w:bookmarkStart w:id="42" w:name="event-bus-design"/>
    <w:p>
      <w:pPr>
        <w:pStyle w:val="Heading2"/>
      </w:pPr>
      <w:r>
        <w:t xml:space="preserve">18.2 Event Bus Design</w:t>
      </w:r>
    </w:p>
    <w:p>
      <w:pPr>
        <w:pStyle w:val="FirstParagraph"/>
      </w:pPr>
      <w:r>
        <w:t xml:space="preserve">All workflow transitions, ingestion completions, and SLA breaches publish to RabbitMQ topic exchange</w:t>
      </w:r>
      <w:r>
        <w:t xml:space="preserve"> </w:t>
      </w:r>
      <w:r>
        <w:rPr>
          <w:rStyle w:val="VerbatimChar"/>
        </w:rPr>
        <w:t xml:space="preserve">ndisp.events</w:t>
      </w:r>
      <w:r>
        <w:t xml:space="preserve">, routing key pattern</w:t>
      </w:r>
      <w:r>
        <w:t xml:space="preserve"> </w:t>
      </w:r>
      <w:r>
        <w:rPr>
          <w:rStyle w:val="VerbatimChar"/>
        </w:rPr>
        <w:t xml:space="preserve">{domain}.{event}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workflow.transitioned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asset.ingested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grievance.sla_breached</w:t>
      </w:r>
      <w:r>
        <w:t xml:space="preserve">).</w:t>
      </w:r>
      <w:r>
        <w:t xml:space="preserve"> </w:t>
      </w:r>
      <w:r>
        <w:rPr>
          <w:rStyle w:val="VerbatimChar"/>
        </w:rPr>
        <w:t xml:space="preserve">svc-notification</w:t>
      </w:r>
      <w:r>
        <w:t xml:space="preserve"> </w:t>
      </w:r>
      <w:r>
        <w:t xml:space="preserve">binds a queue per channel-worker (SMS worker, Email worker) for independent scaling and isolated failure handling.</w:t>
      </w:r>
    </w:p>
    <w:bookmarkEnd w:id="42"/>
    <w:bookmarkStart w:id="43" w:name="escalation-rules"/>
    <w:p>
      <w:pPr>
        <w:pStyle w:val="Heading2"/>
      </w:pPr>
      <w:r>
        <w:t xml:space="preserve">18.3 Escalation Rules</w:t>
      </w:r>
    </w:p>
    <w:p>
      <w:pPr>
        <w:pStyle w:val="FirstParagraph"/>
      </w:pPr>
      <w:r>
        <w:t xml:space="preserve">Defined per workflow type as SLA thresholds (Ch. 15.2–15.4); escalation notification follows the</w:t>
      </w:r>
      <w:r>
        <w:t xml:space="preserve"> </w:t>
      </w:r>
      <w:r>
        <w:rPr>
          <w:rStyle w:val="VerbatimChar"/>
        </w:rPr>
        <w:t xml:space="preserve">reports_to_user_id</w:t>
      </w:r>
      <w:r>
        <w:t xml:space="preserve"> </w:t>
      </w:r>
      <w:r>
        <w:t xml:space="preserve">chain (Ch. 13.4), capped at District Collector level (national escalation only for cross-district systemic issues, Phase 3).</w:t>
      </w:r>
    </w:p>
    <w:bookmarkEnd w:id="43"/>
    <w:bookmarkStart w:id="44" w:name="reminder-rules"/>
    <w:p>
      <w:pPr>
        <w:pStyle w:val="Heading2"/>
      </w:pPr>
      <w:r>
        <w:t xml:space="preserve">18.4 Reminder Rules</w:t>
      </w:r>
    </w:p>
    <w:p>
      <w:pPr>
        <w:pStyle w:val="FirstParagraph"/>
      </w:pPr>
      <w:r>
        <w:t xml:space="preserve">Configurable reminder cadence per workflow type (e.g.,</w:t>
      </w:r>
      <w:r>
        <w:t xml:space="preserve"> </w:t>
      </w:r>
      <w:r>
        <w:t xml:space="preserve">“</w:t>
      </w:r>
      <w:r>
        <w:t xml:space="preserve">remind assignee at 50% and 80% of SLA window</w:t>
      </w:r>
      <w:r>
        <w:t xml:space="preserve">”</w:t>
      </w:r>
      <w:r>
        <w:t xml:space="preserve">); implemented as scheduled jobs querying</w:t>
      </w:r>
      <w:r>
        <w:t xml:space="preserve"> </w:t>
      </w:r>
      <w:r>
        <w:rPr>
          <w:rStyle w:val="VerbatimChar"/>
        </w:rPr>
        <w:t xml:space="preserve">txn_workflow_instance</w:t>
      </w:r>
      <w:r>
        <w:t xml:space="preserve"> </w:t>
      </w:r>
      <w:r>
        <w:t xml:space="preserve">for approaching</w:t>
      </w:r>
      <w:r>
        <w:t xml:space="preserve"> </w:t>
      </w:r>
      <w:r>
        <w:rPr>
          <w:rStyle w:val="VerbatimChar"/>
        </w:rPr>
        <w:t xml:space="preserve">sla_due_at</w:t>
      </w:r>
      <w:r>
        <w:t xml:space="preserve">.</w:t>
      </w:r>
    </w:p>
    <w:bookmarkEnd w:id="44"/>
    <w:bookmarkStart w:id="45" w:name="template-management"/>
    <w:p>
      <w:pPr>
        <w:pStyle w:val="Heading2"/>
      </w:pPr>
      <w:r>
        <w:t xml:space="preserve">18.5 Template Management</w:t>
      </w:r>
    </w:p>
    <w:p>
      <w:pPr>
        <w:pStyle w:val="FirstParagraph"/>
      </w:pPr>
      <w:r>
        <w:rPr>
          <w:rStyle w:val="VerbatimChar"/>
        </w:rPr>
        <w:t xml:space="preserve">ntf_template</w:t>
      </w:r>
      <w:r>
        <w:t xml:space="preserve"> </w:t>
      </w:r>
      <w:r>
        <w:t xml:space="preserve">(Ch. 12.7) supports locale-specific templates (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column) — enables the English/Hindi requirement (FR-CP-07) without code changes; new locale = new template rows.</w:t>
      </w:r>
    </w:p>
    <w:p>
      <w:pPr>
        <w:pStyle w:val="BodyText"/>
      </w:pPr>
      <w:r>
        <w:rPr>
          <w:iCs/>
          <w:i/>
        </w:rPr>
        <w:t xml:space="preserve">End of Volume 3. Continued in Volume 4 — Platform Services &amp; API Design (Chapters 19–23).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District Infrastructure &amp; Services Portal</dc:title>
  <dc:creator>Dr Design — Enterprise Architecture Group</dc:creator>
  <cp:keywords/>
  <dcterms:created xsi:type="dcterms:W3CDTF">2026-07-21T06:36:05Z</dcterms:created>
  <dcterms:modified xsi:type="dcterms:W3CDTF">2026-07-21T06:36:05Z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Low Level Design — Volume 3: Workflow Engine &amp; Department Modules (Chapters 15–18)</vt:lpwstr>
  </property>
</Properties>
</file>