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National</w:t>
      </w:r>
      <w:r>
        <w:t xml:space="preserve"> </w:t>
      </w:r>
      <w:r>
        <w:t xml:space="preserve">District</w:t>
      </w:r>
      <w:r>
        <w:t xml:space="preserve"> </w:t>
      </w:r>
      <w:r>
        <w:t xml:space="preserve">Infrastructure</w:t>
      </w:r>
      <w:r>
        <w:t xml:space="preserve"> </w:t>
      </w:r>
      <w:r>
        <w:t xml:space="preserve">&amp;</w:t>
      </w:r>
      <w:r>
        <w:t xml:space="preserve"> </w:t>
      </w:r>
      <w:r>
        <w:t xml:space="preserve">Services</w:t>
      </w:r>
      <w:r>
        <w:t xml:space="preserve"> </w:t>
      </w:r>
      <w:r>
        <w:t xml:space="preserve">Portal</w:t>
      </w:r>
    </w:p>
    <w:p>
      <w:pPr>
        <w:pStyle w:val="Subtitle"/>
      </w:pPr>
      <w:r>
        <w:t xml:space="preserve">Low</w:t>
      </w:r>
      <w:r>
        <w:t xml:space="preserve"> </w:t>
      </w:r>
      <w:r>
        <w:t xml:space="preserve">Level</w:t>
      </w:r>
      <w:r>
        <w:t xml:space="preserve"> </w:t>
      </w:r>
      <w:r>
        <w:t xml:space="preserve">Design</w:t>
      </w:r>
      <w:r>
        <w:t xml:space="preserve"> </w:t>
      </w:r>
      <w:r>
        <w:t xml:space="preserve">—</w:t>
      </w:r>
      <w:r>
        <w:t xml:space="preserve"> </w:t>
      </w:r>
      <w:r>
        <w:t xml:space="preserve">Volume</w:t>
      </w:r>
      <w:r>
        <w:t xml:space="preserve"> </w:t>
      </w:r>
      <w:r>
        <w:t xml:space="preserve">4:</w:t>
      </w:r>
      <w:r>
        <w:t xml:space="preserve"> </w:t>
      </w:r>
      <w:r>
        <w:t xml:space="preserve">Platform</w:t>
      </w:r>
      <w:r>
        <w:t xml:space="preserve"> </w:t>
      </w:r>
      <w:r>
        <w:t xml:space="preserve">Services</w:t>
      </w:r>
      <w:r>
        <w:t xml:space="preserve"> </w:t>
      </w:r>
      <w:r>
        <w:t xml:space="preserve">&amp;</w:t>
      </w:r>
      <w:r>
        <w:t xml:space="preserve"> </w:t>
      </w:r>
      <w:r>
        <w:t xml:space="preserve">API</w:t>
      </w:r>
      <w:r>
        <w:t xml:space="preserve"> </w:t>
      </w:r>
      <w:r>
        <w:t xml:space="preserve">Design</w:t>
      </w:r>
      <w:r>
        <w:t xml:space="preserve"> </w:t>
      </w:r>
      <w:r>
        <w:t xml:space="preserve">(Chapters</w:t>
      </w:r>
      <w:r>
        <w:t xml:space="preserve"> </w:t>
      </w:r>
      <w:r>
        <w:t xml:space="preserve">19–23)</w:t>
      </w:r>
    </w:p>
    <w:p>
      <w:pPr>
        <w:pStyle w:val="Author"/>
      </w:pPr>
      <w:r>
        <w:t xml:space="preserve">Dr</w:t>
      </w:r>
      <w:r>
        <w:t xml:space="preserve"> </w:t>
      </w:r>
      <w:r>
        <w:t xml:space="preserve">Design</w:t>
      </w:r>
      <w:r>
        <w:t xml:space="preserve"> </w:t>
      </w:r>
      <w:r>
        <w:t xml:space="preserve">—</w:t>
      </w:r>
      <w:r>
        <w:t xml:space="preserve"> </w:t>
      </w:r>
      <w:r>
        <w:t xml:space="preserve">Enterprise</w:t>
      </w:r>
      <w:r>
        <w:t xml:space="preserve"> </w:t>
      </w:r>
      <w:r>
        <w:t xml:space="preserve">Architecture</w:t>
      </w:r>
      <w:r>
        <w:t xml:space="preserve"> </w:t>
      </w:r>
      <w:r>
        <w:t xml:space="preserve">Group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4" w:name="search-engine"/>
    <w:p>
      <w:pPr>
        <w:pStyle w:val="Heading1"/>
      </w:pPr>
      <w:r>
        <w:t xml:space="preserve">19. Search Engine</w:t>
      </w:r>
    </w:p>
    <w:bookmarkStart w:id="20" w:name="index-design-opensearch"/>
    <w:p>
      <w:pPr>
        <w:pStyle w:val="Heading2"/>
      </w:pPr>
      <w:r>
        <w:t xml:space="preserve">19.1 Index Design (OpenSearch)</w:t>
      </w:r>
    </w:p>
    <w:p>
      <w:pPr>
        <w:pStyle w:val="FirstParagraph"/>
      </w:pPr>
      <w:r>
        <w:t xml:space="preserve">Primary index</w:t>
      </w:r>
      <w:r>
        <w:t xml:space="preserve"> </w:t>
      </w:r>
      <w:r>
        <w:rPr>
          <w:rStyle w:val="VerbatimChar"/>
        </w:rPr>
        <w:t xml:space="preserve">ndisp-facilities</w:t>
      </w:r>
      <w:r>
        <w:t xml:space="preserve"> </w:t>
      </w:r>
      <w:r>
        <w:t xml:space="preserve">synchronized from</w:t>
      </w:r>
      <w:r>
        <w:t xml:space="preserve"> </w:t>
      </w:r>
      <w:r>
        <w:rPr>
          <w:rStyle w:val="VerbatimChar"/>
        </w:rPr>
        <w:t xml:space="preserve">ast_facility</w:t>
      </w:r>
      <w:r>
        <w:t xml:space="preserve"> </w:t>
      </w:r>
      <w:r>
        <w:t xml:space="preserve">via Debezium CDC → Kafka-compatible RabbitMQ stream → indexer worker. Document shape: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 (analyzed, multi-lingual)"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"department"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"keyword"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"keyword"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"district"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"keyword"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"block"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"keyword"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"location"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"geo_point"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"keyword"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"attributes_flat"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 (dynamic)"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"boost_score"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"float"</w:t>
      </w:r>
      <w:r>
        <w:br/>
      </w:r>
      <w:r>
        <w:rPr>
          <w:rStyle w:val="FunctionTok"/>
        </w:rPr>
        <w:t xml:space="preserve">}</w:t>
      </w:r>
    </w:p>
    <w:bookmarkEnd w:id="20"/>
    <w:bookmarkStart w:id="21" w:name="search-capabilities"/>
    <w:p>
      <w:pPr>
        <w:pStyle w:val="Heading2"/>
      </w:pPr>
      <w:r>
        <w:t xml:space="preserve">19.2 Search Capabilities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Global Search</w:t>
      </w:r>
      <w:r>
        <w:t xml:space="preserve">: multi-field match across</w:t>
      </w:r>
      <w:r>
        <w:t xml:space="preserve"> </w:t>
      </w:r>
      <w:r>
        <w:rPr>
          <w:rStyle w:val="VerbatimChar"/>
        </w:rPr>
        <w:t xml:space="preserve">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attributes_flat</w:t>
      </w:r>
      <w:r>
        <w:t xml:space="preserve">, with department/category filters — powers Citizen Portal universal search (FR-CP-02).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Spatial Search</w:t>
      </w:r>
      <w:r>
        <w:t xml:space="preserve">:</w:t>
      </w:r>
      <w:r>
        <w:t xml:space="preserve"> </w:t>
      </w:r>
      <w:r>
        <w:rPr>
          <w:rStyle w:val="VerbatimChar"/>
        </w:rPr>
        <w:t xml:space="preserve">geo_distance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geo_bounding_box</w:t>
      </w:r>
      <w:r>
        <w:t xml:space="preserve"> </w:t>
      </w:r>
      <w:r>
        <w:t xml:space="preserve">queries —</w:t>
      </w:r>
      <w:r>
        <w:t xml:space="preserve"> </w:t>
      </w:r>
      <w:r>
        <w:t xml:space="preserve">“</w:t>
      </w:r>
      <w:r>
        <w:t xml:space="preserve">hospitals within 5km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facilities visible on current map viewport</w:t>
      </w:r>
      <w:r>
        <w:t xml:space="preserve">”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Autocomplete</w:t>
      </w:r>
      <w:r>
        <w:t xml:space="preserve">: edge n-gram analyzer on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field, sub-100ms target.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Nearby Search</w:t>
      </w:r>
      <w:r>
        <w:t xml:space="preserve">: combines</w:t>
      </w:r>
      <w:r>
        <w:t xml:space="preserve"> </w:t>
      </w:r>
      <w:r>
        <w:rPr>
          <w:rStyle w:val="VerbatimChar"/>
        </w:rPr>
        <w:t xml:space="preserve">geo_distance</w:t>
      </w:r>
      <w:r>
        <w:t xml:space="preserve"> </w:t>
      </w:r>
      <w:r>
        <w:t xml:space="preserve">sort with category filter for</w:t>
      </w:r>
      <w:r>
        <w:t xml:space="preserve"> </w:t>
      </w:r>
      <w:r>
        <w:t xml:space="preserve">“</w:t>
      </w:r>
      <w:r>
        <w:t xml:space="preserve">nearest N</w:t>
      </w:r>
      <w:r>
        <w:t xml:space="preserve">”</w:t>
      </w:r>
      <w:r>
        <w:t xml:space="preserve"> </w:t>
      </w:r>
      <w:r>
        <w:t xml:space="preserve">queries, backing the mobile app’s field-engineer facility lookup.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Filters</w:t>
      </w:r>
      <w:r>
        <w:t xml:space="preserve">: department, category, status, distance radius, village/block/subdivision.</w:t>
      </w:r>
    </w:p>
    <w:bookmarkEnd w:id="21"/>
    <w:bookmarkStart w:id="22" w:name="a-geospatial-catalog-search"/>
    <w:p>
      <w:pPr>
        <w:pStyle w:val="Heading2"/>
      </w:pPr>
      <w:r>
        <w:t xml:space="preserve">19.2a Geospatial Catalog Search</w:t>
      </w:r>
    </w:p>
    <w:p>
      <w:pPr>
        <w:pStyle w:val="FirstParagraph"/>
      </w:pPr>
      <w:r>
        <w:t xml:space="preserve">A secondary OpenSearch index,</w:t>
      </w:r>
      <w:r>
        <w:t xml:space="preserve"> </w:t>
      </w:r>
      <w:r>
        <w:rPr>
          <w:rStyle w:val="VerbatimChar"/>
        </w:rPr>
        <w:t xml:space="preserve">ndisp-gis-catalog</w:t>
      </w:r>
      <w:r>
        <w:t xml:space="preserve">, mirrors</w:t>
      </w:r>
      <w:r>
        <w:t xml:space="preserve"> </w:t>
      </w:r>
      <w:r>
        <w:rPr>
          <w:rStyle w:val="VerbatimChar"/>
        </w:rPr>
        <w:t xml:space="preserve">gis_catalog_entry</w:t>
      </w:r>
      <w:r>
        <w:t xml:space="preserve"> </w:t>
      </w:r>
      <w:r>
        <w:t xml:space="preserve">(LLD Vol 2, §12.12) so raster/vector/satellite datasets are discoverable through the same global search experience as facilities — keyword and bounding-box search over DEM, LULC, NDVI, watershed, and satellite-imagery holdings, primarily consumed by Admin Portal data-management views.</w:t>
      </w:r>
    </w:p>
    <w:bookmarkEnd w:id="22"/>
    <w:bookmarkStart w:id="23" w:name="relevance-localization"/>
    <w:p>
      <w:pPr>
        <w:pStyle w:val="Heading2"/>
      </w:pPr>
      <w:r>
        <w:t xml:space="preserve">19.3 Relevance &amp; Localization</w:t>
      </w:r>
    </w:p>
    <w:p>
      <w:pPr>
        <w:pStyle w:val="FirstParagraph"/>
      </w:pPr>
      <w:r>
        <w:rPr>
          <w:rStyle w:val="VerbatimChar"/>
        </w:rPr>
        <w:t xml:space="preserve">boost_score</w:t>
      </w:r>
      <w:r>
        <w:t xml:space="preserve"> </w:t>
      </w:r>
      <w:r>
        <w:t xml:space="preserve">weights active, high-confidence-geocoded, recently-verified facilities higher. Multi-lingual analyzers (English + Hindi ICU tokenizer) configured per FR-CP-07; additional locale analyzers added without reindex-breaking changes (index alias pattern:</w:t>
      </w:r>
      <w:r>
        <w:t xml:space="preserve"> </w:t>
      </w:r>
      <w:r>
        <w:rPr>
          <w:rStyle w:val="VerbatimChar"/>
        </w:rPr>
        <w:t xml:space="preserve">ndisp-facilities-v{n}</w:t>
      </w:r>
      <w:r>
        <w:t xml:space="preserve"> </w:t>
      </w:r>
      <w:r>
        <w:t xml:space="preserve">with zero-downtime reindex-and-swap).</w:t>
      </w:r>
    </w:p>
    <w:bookmarkEnd w:id="23"/>
    <w:bookmarkEnd w:id="24"/>
    <w:bookmarkStart w:id="30" w:name="document-management"/>
    <w:p>
      <w:pPr>
        <w:pStyle w:val="Heading1"/>
      </w:pPr>
      <w:r>
        <w:t xml:space="preserve">20. Document Management</w:t>
      </w:r>
    </w:p>
    <w:bookmarkStart w:id="25" w:name="upload-pipeline"/>
    <w:p>
      <w:pPr>
        <w:pStyle w:val="Heading2"/>
      </w:pPr>
      <w:r>
        <w:t xml:space="preserve">20.1 Upload Pipeline</w:t>
      </w:r>
    </w:p>
    <w:p>
      <w:pPr>
        <w:pStyle w:val="FirstParagraph"/>
      </w:pPr>
      <w:r>
        <w:t xml:space="preserve">Client →</w:t>
      </w:r>
      <w:r>
        <w:t xml:space="preserve"> </w:t>
      </w:r>
      <w:r>
        <w:rPr>
          <w:rStyle w:val="VerbatimChar"/>
        </w:rPr>
        <w:t xml:space="preserve">svc-document</w:t>
      </w:r>
      <w:r>
        <w:t xml:space="preserve"> </w:t>
      </w:r>
      <w:r>
        <w:t xml:space="preserve">(pre-signed MinIO URL pattern to avoid proxying large files through the API Gateway) → EXIF extraction (GPS, timestamp) → geo-tag variance check against claimed asset location (Ch. 12.6) → virus scan (ClamAV sidecar) → metadata persisted to</w:t>
      </w:r>
      <w:r>
        <w:t xml:space="preserve"> </w:t>
      </w:r>
      <w:r>
        <w:rPr>
          <w:rStyle w:val="VerbatimChar"/>
        </w:rPr>
        <w:t xml:space="preserve">doc_file</w:t>
      </w:r>
      <w:r>
        <w:t xml:space="preserve">.</w:t>
      </w:r>
    </w:p>
    <w:bookmarkEnd w:id="25"/>
    <w:bookmarkStart w:id="26" w:name="geo-tagged-images"/>
    <w:p>
      <w:pPr>
        <w:pStyle w:val="Heading2"/>
      </w:pPr>
      <w:r>
        <w:t xml:space="preserve">20.2 Geo-Tagged Images</w:t>
      </w:r>
    </w:p>
    <w:p>
      <w:pPr>
        <w:pStyle w:val="FirstParagraph"/>
      </w:pPr>
      <w:r>
        <w:t xml:space="preserve">Mandatory for: inspection completion evidence (Ch. 15.4 guard condition), citizen grievance photos, field-engineer asset condition updates.</w:t>
      </w:r>
      <w:r>
        <w:t xml:space="preserve"> </w:t>
      </w:r>
      <w:r>
        <w:rPr>
          <w:rStyle w:val="VerbatimChar"/>
        </w:rPr>
        <w:t xml:space="preserve">geo_tag_variance_m</w:t>
      </w:r>
      <w:r>
        <w:t xml:space="preserve"> </w:t>
      </w:r>
      <w:r>
        <w:t xml:space="preserve">flags mismatches for QA review rather than silent rejection (network/GPS drift is common in rural connectivity).</w:t>
      </w:r>
    </w:p>
    <w:bookmarkEnd w:id="26"/>
    <w:bookmarkStart w:id="27" w:name="version-control"/>
    <w:p>
      <w:pPr>
        <w:pStyle w:val="Heading2"/>
      </w:pPr>
      <w:r>
        <w:t xml:space="preserve">20.3 Version Control</w:t>
      </w:r>
    </w:p>
    <w:p>
      <w:pPr>
        <w:pStyle w:val="FirstParagraph"/>
      </w:pPr>
      <w:r>
        <w:rPr>
          <w:rStyle w:val="VerbatimChar"/>
        </w:rPr>
        <w:t xml:space="preserve">doc_file.version</w:t>
      </w:r>
      <w:r>
        <w:t xml:space="preserve"> </w:t>
      </w:r>
      <w:r>
        <w:t xml:space="preserve">incremented on re-upload against the same</w:t>
      </w:r>
      <w:r>
        <w:t xml:space="preserve"> </w:t>
      </w:r>
      <w:r>
        <w:rPr>
          <w:rStyle w:val="VerbatimChar"/>
        </w:rPr>
        <w:t xml:space="preserve">owner_type + owner_id</w:t>
      </w:r>
      <w:r>
        <w:t xml:space="preserve">; prior versions retained (not overwritten) for audit — e.g., before/after photos of a completed repair.</w:t>
      </w:r>
    </w:p>
    <w:bookmarkEnd w:id="27"/>
    <w:bookmarkStart w:id="28" w:name="ocr"/>
    <w:p>
      <w:pPr>
        <w:pStyle w:val="Heading2"/>
      </w:pPr>
      <w:r>
        <w:t xml:space="preserve">20.4 OCR</w:t>
      </w:r>
    </w:p>
    <w:p>
      <w:pPr>
        <w:pStyle w:val="FirstParagraph"/>
      </w:pPr>
      <w:r>
        <w:t xml:space="preserve">Applied to uploaded scheme-application documents and scanned proposals (Tesseract OCR service, async job) to extract searchable text into</w:t>
      </w:r>
      <w:r>
        <w:t xml:space="preserve"> </w:t>
      </w:r>
      <w:r>
        <w:rPr>
          <w:rStyle w:val="VerbatimChar"/>
        </w:rPr>
        <w:t xml:space="preserve">doc_file.ocr_text</w:t>
      </w:r>
      <w:r>
        <w:t xml:space="preserve">, indexed into OpenSearch for document search.</w:t>
      </w:r>
    </w:p>
    <w:bookmarkEnd w:id="28"/>
    <w:bookmarkStart w:id="29" w:name="digital-signature"/>
    <w:p>
      <w:pPr>
        <w:pStyle w:val="Heading2"/>
      </w:pPr>
      <w:r>
        <w:t xml:space="preserve">20.5 Digital Signature</w:t>
      </w:r>
    </w:p>
    <w:p>
      <w:pPr>
        <w:pStyle w:val="FirstParagraph"/>
      </w:pPr>
      <w:r>
        <w:t xml:space="preserve">Approval-stage documents (budget sanctions, DM approvals) support attachment of a digital signature reference (</w:t>
      </w:r>
      <w:r>
        <w:rPr>
          <w:rStyle w:val="VerbatimChar"/>
        </w:rPr>
        <w:t xml:space="preserve">doc_file.signature_ref</w:t>
      </w:r>
      <w:r>
        <w:t xml:space="preserve">) compatible with government PKI (eSign/DSC) infrastructure — assumption: integration deferred to Phase 2 pending government PKI service endpoint confirmation (not specified in source documents).</w:t>
      </w:r>
    </w:p>
    <w:bookmarkEnd w:id="29"/>
    <w:bookmarkEnd w:id="30"/>
    <w:bookmarkStart w:id="33" w:name="reporting-engine"/>
    <w:p>
      <w:pPr>
        <w:pStyle w:val="Heading1"/>
      </w:pPr>
      <w:r>
        <w:t xml:space="preserve">21. Reporting Engine</w:t>
      </w:r>
    </w:p>
    <w:bookmarkStart w:id="31" w:name="report-types"/>
    <w:p>
      <w:pPr>
        <w:pStyle w:val="Heading2"/>
      </w:pPr>
      <w:r>
        <w:t xml:space="preserve">21.1 Report Types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Executive summary, facility listing, approval sanction letter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Headless Chromium (Puppeteer) rendering HTML templates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Excel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Department asset export, KPI data dump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ExcelJS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Raw data export for external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Native streaming export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GIS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 snapshot + legend + layer 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GeoServer WMS</w:t>
            </w:r>
            <w:r>
              <w:t xml:space="preserve"> </w:t>
            </w:r>
            <w:r>
              <w:rPr>
                <w:rStyle w:val="VerbatimChar"/>
              </w:rPr>
              <w:t xml:space="preserve">GetMap</w:t>
            </w:r>
            <w:r>
              <w:t xml:space="preserve"> </w:t>
            </w:r>
            <w:r>
              <w:t xml:space="preserve">capture composited into PDF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Dashboard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Scheduled snapshot of Admin KPI 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PDF pipeline, templated per dashboard config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Executive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Cross-department district summary for DM/State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Aggregates svc-analytics + svc-workflow + svc-master-data via internal GraphQL</w:t>
            </w:r>
          </w:p>
        </w:tc>
      </w:tr>
    </w:tbl>
    <w:bookmarkEnd w:id="31"/>
    <w:bookmarkStart w:id="32" w:name="generation-architecture"/>
    <w:p>
      <w:pPr>
        <w:pStyle w:val="Heading2"/>
      </w:pPr>
      <w:r>
        <w:t xml:space="preserve">21.2 Generation Architecture</w:t>
      </w:r>
    </w:p>
    <w:p>
      <w:pPr>
        <w:pStyle w:val="FirstParagraph"/>
      </w:pPr>
      <w:r>
        <w:t xml:space="preserve">Async job queue (</w:t>
      </w:r>
      <w:r>
        <w:rPr>
          <w:rStyle w:val="VerbatimChar"/>
        </w:rPr>
        <w:t xml:space="preserve">svc-reporting</w:t>
      </w:r>
      <w:r>
        <w:t xml:space="preserve"> </w:t>
      </w:r>
      <w:r>
        <w:t xml:space="preserve">consumes</w:t>
      </w:r>
      <w:r>
        <w:t xml:space="preserve"> </w:t>
      </w:r>
      <w:r>
        <w:rPr>
          <w:rStyle w:val="VerbatimChar"/>
        </w:rPr>
        <w:t xml:space="preserve">report.requested</w:t>
      </w:r>
      <w:r>
        <w:t xml:space="preserve"> </w:t>
      </w:r>
      <w:r>
        <w:t xml:space="preserve">events); large exports (&gt;10k rows) processed in background with completion notification (Ch. 18) and download link (pre-signed MinIO URL, 24h expiry). Synchronous generation only for small on-demand reports (&lt;2s render time budget).</w:t>
      </w:r>
    </w:p>
    <w:bookmarkEnd w:id="32"/>
    <w:bookmarkEnd w:id="33"/>
    <w:bookmarkStart w:id="40" w:name="monitoring"/>
    <w:p>
      <w:pPr>
        <w:pStyle w:val="Heading1"/>
      </w:pPr>
      <w:r>
        <w:t xml:space="preserve">22. Monitoring</w:t>
      </w:r>
    </w:p>
    <w:bookmarkStart w:id="34" w:name="observability-stack"/>
    <w:p>
      <w:pPr>
        <w:pStyle w:val="Heading2"/>
      </w:pPr>
      <w:r>
        <w:t xml:space="preserve">22.1 Observability Stack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Prometheus</w:t>
      </w:r>
      <w:r>
        <w:t xml:space="preserve">: metrics scraping (service health, request rate/latency/error-rate per route, PostGIS query duration histograms, RabbitMQ queue depth).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Grafana</w:t>
      </w:r>
      <w:r>
        <w:t xml:space="preserve">: dashboards per service + a composite</w:t>
      </w:r>
      <w:r>
        <w:t xml:space="preserve"> </w:t>
      </w:r>
      <w:r>
        <w:t xml:space="preserve">“</w:t>
      </w:r>
      <w:r>
        <w:t xml:space="preserve">GIS Health</w:t>
      </w:r>
      <w:r>
        <w:t xml:space="preserve">”</w:t>
      </w:r>
      <w:r>
        <w:t xml:space="preserve"> </w:t>
      </w:r>
      <w:r>
        <w:t xml:space="preserve">dashboard (tile-serve latency, GeoServer thread pool utilization, spatial query p95).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Loki</w:t>
      </w:r>
      <w:r>
        <w:t xml:space="preserve">: centralized log aggregation, structured JSON logs correlated via</w:t>
      </w:r>
      <w:r>
        <w:t xml:space="preserve"> </w:t>
      </w:r>
      <w:r>
        <w:rPr>
          <w:rStyle w:val="VerbatimChar"/>
        </w:rPr>
        <w:t xml:space="preserve">trace_id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OpenTelemetry</w:t>
      </w:r>
      <w:r>
        <w:t xml:space="preserve">: distributed tracing across API Gateway → services → PostGIS/OpenSearch, critical for diagnosing slow spatial queries spanning multiple services.</w:t>
      </w:r>
    </w:p>
    <w:bookmarkEnd w:id="34"/>
    <w:bookmarkStart w:id="35" w:name="application-monitoring"/>
    <w:p>
      <w:pPr>
        <w:pStyle w:val="Heading2"/>
      </w:pPr>
      <w:r>
        <w:t xml:space="preserve">22.2 Application Monitoring</w:t>
      </w:r>
    </w:p>
    <w:p>
      <w:pPr>
        <w:pStyle w:val="FirstParagraph"/>
      </w:pPr>
      <w:r>
        <w:t xml:space="preserve">Per-service SLO dashboards: p50/p95/p99 latency, error rate, saturation (CPU/memory/connection-pool usage). Alert thresholds tied to NFR targets (Ch. 5): API p95 &gt; 300ms (non-spatial) or &gt; 800ms (spatial) triggers a warning alert.</w:t>
      </w:r>
    </w:p>
    <w:bookmarkEnd w:id="35"/>
    <w:bookmarkStart w:id="36" w:name="gis-specific-monitoring"/>
    <w:p>
      <w:pPr>
        <w:pStyle w:val="Heading2"/>
      </w:pPr>
      <w:r>
        <w:t xml:space="preserve">22.3 GIS-Specific Monitoring</w:t>
      </w:r>
    </w:p>
    <w:p>
      <w:pPr>
        <w:pStyle w:val="FirstParagraph"/>
      </w:pPr>
      <w:r>
        <w:t xml:space="preserve">GeoServer WMS/WFS/WMTS request latency and cache hit-ratio; PostGIS slow-query log (queries &gt; 1s) auto-captured with</w:t>
      </w:r>
      <w:r>
        <w:t xml:space="preserve"> </w:t>
      </w:r>
      <w:r>
        <w:rPr>
          <w:rStyle w:val="VerbatimChar"/>
        </w:rPr>
        <w:t xml:space="preserve">EXPLAIN ANALYZE</w:t>
      </w:r>
      <w:r>
        <w:t xml:space="preserve"> </w:t>
      </w:r>
      <w:r>
        <w:t xml:space="preserve">attached for the on-call engineer.</w:t>
      </w:r>
    </w:p>
    <w:bookmarkEnd w:id="36"/>
    <w:bookmarkStart w:id="37" w:name="infrastructure-monitoring"/>
    <w:p>
      <w:pPr>
        <w:pStyle w:val="Heading2"/>
      </w:pPr>
      <w:r>
        <w:t xml:space="preserve">22.4 Infrastructure Monitoring</w:t>
      </w:r>
    </w:p>
    <w:p>
      <w:pPr>
        <w:pStyle w:val="FirstParagraph"/>
      </w:pPr>
      <w:r>
        <w:t xml:space="preserve">Kubernetes node/pod resource utilization, HPA scaling events, PVC usage (MinIO, PostgreSQL), certificate expiry alerts.</w:t>
      </w:r>
    </w:p>
    <w:bookmarkEnd w:id="37"/>
    <w:bookmarkStart w:id="38" w:name="audit-log-monitoring"/>
    <w:p>
      <w:pPr>
        <w:pStyle w:val="Heading2"/>
      </w:pPr>
      <w:r>
        <w:t xml:space="preserve">22.5 Audit Log Monitoring</w:t>
      </w:r>
    </w:p>
    <w:p>
      <w:pPr>
        <w:pStyle w:val="FirstParagraph"/>
      </w:pPr>
      <w:r>
        <w:t xml:space="preserve">Anomaly alerting on</w:t>
      </w:r>
      <w:r>
        <w:t xml:space="preserve"> </w:t>
      </w:r>
      <w:r>
        <w:rPr>
          <w:rStyle w:val="VerbatimChar"/>
        </w:rPr>
        <w:t xml:space="preserve">aud_event_log</w:t>
      </w:r>
      <w:r>
        <w:t xml:space="preserve"> </w:t>
      </w:r>
      <w:r>
        <w:t xml:space="preserve">(e.g., abnormal spike in</w:t>
      </w:r>
      <w:r>
        <w:t xml:space="preserve"> </w:t>
      </w:r>
      <w:r>
        <w:rPr>
          <w:rStyle w:val="VerbatimChar"/>
        </w:rPr>
        <w:t xml:space="preserve">permission_denied</w:t>
      </w:r>
      <w:r>
        <w:t xml:space="preserve">, mass data export by a single user) feeding a lightweight SIEM rule set — full SIEM integration reserved for Phase 2 (assumption; no specific SIEM tool mandated in source documents).</w:t>
      </w:r>
    </w:p>
    <w:bookmarkEnd w:id="38"/>
    <w:bookmarkStart w:id="39" w:name="health-checks"/>
    <w:p>
      <w:pPr>
        <w:pStyle w:val="Heading2"/>
      </w:pPr>
      <w:r>
        <w:t xml:space="preserve">22.6 Health Checks</w:t>
      </w:r>
    </w:p>
    <w:p>
      <w:pPr>
        <w:pStyle w:val="FirstParagraph"/>
      </w:pPr>
      <w:r>
        <w:t xml:space="preserve">Every service exposes</w:t>
      </w:r>
      <w:r>
        <w:t xml:space="preserve"> </w:t>
      </w:r>
      <w:r>
        <w:rPr>
          <w:rStyle w:val="VerbatimChar"/>
        </w:rPr>
        <w:t xml:space="preserve">/healthz</w:t>
      </w:r>
      <w:r>
        <w:t xml:space="preserve"> </w:t>
      </w:r>
      <w:r>
        <w:t xml:space="preserve">(liveness) and</w:t>
      </w:r>
      <w:r>
        <w:t xml:space="preserve"> </w:t>
      </w:r>
      <w:r>
        <w:rPr>
          <w:rStyle w:val="VerbatimChar"/>
        </w:rPr>
        <w:t xml:space="preserve">/readyz</w:t>
      </w:r>
      <w:r>
        <w:t xml:space="preserve"> </w:t>
      </w:r>
      <w:r>
        <w:t xml:space="preserve">(readiness, verifying DB/cache/queue connectivity) per Kubernetes probe conventions.</w:t>
      </w:r>
    </w:p>
    <w:bookmarkEnd w:id="39"/>
    <w:bookmarkEnd w:id="40"/>
    <w:bookmarkStart w:id="52" w:name="api-design"/>
    <w:p>
      <w:pPr>
        <w:pStyle w:val="Heading1"/>
      </w:pPr>
      <w:r>
        <w:t xml:space="preserve">23. API Design</w:t>
      </w:r>
    </w:p>
    <w:bookmarkStart w:id="41" w:name="conventions"/>
    <w:p>
      <w:pPr>
        <w:pStyle w:val="Heading2"/>
      </w:pPr>
      <w:r>
        <w:t xml:space="preserve">23.1 Conventions</w:t>
      </w:r>
    </w:p>
    <w:p>
      <w:pPr>
        <w:numPr>
          <w:ilvl w:val="0"/>
          <w:numId w:val="1003"/>
        </w:numPr>
        <w:pStyle w:val="Compact"/>
      </w:pPr>
      <w:r>
        <w:t xml:space="preserve">REST, versioned via URL path (</w:t>
      </w:r>
      <w:r>
        <w:rPr>
          <w:rStyle w:val="VerbatimChar"/>
        </w:rPr>
        <w:t xml:space="preserve">/api/v1/...</w:t>
      </w:r>
      <w:r>
        <w:t xml:space="preserve">); internal cross-service aggregation via GraphQL (not exposed externally at pilot).</w:t>
      </w:r>
    </w:p>
    <w:p>
      <w:pPr>
        <w:numPr>
          <w:ilvl w:val="0"/>
          <w:numId w:val="1003"/>
        </w:numPr>
        <w:pStyle w:val="Compact"/>
      </w:pPr>
      <w:r>
        <w:t xml:space="preserve">JSON:API-inspired response envelope:</w:t>
      </w:r>
      <w:r>
        <w:t xml:space="preserve"> </w:t>
      </w:r>
      <w:r>
        <w:rPr>
          <w:rStyle w:val="VerbatimChar"/>
        </w:rPr>
        <w:t xml:space="preserve">{ data, meta, errors }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Authentication:</w:t>
      </w:r>
      <w:r>
        <w:t xml:space="preserve"> </w:t>
      </w:r>
      <w:r>
        <w:rPr>
          <w:rStyle w:val="VerbatimChar"/>
        </w:rPr>
        <w:t xml:space="preserve">Authorization: Bearer &lt;JWT&gt;</w:t>
      </w:r>
      <w:r>
        <w:t xml:space="preserve">; anonymous-allowed routes explicitly whitelisted (Citizen Portal public reads).</w:t>
      </w:r>
    </w:p>
    <w:p>
      <w:pPr>
        <w:numPr>
          <w:ilvl w:val="0"/>
          <w:numId w:val="1003"/>
        </w:numPr>
        <w:pStyle w:val="Compact"/>
      </w:pPr>
      <w:r>
        <w:t xml:space="preserve">Standard error codes: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validation,</w:t>
      </w:r>
      <w:r>
        <w:t xml:space="preserve"> </w:t>
      </w:r>
      <w:r>
        <w:rPr>
          <w:rStyle w:val="VerbatimChar"/>
        </w:rPr>
        <w:t xml:space="preserve">401</w:t>
      </w:r>
      <w:r>
        <w:t xml:space="preserve"> </w:t>
      </w:r>
      <w:r>
        <w:t xml:space="preserve">unauthenticated,</w:t>
      </w:r>
      <w:r>
        <w:t xml:space="preserve"> </w:t>
      </w:r>
      <w:r>
        <w:rPr>
          <w:rStyle w:val="VerbatimChar"/>
        </w:rPr>
        <w:t xml:space="preserve">403</w:t>
      </w:r>
      <w:r>
        <w:t xml:space="preserve"> </w:t>
      </w:r>
      <w:r>
        <w:t xml:space="preserve">unauthorized (RBAC),</w:t>
      </w:r>
      <w:r>
        <w:t xml:space="preserve"> </w:t>
      </w:r>
      <w:r>
        <w:rPr>
          <w:rStyle w:val="VerbatimChar"/>
        </w:rPr>
        <w:t xml:space="preserve">404</w:t>
      </w:r>
      <w:r>
        <w:t xml:space="preserve"> </w:t>
      </w:r>
      <w:r>
        <w:t xml:space="preserve">not found,</w:t>
      </w:r>
      <w:r>
        <w:t xml:space="preserve"> </w:t>
      </w:r>
      <w:r>
        <w:rPr>
          <w:rStyle w:val="VerbatimChar"/>
        </w:rPr>
        <w:t xml:space="preserve">409</w:t>
      </w:r>
      <w:r>
        <w:t xml:space="preserve"> </w:t>
      </w:r>
      <w:r>
        <w:t xml:space="preserve">conflict (e.g., duplicate CSV batch),</w:t>
      </w:r>
      <w:r>
        <w:t xml:space="preserve"> </w:t>
      </w:r>
      <w:r>
        <w:rPr>
          <w:rStyle w:val="VerbatimChar"/>
        </w:rPr>
        <w:t xml:space="preserve">422</w:t>
      </w:r>
      <w:r>
        <w:t xml:space="preserve"> </w:t>
      </w:r>
      <w:r>
        <w:t xml:space="preserve">business-rule violation,</w:t>
      </w:r>
      <w:r>
        <w:t xml:space="preserve"> </w:t>
      </w:r>
      <w:r>
        <w:rPr>
          <w:rStyle w:val="VerbatimChar"/>
        </w:rPr>
        <w:t xml:space="preserve">429</w:t>
      </w:r>
      <w:r>
        <w:t xml:space="preserve"> </w:t>
      </w:r>
      <w:r>
        <w:t xml:space="preserve">rate-limited,</w:t>
      </w:r>
      <w:r>
        <w:t xml:space="preserve"> </w:t>
      </w:r>
      <w:r>
        <w:rPr>
          <w:rStyle w:val="VerbatimChar"/>
        </w:rPr>
        <w:t xml:space="preserve">500</w:t>
      </w:r>
      <w:r>
        <w:t xml:space="preserve"> </w:t>
      </w:r>
      <w:r>
        <w:t xml:space="preserve">server error — all with a machine-readable</w:t>
      </w:r>
      <w:r>
        <w:t xml:space="preserve"> </w:t>
      </w:r>
      <w:r>
        <w:rPr>
          <w:rStyle w:val="VerbatimChar"/>
        </w:rPr>
        <w:t xml:space="preserve">error_code</w:t>
      </w:r>
      <w:r>
        <w:t xml:space="preserve"> </w:t>
      </w:r>
      <w:r>
        <w:t xml:space="preserve">in the body for client i18n.</w:t>
      </w:r>
    </w:p>
    <w:bookmarkEnd w:id="41"/>
    <w:bookmarkStart w:id="48" w:name="representative-endpoint-specifications"/>
    <w:p>
      <w:pPr>
        <w:pStyle w:val="Heading2"/>
      </w:pPr>
      <w:r>
        <w:t xml:space="preserve">23.2 Representative Endpoint Specifications</w:t>
      </w:r>
    </w:p>
    <w:bookmarkStart w:id="42" w:name="auth-service"/>
    <w:p>
      <w:pPr>
        <w:pStyle w:val="Heading3"/>
      </w:pPr>
      <w:r>
        <w:t xml:space="preserve">Auth Service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/api/v1/auth/login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{username, password}</w:t>
            </w:r>
            <w:r>
              <w:t xml:space="preserve"> </w:t>
            </w:r>
            <w:r>
              <w:t xml:space="preserve">or OIDC redirect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{access_token, refresh_token, expires_in}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/api/v1/auth/refresh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{refresh_token}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{access_token, refresh_token}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Refresh token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/api/v1/auth/logout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{refresh_token}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/api/v1/auth/me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{user, role, permissions[]}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</w:t>
            </w:r>
          </w:p>
        </w:tc>
      </w:tr>
    </w:tbl>
    <w:bookmarkEnd w:id="42"/>
    <w:bookmarkStart w:id="43" w:name="asset-service"/>
    <w:p>
      <w:pPr>
        <w:pStyle w:val="Heading3"/>
      </w:pPr>
      <w:r>
        <w:t xml:space="preserve">Asset Service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/api/v1/assets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Query:</w:t>
            </w:r>
            <w:r>
              <w:t xml:space="preserve"> </w:t>
            </w:r>
            <w:r>
              <w:rPr>
                <w:rStyle w:val="VerbatimChar"/>
              </w:rPr>
              <w:t xml:space="preserve">district_id, department_id, category_id, bbox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{data: Facility[], meta:{count}}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 (filtered) / Bearer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/api/v1/assets/{id}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Facility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 / Bearer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/api/v1/assets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Facility</w:t>
            </w:r>
            <w:r>
              <w:t xml:space="preserve"> </w:t>
            </w:r>
            <w:r>
              <w:t xml:space="preserve">payload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Facility</w:t>
            </w:r>
            <w:r>
              <w:t xml:space="preserve"> </w:t>
            </w:r>
            <w:r>
              <w:t xml:space="preserve">(201)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Bearer, RBAC: dept-write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/api/v1/assets/{id}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</w:t>
            </w:r>
            <w:r>
              <w:t xml:space="preserve"> </w:t>
            </w:r>
            <w:r>
              <w:rPr>
                <w:rStyle w:val="VerbatimChar"/>
              </w:rPr>
              <w:t xml:space="preserve">Facility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Facility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Bearer, RBAC: dept-write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/api/v1/assets/ingest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multipart CSV +</w:t>
            </w:r>
            <w:r>
              <w:t xml:space="preserve"> </w:t>
            </w:r>
            <w:r>
              <w:rPr>
                <w:rStyle w:val="VerbatimChar"/>
              </w:rPr>
              <w:t xml:space="preserve">department_id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{batch_id, status}</w:t>
            </w:r>
            <w:r>
              <w:t xml:space="preserve"> </w:t>
            </w:r>
            <w:r>
              <w:t xml:space="preserve">(202, async)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Bearer, RBAC: dept-write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/api/v1/assets/ingest/{batch_id}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{status, success_count, failure_count, errors[]}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</w:t>
            </w:r>
          </w:p>
        </w:tc>
      </w:tr>
    </w:tbl>
    <w:bookmarkEnd w:id="43"/>
    <w:bookmarkStart w:id="44" w:name="workflow-service"/>
    <w:p>
      <w:pPr>
        <w:pStyle w:val="Heading3"/>
      </w:pPr>
      <w:r>
        <w:t xml:space="preserve">Workflow Service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/api/v1/workflows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{workflow_type, related_asset_id, ...}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WorkflowInstance</w:t>
            </w:r>
            <w:r>
              <w:t xml:space="preserve"> </w:t>
            </w:r>
            <w:r>
              <w:t xml:space="preserve">(201)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or anonymous (grievance)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/api/v1/workflows/{id}/transition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{to_state, remarks}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WorkflowInstance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Bearer, RBAC: role-gated per guard condition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/api/v1/workflows/{id}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WorkflowInstance</w:t>
            </w:r>
            <w:r>
              <w:t xml:space="preserve"> </w:t>
            </w:r>
            <w:r>
              <w:t xml:space="preserve">+ transition 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/ grievance-owner token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/api/v1/grievances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{citizen_name, phone, asset_id, description, photo}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Grievance</w:t>
            </w:r>
            <w:r>
              <w:t xml:space="preserve"> </w:t>
            </w:r>
            <w:r>
              <w:t xml:space="preserve">(201)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Anonymous allowed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/api/v1/grievances/{id}/status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{current_state, last_update}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Anonymous (via tracking token)</w:t>
            </w:r>
          </w:p>
        </w:tc>
      </w:tr>
    </w:tbl>
    <w:bookmarkEnd w:id="44"/>
    <w:bookmarkStart w:id="45" w:name="analytics-service"/>
    <w:p>
      <w:pPr>
        <w:pStyle w:val="Heading3"/>
      </w:pPr>
      <w:r>
        <w:t xml:space="preserve">Analytics Service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/api/v1/analytics/gap-scores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Query:</w:t>
            </w:r>
            <w:r>
              <w:t xml:space="preserve"> </w:t>
            </w:r>
            <w:r>
              <w:rPr>
                <w:rStyle w:val="VerbatimChar"/>
              </w:rPr>
              <w:t xml:space="preserve">district_id, department_id, category_id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GeoJSON FeatureCollection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Bearer, RBAC: admin-read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/api/v1/analytics/recommendations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Query:</w:t>
            </w:r>
            <w:r>
              <w:t xml:space="preserve"> </w:t>
            </w:r>
            <w:r>
              <w:rPr>
                <w:rStyle w:val="VerbatimChar"/>
              </w:rPr>
              <w:t xml:space="preserve">district_id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Recommendation[]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Bearer, RBAC: admin-read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/api/v1/analytics/kpi-dashboard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Query:</w:t>
            </w:r>
            <w:r>
              <w:t xml:space="preserve"> </w:t>
            </w:r>
            <w:r>
              <w:rPr>
                <w:rStyle w:val="VerbatimChar"/>
              </w:rPr>
              <w:t xml:space="preserve">district_id, level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{kpis: {...}}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</w:t>
            </w:r>
          </w:p>
        </w:tc>
      </w:tr>
    </w:tbl>
    <w:bookmarkEnd w:id="45"/>
    <w:bookmarkStart w:id="46" w:name="search-service"/>
    <w:p>
      <w:pPr>
        <w:pStyle w:val="Heading3"/>
      </w:pPr>
      <w:r>
        <w:t xml:space="preserve">Search Service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Query:</w:t>
            </w:r>
            <w:r>
              <w:t xml:space="preserve"> </w:t>
            </w:r>
            <w:r>
              <w:rPr>
                <w:rStyle w:val="VerbatimChar"/>
              </w:rPr>
              <w:t xml:space="preserve">q, department, category, bbox, lat, lng, radius_km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{results: [], total}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/api/v1/search/autocomplete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Query:</w:t>
            </w:r>
            <w:r>
              <w:t xml:space="preserve"> </w:t>
            </w:r>
            <w:r>
              <w:rPr>
                <w:rStyle w:val="VerbatimChar"/>
              </w:rPr>
              <w:t xml:space="preserve">q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{suggestions: string[]}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</w:tr>
    </w:tbl>
    <w:bookmarkEnd w:id="46"/>
    <w:bookmarkStart w:id="47" w:name="reporting-service"/>
    <w:p>
      <w:pPr>
        <w:pStyle w:val="Heading3"/>
      </w:pPr>
      <w:r>
        <w:t xml:space="preserve">Reporting Service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/api/v1/reports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{report_type, format, filters}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{job_id, status}</w:t>
            </w:r>
            <w:r>
              <w:t xml:space="preserve"> </w:t>
            </w:r>
            <w:r>
              <w:t xml:space="preserve">(202)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/api/v1/reports/{job_id}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{status, download_url}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</w:t>
            </w:r>
          </w:p>
        </w:tc>
      </w:tr>
    </w:tbl>
    <w:bookmarkEnd w:id="47"/>
    <w:bookmarkEnd w:id="48"/>
    <w:bookmarkStart w:id="49" w:name="rate-limiting-tiers"/>
    <w:p>
      <w:pPr>
        <w:pStyle w:val="Heading2"/>
      </w:pPr>
      <w:r>
        <w:t xml:space="preserve">23.3 Rate Limiting Tiers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Consumer 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Anonymous (Citizen Portal)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 req/min per 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Registered Citizen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 req/min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Line Department 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 req/min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Admin/DM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 req/min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Internal service-to-service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rate-limited (mTLS-authenticated)</w:t>
            </w:r>
          </w:p>
        </w:tc>
      </w:tr>
    </w:tbl>
    <w:bookmarkEnd w:id="49"/>
    <w:bookmarkStart w:id="50" w:name="Xd6b9c5367344298f1bc2416a28f76476db8d876"/>
    <w:p>
      <w:pPr>
        <w:pStyle w:val="Heading2"/>
      </w:pPr>
      <w:r>
        <w:t xml:space="preserve">23.4a Enterprise Spatial Analytics &amp; GIS Decision Support APIs</w:t>
      </w:r>
    </w:p>
    <w:p>
      <w:pPr>
        <w:pStyle w:val="FirstParagraph"/>
      </w:pPr>
      <w:r>
        <w:t xml:space="preserve">Extends §23.2 with endpoints backing the enriched Analytics Engine capability catalog (LLD Vol 3, Ch. 17.6) and department-level spatial analytics (LLD Vol 3, Ch. 16).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/api/v1/analytics/accessibility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Query:</w:t>
            </w:r>
            <w:r>
              <w:t xml:space="preserve"> </w:t>
            </w:r>
            <w:r>
              <w:rPr>
                <w:rStyle w:val="VerbatimChar"/>
              </w:rPr>
              <w:t xml:space="preserve">district_id, department_id, category_id, mode</w:t>
            </w:r>
            <w:r>
              <w:t xml:space="preserve"> </w:t>
            </w:r>
            <w:r>
              <w:t xml:space="preserve">(isochrone/service-radius)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GeoJSON FeatureCollection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/api/v1/analytics/suitability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Query:</w:t>
            </w:r>
            <w:r>
              <w:t xml:space="preserve"> </w:t>
            </w:r>
            <w:r>
              <w:rPr>
                <w:rStyle w:val="VerbatimChar"/>
              </w:rPr>
              <w:t xml:space="preserve">district_id, use_case</w:t>
            </w:r>
            <w:r>
              <w:t xml:space="preserve"> </w:t>
            </w:r>
            <w:r>
              <w:t xml:space="preserve">(solar-roof/solar-farm/water-recharge/school-site)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GeoJSON FeatureCollection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suitability_score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/api/v1/analytics/watershed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Query:</w:t>
            </w:r>
            <w:r>
              <w:t xml:space="preserve"> </w:t>
            </w:r>
            <w:r>
              <w:rPr>
                <w:rStyle w:val="VerbatimChar"/>
              </w:rPr>
              <w:t xml:space="preserve">district_id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GeoJSON FeatureCollection</w:t>
            </w:r>
            <w:r>
              <w:t xml:space="preserve"> </w:t>
            </w:r>
            <w:r>
              <w:t xml:space="preserve">(watersheds + drainage network)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/api/v1/analytics/heatmap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Query:</w:t>
            </w:r>
            <w:r>
              <w:t xml:space="preserve"> </w:t>
            </w:r>
            <w:r>
              <w:rPr>
                <w:rStyle w:val="VerbatimChar"/>
              </w:rPr>
              <w:t xml:space="preserve">district_id, department_id, 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Raster tile URL / density grid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/api/v1/decision-support/recommendations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Query:</w:t>
            </w:r>
            <w:r>
              <w:t xml:space="preserve"> </w:t>
            </w:r>
            <w:r>
              <w:rPr>
                <w:rStyle w:val="VerbatimChar"/>
              </w:rPr>
              <w:t xml:space="preserve">district_id, decision_class</w:t>
            </w:r>
            <w:r>
              <w:t xml:space="preserve"> </w:t>
            </w:r>
            <w:r>
              <w:t xml:space="preserve">(per LLD Vol 3, §17.5 table)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Recommendation[]</w:t>
            </w:r>
            <w:r>
              <w:t xml:space="preserve"> </w:t>
            </w:r>
            <w:r>
              <w:t xml:space="preserve">with linked spatial 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Bearer, RBAC: admin-read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/api/v1/gis/catalog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Query:</w:t>
            </w:r>
            <w:r>
              <w:t xml:space="preserve"> </w:t>
            </w:r>
            <w:r>
              <w:rPr>
                <w:rStyle w:val="VerbatimChar"/>
              </w:rPr>
              <w:t xml:space="preserve">dataset_type, keywords, bbox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CatalogEntry[]</w:t>
            </w:r>
            <w:r>
              <w:t xml:space="preserve"> </w:t>
            </w:r>
            <w:r>
              <w:t xml:space="preserve">(LLD Vol 2, §12.12)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/api/v1/gis/remote-sensing/ndvi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Query:</w:t>
            </w:r>
            <w:r>
              <w:t xml:space="preserve"> </w:t>
            </w:r>
            <w:r>
              <w:rPr>
                <w:rStyle w:val="VerbatimChar"/>
              </w:rPr>
              <w:t xml:space="preserve">district_id, date_range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GeoJSON</w:t>
            </w:r>
            <w:r>
              <w:t xml:space="preserve">/raster tile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/api/v1/gis/remote-sensing/lulc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Query:</w:t>
            </w:r>
            <w:r>
              <w:t xml:space="preserve"> </w:t>
            </w:r>
            <w:r>
              <w:rPr>
                <w:rStyle w:val="VerbatimChar"/>
              </w:rPr>
              <w:t xml:space="preserve">district_id, year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GeoJSON</w:t>
            </w:r>
            <w:r>
              <w:t xml:space="preserve">/raster tile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/api/v1/gis/remote-sensing/change-detection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Query:</w:t>
            </w:r>
            <w:r>
              <w:t xml:space="preserve"> </w:t>
            </w:r>
            <w:r>
              <w:rPr>
                <w:rStyle w:val="VerbatimChar"/>
              </w:rPr>
              <w:t xml:space="preserve">district_id, from_date, to_date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GeoJSON FeatureCollection</w:t>
            </w:r>
            <w:r>
              <w:t xml:space="preserve"> </w:t>
            </w:r>
            <w:r>
              <w:t xml:space="preserve">(changed regions)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/api/v1/gis/processing-jobs/{job_id}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{status, output_dataset_ref}</w:t>
            </w:r>
            <w:r>
              <w:t xml:space="preserve"> </w:t>
            </w:r>
            <w:r>
              <w:t xml:space="preserve">(LLD Vol 2, §12.13)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</w:t>
            </w:r>
          </w:p>
        </w:tc>
      </w:tr>
    </w:tbl>
    <w:bookmarkEnd w:id="50"/>
    <w:bookmarkStart w:id="51" w:name="gis-data-apis-wmswfswmts-proxy"/>
    <w:p>
      <w:pPr>
        <w:pStyle w:val="Heading2"/>
      </w:pPr>
      <w:r>
        <w:t xml:space="preserve">23.4 GIS Data APIs (WMS/WFS/WMTS proxy)</w:t>
      </w:r>
    </w:p>
    <w:p>
      <w:pPr>
        <w:pStyle w:val="FirstParagraph"/>
      </w:pPr>
      <w:r>
        <w:rPr>
          <w:rStyle w:val="VerbatimChar"/>
        </w:rPr>
        <w:t xml:space="preserve">svc-gis</w:t>
      </w:r>
      <w:r>
        <w:t xml:space="preserve"> </w:t>
      </w:r>
      <w:r>
        <w:t xml:space="preserve">proxies GeoServer, injecting district-scope filters server-side (CQL filter injection based on JWT</w:t>
      </w:r>
      <w:r>
        <w:t xml:space="preserve"> </w:t>
      </w:r>
      <w:r>
        <w:rPr>
          <w:rStyle w:val="VerbatimChar"/>
        </w:rPr>
        <w:t xml:space="preserve">district_id</w:t>
      </w:r>
      <w:r>
        <w:t xml:space="preserve">) so a Line Department user’s WFS-edit access is confined to their own district even though GeoServer itself is a shared multi-tenant instance: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/api/v1/gis/wms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Proxied WMS</w:t>
            </w:r>
            <w:r>
              <w:t xml:space="preserve"> </w:t>
            </w:r>
            <w:r>
              <w:rPr>
                <w:rStyle w:val="VerbatimChar"/>
              </w:rPr>
              <w:t xml:space="preserve">GetMap</w:t>
            </w:r>
            <w:r>
              <w:t xml:space="preserve">, scoped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/api/v1/gis/wfs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Proxied WFS, edit transactions RBAC-gated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/api/v1/gis/tiles/{z}/{x}/{y}.pbf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Vector tile endpoint, Redis/CDN-cached</w:t>
            </w:r>
          </w:p>
        </w:tc>
      </w:tr>
    </w:tbl>
    <w:p>
      <w:pPr>
        <w:pStyle w:val="BodyText"/>
      </w:pPr>
      <w:r>
        <w:rPr>
          <w:iCs/>
          <w:i/>
        </w:rPr>
        <w:t xml:space="preserve">End of Volume 4. Continued in Volume 5 — Engineering, DevOps &amp; Delivery (Chapters 24–30).</w:t>
      </w:r>
    </w:p>
    <w:bookmarkEnd w:id="51"/>
    <w:bookmarkEnd w:id="5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National District Infrastructure &amp; Services Portal</dc:title>
  <dc:creator>Dr Design — Enterprise Architecture Group</dc:creator>
  <cp:keywords/>
  <dcterms:created xsi:type="dcterms:W3CDTF">2026-07-21T06:36:25Z</dcterms:created>
  <dcterms:modified xsi:type="dcterms:W3CDTF">2026-07-21T06:36:25Z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Low Level Design — Volume 4: Platform Services &amp; API Design (Chapters 19–23)</vt:lpwstr>
  </property>
</Properties>
</file>