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National</w:t>
      </w:r>
      <w:r>
        <w:t xml:space="preserve"> </w:t>
      </w:r>
      <w:r>
        <w:t xml:space="preserve">District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&amp;</w:t>
      </w:r>
      <w:r>
        <w:t xml:space="preserve"> </w:t>
      </w:r>
      <w:r>
        <w:t xml:space="preserve">Services</w:t>
      </w:r>
      <w:r>
        <w:t xml:space="preserve"> </w:t>
      </w:r>
      <w:r>
        <w:t xml:space="preserve">Portal</w:t>
      </w:r>
    </w:p>
    <w:p>
      <w:pPr>
        <w:pStyle w:val="Subtitle"/>
      </w:pPr>
      <w:r>
        <w:t xml:space="preserve">Low</w:t>
      </w:r>
      <w:r>
        <w:t xml:space="preserve"> </w:t>
      </w:r>
      <w:r>
        <w:t xml:space="preserve">Level</w:t>
      </w:r>
      <w:r>
        <w:t xml:space="preserve"> </w:t>
      </w:r>
      <w:r>
        <w:t xml:space="preserve">Design</w:t>
      </w:r>
      <w:r>
        <w:t xml:space="preserve"> </w:t>
      </w:r>
      <w:r>
        <w:t xml:space="preserve">—</w:t>
      </w:r>
      <w:r>
        <w:t xml:space="preserve"> </w:t>
      </w:r>
      <w:r>
        <w:t xml:space="preserve">Volume</w:t>
      </w:r>
      <w:r>
        <w:t xml:space="preserve"> </w:t>
      </w:r>
      <w:r>
        <w:t xml:space="preserve">5:</w:t>
      </w:r>
      <w:r>
        <w:t xml:space="preserve"> </w:t>
      </w:r>
      <w:r>
        <w:t xml:space="preserve">Engineering,</w:t>
      </w:r>
      <w:r>
        <w:t xml:space="preserve"> </w:t>
      </w:r>
      <w:r>
        <w:t xml:space="preserve">DevOps</w:t>
      </w:r>
      <w:r>
        <w:t xml:space="preserve"> </w:t>
      </w:r>
      <w:r>
        <w:t xml:space="preserve">&amp;</w:t>
      </w:r>
      <w:r>
        <w:t xml:space="preserve"> </w:t>
      </w:r>
      <w:r>
        <w:t xml:space="preserve">Delivery</w:t>
      </w:r>
      <w:r>
        <w:t xml:space="preserve"> </w:t>
      </w:r>
      <w:r>
        <w:t xml:space="preserve">(Chapters</w:t>
      </w:r>
      <w:r>
        <w:t xml:space="preserve"> </w:t>
      </w:r>
      <w:r>
        <w:t xml:space="preserve">24–30)</w:t>
      </w:r>
    </w:p>
    <w:p>
      <w:pPr>
        <w:pStyle w:val="Author"/>
      </w:pPr>
      <w:r>
        <w:t xml:space="preserve">Dr</w:t>
      </w:r>
      <w:r>
        <w:t xml:space="preserve"> </w:t>
      </w:r>
      <w:r>
        <w:t xml:space="preserve">Design</w:t>
      </w:r>
      <w:r>
        <w:t xml:space="preserve"> </w:t>
      </w:r>
      <w:r>
        <w:t xml:space="preserve">—</w:t>
      </w:r>
      <w:r>
        <w:t xml:space="preserve"> </w:t>
      </w:r>
      <w:r>
        <w:t xml:space="preserve">Enterprise</w:t>
      </w:r>
      <w:r>
        <w:t xml:space="preserve"> </w:t>
      </w:r>
      <w:r>
        <w:t xml:space="preserve">Architecture</w:t>
      </w:r>
      <w:r>
        <w:t xml:space="preserve"> </w:t>
      </w:r>
      <w:r>
        <w:t xml:space="preserve">Group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frontend-lld"/>
    <w:p>
      <w:pPr>
        <w:pStyle w:val="Heading1"/>
      </w:pPr>
      <w:r>
        <w:t xml:space="preserve">24. Frontend LLD</w:t>
      </w:r>
    </w:p>
    <w:bookmarkStart w:id="20" w:name="folder-structure-per-portal-app-monorepo"/>
    <w:p>
      <w:pPr>
        <w:pStyle w:val="Heading2"/>
      </w:pPr>
      <w:r>
        <w:t xml:space="preserve">24.1 Folder Structure (per portal app, monorepo)</w:t>
      </w:r>
    </w:p>
    <w:p>
      <w:pPr>
        <w:pStyle w:val="SourceCode"/>
      </w:pPr>
      <w:r>
        <w:rPr>
          <w:rStyle w:val="VerbatimChar"/>
        </w:rPr>
        <w:t xml:space="preserve">apps/</w:t>
      </w:r>
      <w:r>
        <w:br/>
      </w:r>
      <w:r>
        <w:rPr>
          <w:rStyle w:val="VerbatimChar"/>
        </w:rPr>
        <w:t xml:space="preserve">  citizen-portal/</w:t>
      </w:r>
      <w:r>
        <w:br/>
      </w:r>
      <w:r>
        <w:rPr>
          <w:rStyle w:val="VerbatimChar"/>
        </w:rPr>
        <w:t xml:space="preserve">  admin-portal/</w:t>
      </w:r>
      <w:r>
        <w:br/>
      </w:r>
      <w:r>
        <w:rPr>
          <w:rStyle w:val="VerbatimChar"/>
        </w:rPr>
        <w:t xml:space="preserve">  linedept-portal/</w:t>
      </w:r>
      <w:r>
        <w:br/>
      </w:r>
      <w:r>
        <w:rPr>
          <w:rStyle w:val="VerbatimChar"/>
        </w:rPr>
        <w:t xml:space="preserve">  mobile-app/</w:t>
      </w:r>
      <w:r>
        <w:br/>
      </w:r>
      <w:r>
        <w:rPr>
          <w:rStyle w:val="VerbatimChar"/>
        </w:rPr>
        <w:t xml:space="preserve">packages/</w:t>
      </w:r>
      <w:r>
        <w:br/>
      </w:r>
      <w:r>
        <w:rPr>
          <w:rStyle w:val="VerbatimChar"/>
        </w:rPr>
        <w:t xml:space="preserve">  ui-components/        (shared Material UI + design tokens)</w:t>
      </w:r>
      <w:r>
        <w:br/>
      </w:r>
      <w:r>
        <w:rPr>
          <w:rStyle w:val="VerbatimChar"/>
        </w:rPr>
        <w:t xml:space="preserve">  map-core/              (MapLibre/OpenLayers wrappers, layer manager)</w:t>
      </w:r>
      <w:r>
        <w:br/>
      </w:r>
      <w:r>
        <w:rPr>
          <w:rStyle w:val="VerbatimChar"/>
        </w:rPr>
        <w:t xml:space="preserve">  api-client/            (typed fetch/React Query hooks generated from OpenAPI)</w:t>
      </w:r>
      <w:r>
        <w:br/>
      </w:r>
      <w:r>
        <w:rPr>
          <w:rStyle w:val="VerbatimChar"/>
        </w:rPr>
        <w:t xml:space="preserve">  i18n/                  (locale bundles, EN/HI)</w:t>
      </w:r>
      <w:r>
        <w:br/>
      </w:r>
      <w:r>
        <w:rPr>
          <w:rStyle w:val="VerbatimChar"/>
        </w:rPr>
        <w:t xml:space="preserve">  utils/</w:t>
      </w:r>
    </w:p>
    <w:p>
      <w:pPr>
        <w:pStyle w:val="FirstParagraph"/>
      </w:pPr>
      <w:r>
        <w:t xml:space="preserve">Each app follows: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modules/{health,water,education,tourism,solar,assets}/</w:t>
      </w:r>
      <w:r>
        <w:br/>
      </w:r>
      <w:r>
        <w:rPr>
          <w:rStyle w:val="VerbatimChar"/>
        </w:rPr>
        <w:t xml:space="preserve">    components/</w:t>
      </w:r>
      <w:r>
        <w:br/>
      </w:r>
      <w:r>
        <w:rPr>
          <w:rStyle w:val="VerbatimChar"/>
        </w:rPr>
        <w:t xml:space="preserve">    hooks/</w:t>
      </w:r>
      <w:r>
        <w:br/>
      </w:r>
      <w:r>
        <w:rPr>
          <w:rStyle w:val="VerbatimChar"/>
        </w:rPr>
        <w:t xml:space="preserve">    pages/</w:t>
      </w:r>
      <w:r>
        <w:br/>
      </w:r>
      <w:r>
        <w:rPr>
          <w:rStyle w:val="VerbatimChar"/>
        </w:rPr>
        <w:t xml:space="preserve">    api.ts</w:t>
      </w:r>
      <w:r>
        <w:br/>
      </w:r>
      <w:r>
        <w:rPr>
          <w:rStyle w:val="VerbatimChar"/>
        </w:rPr>
        <w:t xml:space="preserve">  components/       (app-shell: header, nav, layout)</w:t>
      </w:r>
      <w:r>
        <w:br/>
      </w:r>
      <w:r>
        <w:rPr>
          <w:rStyle w:val="VerbatimChar"/>
        </w:rPr>
        <w:t xml:space="preserve">  pages/            (route-level containers)</w:t>
      </w:r>
      <w:r>
        <w:br/>
      </w:r>
      <w:r>
        <w:rPr>
          <w:rStyle w:val="VerbatimChar"/>
        </w:rPr>
        <w:t xml:space="preserve">  hooks/            (cross-module hooks)</w:t>
      </w:r>
      <w:r>
        <w:br/>
      </w:r>
      <w:r>
        <w:rPr>
          <w:rStyle w:val="VerbatimChar"/>
        </w:rPr>
        <w:t xml:space="preserve">  context/          (AuthContext, MapContext, LocaleContext)</w:t>
      </w:r>
      <w:r>
        <w:br/>
      </w:r>
      <w:r>
        <w:rPr>
          <w:rStyle w:val="VerbatimChar"/>
        </w:rPr>
        <w:t xml:space="preserve">  store/            (Redux Toolkit slices)</w:t>
      </w:r>
      <w:r>
        <w:br/>
      </w:r>
      <w:r>
        <w:rPr>
          <w:rStyle w:val="VerbatimChar"/>
        </w:rPr>
        <w:t xml:space="preserve">  theme/            (MUI theme, Bhuvan-aligned tokens — see Ch. 24.5)</w:t>
      </w:r>
      <w:r>
        <w:br/>
      </w:r>
      <w:r>
        <w:rPr>
          <w:rStyle w:val="VerbatimChar"/>
        </w:rPr>
        <w:t xml:space="preserve">  routes.tsx</w:t>
      </w:r>
    </w:p>
    <w:bookmarkEnd w:id="20"/>
    <w:bookmarkStart w:id="21" w:name="state-management"/>
    <w:p>
      <w:pPr>
        <w:pStyle w:val="Heading2"/>
      </w:pPr>
      <w:r>
        <w:t xml:space="preserve">24.2 State Management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Redux Toolkit</w:t>
      </w:r>
      <w:r>
        <w:t xml:space="preserve">: cross-cutting app state (auth, active district/role scope, notifications).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React Query</w:t>
      </w:r>
      <w:r>
        <w:t xml:space="preserve">: all server-state (facility lists, workflow instances) — cache-first, invalidated on mutation success and on relevant WebSocket/notification events.</w:t>
      </w:r>
    </w:p>
    <w:p>
      <w:pPr>
        <w:numPr>
          <w:ilvl w:val="0"/>
          <w:numId w:val="1001"/>
        </w:numPr>
        <w:pStyle w:val="Compact"/>
      </w:pPr>
      <w:r>
        <w:t xml:space="preserve">Map viewport state kept local to</w:t>
      </w:r>
      <w:r>
        <w:t xml:space="preserve"> </w:t>
      </w:r>
      <w:r>
        <w:rPr>
          <w:rStyle w:val="VerbatimChar"/>
        </w:rPr>
        <w:t xml:space="preserve">MapContext</w:t>
      </w:r>
      <w:r>
        <w:t xml:space="preserve">, not Redux, to avoid re-render storms on pan/zoom.</w:t>
      </w:r>
    </w:p>
    <w:bookmarkEnd w:id="21"/>
    <w:bookmarkStart w:id="22" w:name="component-architecture"/>
    <w:p>
      <w:pPr>
        <w:pStyle w:val="Heading2"/>
      </w:pPr>
      <w:r>
        <w:t xml:space="preserve">24.3 Component Architecture</w:t>
      </w:r>
    </w:p>
    <w:p>
      <w:pPr>
        <w:pStyle w:val="FirstParagraph"/>
      </w:pPr>
      <w:r>
        <w:t xml:space="preserve">Atomic-ish layering:</w:t>
      </w:r>
      <w:r>
        <w:t xml:space="preserve"> </w:t>
      </w:r>
      <w:r>
        <w:rPr>
          <w:rStyle w:val="VerbatimChar"/>
        </w:rPr>
        <w:t xml:space="preserve">ui-components</w:t>
      </w:r>
      <w:r>
        <w:t xml:space="preserve"> </w:t>
      </w:r>
      <w:r>
        <w:t xml:space="preserve">(buttons, cards, form fields — no business logic) → module</w:t>
      </w:r>
      <w:r>
        <w:t xml:space="preserve"> </w:t>
      </w:r>
      <w:r>
        <w:rPr>
          <w:rStyle w:val="VerbatimChar"/>
        </w:rPr>
        <w:t xml:space="preserve">components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FacilityCard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GapScoreLegend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pages</w:t>
      </w:r>
      <w:r>
        <w:t xml:space="preserve"> </w:t>
      </w:r>
      <w:r>
        <w:t xml:space="preserve">(compose components + hooks + routing).</w:t>
      </w:r>
    </w:p>
    <w:bookmarkEnd w:id="22"/>
    <w:bookmarkStart w:id="23" w:name="hooks-data-fetching"/>
    <w:p>
      <w:pPr>
        <w:pStyle w:val="Heading2"/>
      </w:pPr>
      <w:r>
        <w:t xml:space="preserve">24.4 Hooks &amp; Data Fetching</w:t>
      </w:r>
    </w:p>
    <w:p>
      <w:pPr>
        <w:pStyle w:val="FirstParagraph"/>
      </w:pPr>
      <w:r>
        <w:t xml:space="preserve">Generated typed hooks from the OpenAPI spec (Ch. 23) via</w:t>
      </w:r>
      <w:r>
        <w:t xml:space="preserve"> </w:t>
      </w:r>
      <w:r>
        <w:rPr>
          <w:rStyle w:val="VerbatimChar"/>
        </w:rPr>
        <w:t xml:space="preserve">openapi-typescript</w:t>
      </w:r>
      <w:r>
        <w:t xml:space="preserve"> </w:t>
      </w:r>
      <w:r>
        <w:t xml:space="preserve">+ a thin React Query wrapper, e.g. </w:t>
      </w:r>
      <w:r>
        <w:rPr>
          <w:rStyle w:val="VerbatimChar"/>
        </w:rPr>
        <w:t xml:space="preserve">useAssets(filters)</w:t>
      </w:r>
      <w:r>
        <w:t xml:space="preserve">,</w:t>
      </w:r>
      <w:r>
        <w:t xml:space="preserve"> </w:t>
      </w:r>
      <w:r>
        <w:rPr>
          <w:rStyle w:val="VerbatimChar"/>
        </w:rPr>
        <w:t xml:space="preserve">useCreateGrievance()</w:t>
      </w:r>
      <w:r>
        <w:t xml:space="preserve"> </w:t>
      </w:r>
      <w:r>
        <w:t xml:space="preserve">— keeps frontend and backend contract in sync automatically in CI (contract diff check, Ch. 26.3).</w:t>
      </w:r>
    </w:p>
    <w:bookmarkEnd w:id="23"/>
    <w:bookmarkStart w:id="24" w:name="theming-bhuvan-aligned-design-tokens"/>
    <w:p>
      <w:pPr>
        <w:pStyle w:val="Heading2"/>
      </w:pPr>
      <w:r>
        <w:t xml:space="preserve">24.5 Theming — Bhuvan-Aligned Design Tokens</w:t>
      </w:r>
    </w:p>
    <w:p>
      <w:pPr>
        <w:pStyle w:val="FirstParagraph"/>
      </w:pPr>
      <w:r>
        <w:t xml:space="preserve">Per Nalanda Matrix’s explicit reference to Bhuvan’s governance layout, the shared theme package defines: navy/teal primary palette, dense information panels, left sector-navigation rail with quick-stat chips, consistent with government-official UI familiarity rather than a generic consumer-app aesthetic.</w:t>
      </w:r>
    </w:p>
    <w:bookmarkEnd w:id="24"/>
    <w:bookmarkStart w:id="25" w:name="routing"/>
    <w:p>
      <w:pPr>
        <w:pStyle w:val="Heading2"/>
      </w:pPr>
      <w:r>
        <w:t xml:space="preserve">24.6 Routing</w:t>
      </w:r>
    </w:p>
    <w:p>
      <w:pPr>
        <w:pStyle w:val="FirstParagraph"/>
      </w:pPr>
      <w:r>
        <w:t xml:space="preserve">Route-based code splitting per module (</w:t>
      </w:r>
      <w:r>
        <w:rPr>
          <w:rStyle w:val="VerbatimChar"/>
        </w:rPr>
        <w:t xml:space="preserve">React.lazy</w:t>
      </w:r>
      <w:r>
        <w:t xml:space="preserve">); role-aware route guards reading</w:t>
      </w:r>
      <w:r>
        <w:t xml:space="preserve"> </w:t>
      </w:r>
      <w:r>
        <w:rPr>
          <w:rStyle w:val="VerbatimChar"/>
        </w:rPr>
        <w:t xml:space="preserve">AuthContext.permissions</w:t>
      </w:r>
      <w:r>
        <w:t xml:space="preserve"> </w:t>
      </w:r>
      <w:r>
        <w:t xml:space="preserve">to hide/show Admin vs. Line Department vs. Citizen routes even within a shared app shell where applicable (Mobile app serves both Field Engineer and Citizen views).</w:t>
      </w:r>
    </w:p>
    <w:bookmarkEnd w:id="25"/>
    <w:bookmarkEnd w:id="26"/>
    <w:bookmarkStart w:id="34" w:name="backend-lld"/>
    <w:p>
      <w:pPr>
        <w:pStyle w:val="Heading1"/>
      </w:pPr>
      <w:r>
        <w:t xml:space="preserve">25. Backend LLD</w:t>
      </w:r>
    </w:p>
    <w:bookmarkStart w:id="27" w:name="nestjs-folder-structure-per-microservice"/>
    <w:p>
      <w:pPr>
        <w:pStyle w:val="Heading2"/>
      </w:pPr>
      <w:r>
        <w:t xml:space="preserve">25.1 NestJS Folder Structure (per microservice)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main.ts</w:t>
      </w:r>
      <w:r>
        <w:br/>
      </w:r>
      <w:r>
        <w:rPr>
          <w:rStyle w:val="VerbatimChar"/>
        </w:rPr>
        <w:t xml:space="preserve">  app.module.ts</w:t>
      </w:r>
      <w:r>
        <w:br/>
      </w:r>
      <w:r>
        <w:rPr>
          <w:rStyle w:val="VerbatimChar"/>
        </w:rPr>
        <w:t xml:space="preserve">  common/</w:t>
      </w:r>
      <w:r>
        <w:br/>
      </w:r>
      <w:r>
        <w:rPr>
          <w:rStyle w:val="VerbatimChar"/>
        </w:rPr>
        <w:t xml:space="preserve">    filters/          (global exception filter → standard error envelope)</w:t>
      </w:r>
      <w:r>
        <w:br/>
      </w:r>
      <w:r>
        <w:rPr>
          <w:rStyle w:val="VerbatimChar"/>
        </w:rPr>
        <w:t xml:space="preserve">    interceptors/      (logging, audit-publish, response transform)</w:t>
      </w:r>
      <w:r>
        <w:br/>
      </w:r>
      <w:r>
        <w:rPr>
          <w:rStyle w:val="VerbatimChar"/>
        </w:rPr>
        <w:t xml:space="preserve">    guards/             (JwtAuthGuard, RbacGuard, DistrictScopeGuard)</w:t>
      </w:r>
      <w:r>
        <w:br/>
      </w:r>
      <w:r>
        <w:rPr>
          <w:rStyle w:val="VerbatimChar"/>
        </w:rPr>
        <w:t xml:space="preserve">    decorators/         (@CurrentUser, @RequirePermission)</w:t>
      </w:r>
      <w:r>
        <w:br/>
      </w:r>
      <w:r>
        <w:rPr>
          <w:rStyle w:val="VerbatimChar"/>
        </w:rPr>
        <w:t xml:space="preserve">  modules/</w:t>
      </w:r>
      <w:r>
        <w:br/>
      </w:r>
      <w:r>
        <w:rPr>
          <w:rStyle w:val="VerbatimChar"/>
        </w:rPr>
        <w:t xml:space="preserve">    asset/</w:t>
      </w:r>
      <w:r>
        <w:br/>
      </w:r>
      <w:r>
        <w:rPr>
          <w:rStyle w:val="VerbatimChar"/>
        </w:rPr>
        <w:t xml:space="preserve">      asset.controller.ts</w:t>
      </w:r>
      <w:r>
        <w:br/>
      </w:r>
      <w:r>
        <w:rPr>
          <w:rStyle w:val="VerbatimChar"/>
        </w:rPr>
        <w:t xml:space="preserve">      asset.service.ts</w:t>
      </w:r>
      <w:r>
        <w:br/>
      </w:r>
      <w:r>
        <w:rPr>
          <w:rStyle w:val="VerbatimChar"/>
        </w:rPr>
        <w:t xml:space="preserve">      asset.repository.ts</w:t>
      </w:r>
      <w:r>
        <w:br/>
      </w:r>
      <w:r>
        <w:rPr>
          <w:rStyle w:val="VerbatimChar"/>
        </w:rPr>
        <w:t xml:space="preserve">      dto/</w:t>
      </w:r>
      <w:r>
        <w:br/>
      </w:r>
      <w:r>
        <w:rPr>
          <w:rStyle w:val="VerbatimChar"/>
        </w:rPr>
        <w:t xml:space="preserve">        create-asset.dto.ts</w:t>
      </w:r>
      <w:r>
        <w:br/>
      </w:r>
      <w:r>
        <w:rPr>
          <w:rStyle w:val="VerbatimChar"/>
        </w:rPr>
        <w:t xml:space="preserve">        update-asset.dto.ts</w:t>
      </w:r>
      <w:r>
        <w:br/>
      </w:r>
      <w:r>
        <w:rPr>
          <w:rStyle w:val="VerbatimChar"/>
        </w:rPr>
        <w:t xml:space="preserve">      entities/</w:t>
      </w:r>
      <w:r>
        <w:br/>
      </w:r>
      <w:r>
        <w:rPr>
          <w:rStyle w:val="VerbatimChar"/>
        </w:rPr>
        <w:t xml:space="preserve">        asset.entity.ts</w:t>
      </w:r>
      <w:r>
        <w:br/>
      </w:r>
      <w:r>
        <w:rPr>
          <w:rStyle w:val="VerbatimChar"/>
        </w:rPr>
        <w:t xml:space="preserve">      events/</w:t>
      </w:r>
      <w:r>
        <w:br/>
      </w:r>
      <w:r>
        <w:rPr>
          <w:rStyle w:val="VerbatimChar"/>
        </w:rPr>
        <w:t xml:space="preserve">        asset-ingested.event.ts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config/               (env validation via class-validator)</w:t>
      </w:r>
      <w:r>
        <w:br/>
      </w:r>
      <w:r>
        <w:rPr>
          <w:rStyle w:val="VerbatimChar"/>
        </w:rPr>
        <w:t xml:space="preserve">  database/             (TypeORM/Prisma migrations, seed scripts)</w:t>
      </w:r>
    </w:p>
    <w:bookmarkEnd w:id="27"/>
    <w:bookmarkStart w:id="28" w:name="layering-convention"/>
    <w:p>
      <w:pPr>
        <w:pStyle w:val="Heading2"/>
      </w:pPr>
      <w:r>
        <w:t xml:space="preserve">25.2 Layering Convention</w:t>
      </w:r>
    </w:p>
    <w:p>
      <w:pPr>
        <w:pStyle w:val="FirstParagraph"/>
      </w:pPr>
      <w:r>
        <w:rPr>
          <w:rStyle w:val="VerbatimChar"/>
        </w:rPr>
        <w:t xml:space="preserve">Controller</w:t>
      </w:r>
      <w:r>
        <w:t xml:space="preserve"> </w:t>
      </w:r>
      <w:r>
        <w:t xml:space="preserve">(HTTP concerns only) →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(business logic, transactions) →</w:t>
      </w:r>
      <w:r>
        <w:t xml:space="preserve"> </w:t>
      </w:r>
      <w:r>
        <w:rPr>
          <w:rStyle w:val="VerbatimChar"/>
        </w:rPr>
        <w:t xml:space="preserve">Repository</w:t>
      </w:r>
      <w:r>
        <w:t xml:space="preserve"> </w:t>
      </w:r>
      <w:r>
        <w:t xml:space="preserve">(data access, PostGIS-aware query builders) — strict separation so spatial-query complexity stays out of controllers and is unit-testable in isolation.</w:t>
      </w:r>
    </w:p>
    <w:bookmarkEnd w:id="28"/>
    <w:bookmarkStart w:id="29" w:name="dtos-validation"/>
    <w:p>
      <w:pPr>
        <w:pStyle w:val="Heading2"/>
      </w:pPr>
      <w:r>
        <w:t xml:space="preserve">25.3 DTOs &amp; Validation</w:t>
      </w:r>
    </w:p>
    <w:p>
      <w:pPr>
        <w:pStyle w:val="FirstParagraph"/>
      </w:pPr>
      <w:r>
        <w:rPr>
          <w:rStyle w:val="VerbatimChar"/>
        </w:rPr>
        <w:t xml:space="preserve">class-validator</w:t>
      </w:r>
      <w:r>
        <w:t xml:space="preserve"> </w:t>
      </w:r>
      <w:r>
        <w:t xml:space="preserve">decorators on every DTO; a shared</w:t>
      </w:r>
      <w:r>
        <w:t xml:space="preserve"> </w:t>
      </w:r>
      <w:r>
        <w:rPr>
          <w:rStyle w:val="VerbatimChar"/>
        </w:rPr>
        <w:t xml:space="preserve">GeoPointDto</w:t>
      </w:r>
      <w:r>
        <w:t xml:space="preserve">/</w:t>
      </w:r>
      <w:r>
        <w:rPr>
          <w:rStyle w:val="VerbatimChar"/>
        </w:rPr>
        <w:t xml:space="preserve">GeoPolygonDto</w:t>
      </w:r>
      <w:r>
        <w:t xml:space="preserve"> </w:t>
      </w:r>
      <w:r>
        <w:t xml:space="preserve">validates GeoJSON structure and SRID before it reaches the repository layer — prevents malformed geometry from ever reaching PostGIS.</w:t>
      </w:r>
    </w:p>
    <w:bookmarkEnd w:id="29"/>
    <w:bookmarkStart w:id="30" w:name="guards"/>
    <w:p>
      <w:pPr>
        <w:pStyle w:val="Heading2"/>
      </w:pPr>
      <w:r>
        <w:t xml:space="preserve">25.4 Guards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JwtAuthGuard</w:t>
      </w:r>
      <w:r>
        <w:t xml:space="preserve"> </w:t>
      </w:r>
      <w:r>
        <w:t xml:space="preserve">— verifies token signature/expiry.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RbacGuard</w:t>
      </w:r>
      <w:r>
        <w:t xml:space="preserve"> </w:t>
      </w:r>
      <w:r>
        <w:t xml:space="preserve">— checks</w:t>
      </w:r>
      <w:r>
        <w:t xml:space="preserve"> </w:t>
      </w:r>
      <w:r>
        <w:rPr>
          <w:rStyle w:val="VerbatimChar"/>
        </w:rPr>
        <w:t xml:space="preserve">@RequirePermission('asset:write')</w:t>
      </w:r>
      <w:r>
        <w:t xml:space="preserve"> </w:t>
      </w:r>
      <w:r>
        <w:t xml:space="preserve">decorator against JWT</w:t>
      </w:r>
      <w:r>
        <w:t xml:space="preserve"> </w:t>
      </w:r>
      <w:r>
        <w:rPr>
          <w:rStyle w:val="VerbatimChar"/>
        </w:rPr>
        <w:t xml:space="preserve">permissions[]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DistrictScopeGuard</w:t>
      </w:r>
      <w:r>
        <w:t xml:space="preserve"> </w:t>
      </w:r>
      <w:r>
        <w:t xml:space="preserve">— injects a</w:t>
      </w:r>
      <w:r>
        <w:t xml:space="preserve"> </w:t>
      </w:r>
      <w:r>
        <w:rPr>
          <w:rStyle w:val="VerbatimChar"/>
        </w:rPr>
        <w:t xml:space="preserve">WHERE district_id = :scope</w:t>
      </w:r>
      <w:r>
        <w:t xml:space="preserve"> </w:t>
      </w:r>
      <w:r>
        <w:t xml:space="preserve">constraint automatically via request context, backstopping PostgreSQL RLS (defense in depth, Ch. 14.4).</w:t>
      </w:r>
    </w:p>
    <w:bookmarkEnd w:id="30"/>
    <w:bookmarkStart w:id="31" w:name="interceptors-filters"/>
    <w:p>
      <w:pPr>
        <w:pStyle w:val="Heading2"/>
      </w:pPr>
      <w:r>
        <w:t xml:space="preserve">25.5 Interceptors &amp; Filters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AuditInterceptor</w:t>
      </w:r>
      <w:r>
        <w:t xml:space="preserve"> </w:t>
      </w:r>
      <w:r>
        <w:t xml:space="preserve">— after successful mutating requests, publishes</w:t>
      </w:r>
      <w:r>
        <w:t xml:space="preserve"> </w:t>
      </w:r>
      <w:r>
        <w:rPr>
          <w:rStyle w:val="VerbatimChar"/>
        </w:rPr>
        <w:t xml:space="preserve">{entity_type, entity_id, before, after}</w:t>
      </w:r>
      <w:r>
        <w:t xml:space="preserve"> </w:t>
      </w:r>
      <w:r>
        <w:t xml:space="preserve">to RabbitMQ asynchronously (non-blocking).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GlobalExceptionFilter</w:t>
      </w:r>
      <w:r>
        <w:t xml:space="preserve"> </w:t>
      </w:r>
      <w:r>
        <w:t xml:space="preserve">— maps domain exceptions to the standard</w:t>
      </w:r>
      <w:r>
        <w:t xml:space="preserve"> </w:t>
      </w:r>
      <w:r>
        <w:rPr>
          <w:rStyle w:val="VerbatimChar"/>
        </w:rPr>
        <w:t xml:space="preserve">{data, meta, errors}</w:t>
      </w:r>
      <w:r>
        <w:t xml:space="preserve"> </w:t>
      </w:r>
      <w:r>
        <w:t xml:space="preserve">envelope with correct HTTP status +</w:t>
      </w:r>
      <w:r>
        <w:t xml:space="preserve"> </w:t>
      </w:r>
      <w:r>
        <w:rPr>
          <w:rStyle w:val="VerbatimChar"/>
        </w:rPr>
        <w:t xml:space="preserve">error_code</w:t>
      </w:r>
      <w:r>
        <w:t xml:space="preserve">.</w:t>
      </w:r>
    </w:p>
    <w:bookmarkEnd w:id="31"/>
    <w:bookmarkStart w:id="32" w:name="events-queues"/>
    <w:p>
      <w:pPr>
        <w:pStyle w:val="Heading2"/>
      </w:pPr>
      <w:r>
        <w:t xml:space="preserve">25.6 Events &amp; Queues</w:t>
      </w:r>
    </w:p>
    <w:p>
      <w:pPr>
        <w:pStyle w:val="FirstParagraph"/>
      </w:pPr>
      <w:r>
        <w:t xml:space="preserve">RabbitMQ topic exchange</w:t>
      </w:r>
      <w:r>
        <w:t xml:space="preserve"> </w:t>
      </w:r>
      <w:r>
        <w:rPr>
          <w:rStyle w:val="VerbatimChar"/>
        </w:rPr>
        <w:t xml:space="preserve">ndisp.events</w:t>
      </w:r>
      <w:r>
        <w:t xml:space="preserve">; each service declares its own queue bound to relevant routing keys (Ch. 18.2). Dead-letter queues configured per consumer with alerting on DLQ depth &gt; 0.</w:t>
      </w:r>
    </w:p>
    <w:bookmarkEnd w:id="32"/>
    <w:bookmarkStart w:id="33" w:name="geospatial-processing-toolchain"/>
    <w:p>
      <w:pPr>
        <w:pStyle w:val="Heading2"/>
      </w:pPr>
      <w:r>
        <w:t xml:space="preserve">25.7 Geospatial Processing Toolchain</w:t>
      </w:r>
    </w:p>
    <w:p>
      <w:pPr>
        <w:pStyle w:val="FirstParagraph"/>
      </w:pPr>
      <w:r>
        <w:t xml:space="preserve">Extends the approved stack (LLD Vol 1, technology stack) with the specific libraries</w:t>
      </w:r>
      <w:r>
        <w:t xml:space="preserve"> </w:t>
      </w:r>
      <w:r>
        <w:rPr>
          <w:rStyle w:val="VerbatimChar"/>
        </w:rPr>
        <w:t xml:space="preserve">svc-gis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svc-analytics</w:t>
      </w:r>
      <w:r>
        <w:t xml:space="preserve"> </w:t>
      </w:r>
      <w:r>
        <w:t xml:space="preserve">use internally — no new services, only toolchain additions inside existing service boundaries: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Raster/vector format translation, reprojection, COG generation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svc-gis</w:t>
            </w:r>
            <w:r>
              <w:t xml:space="preserve"> </w:t>
            </w:r>
            <w:r>
              <w:t xml:space="preserve">ingestion of DEM/LULC/satellite imagery (LLD Vol 2, §12.11)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data translation (Shapefile/GeoJSON/CSV-with-coordinates → PostGIS)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svc-asset</w:t>
            </w:r>
            <w:r>
              <w:t xml:space="preserve"> </w:t>
            </w:r>
            <w:r>
              <w:t xml:space="preserve">CSV ingestion pipeline (Ch. 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 reference system transformation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svc-gis</w:t>
            </w:r>
            <w:r>
              <w:t xml:space="preserve">, applied wherever source data arrives in a non-4326 CRS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analysis (travel-time, route optimization)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svc-analytics</w:t>
            </w:r>
            <w:r>
              <w:t xml:space="preserve"> </w:t>
            </w:r>
            <w:r>
              <w:t xml:space="preserve">— Health emergency reachability, Education catchment, Tourism route optimization (LLD Vol 3, Ch. 17.6)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Turf.js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 client-side spatial operations (point-in-polygon, distance)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apps — instant UI feedback before a server round-trip (e.g., map-draw validation)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Cloud-Optimized GeoTIFF (COG)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Raster storage format enabling partial/streamed 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 raster storage for all</w:t>
            </w:r>
            <w:r>
              <w:t xml:space="preserve"> </w:t>
            </w:r>
            <w:r>
              <w:rPr>
                <w:rStyle w:val="VerbatimChar"/>
              </w:rPr>
              <w:t xml:space="preserve">gis_*</w:t>
            </w:r>
            <w:r>
              <w:t xml:space="preserve"> </w:t>
            </w:r>
            <w:r>
              <w:t xml:space="preserve">raster tables (LLD Vol 2, §12.11)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Vector Tiles (</w:t>
            </w:r>
            <w:r>
              <w:rPr>
                <w:rStyle w:val="VerbatimChar"/>
              </w:rPr>
              <w:t xml:space="preserve">ST_AsMVT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Pre-generated/on-demand vector tile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svc-gis</w:t>
            </w:r>
            <w:r>
              <w:t xml:space="preserve"> </w:t>
            </w:r>
            <w:r>
              <w:t xml:space="preserve">tile endpoint (LLD Vol 4, §23.4)</w:t>
            </w:r>
          </w:p>
        </w:tc>
      </w:tr>
    </w:tbl>
    <w:p>
      <w:pPr>
        <w:pStyle w:val="BodyText"/>
      </w:pPr>
      <w:r>
        <w:t xml:space="preserve">This toolchain runs inside the existing</w:t>
      </w:r>
      <w:r>
        <w:t xml:space="preserve"> </w:t>
      </w:r>
      <w:r>
        <w:rPr>
          <w:rStyle w:val="VerbatimChar"/>
        </w:rPr>
        <w:t xml:space="preserve">svc-gis</w:t>
      </w:r>
      <w:r>
        <w:t xml:space="preserve">/</w:t>
      </w:r>
      <w:r>
        <w:rPr>
          <w:rStyle w:val="VerbatimChar"/>
        </w:rPr>
        <w:t xml:space="preserve">svc-analytics</w:t>
      </w:r>
      <w:r>
        <w:t xml:space="preserve"> </w:t>
      </w:r>
      <w:r>
        <w:t xml:space="preserve">NestJS services (invoked via child-process bindings or a dedicated GDAL-enabled sidecar container where native binaries are required) — it does not introduce a new microservice.</w:t>
      </w:r>
    </w:p>
    <w:bookmarkEnd w:id="33"/>
    <w:bookmarkEnd w:id="34"/>
    <w:bookmarkStart w:id="41" w:name="devops"/>
    <w:p>
      <w:pPr>
        <w:pStyle w:val="Heading1"/>
      </w:pPr>
      <w:r>
        <w:t xml:space="preserve">26. DevOps</w:t>
      </w:r>
    </w:p>
    <w:bookmarkStart w:id="35" w:name="containerization"/>
    <w:p>
      <w:pPr>
        <w:pStyle w:val="Heading2"/>
      </w:pPr>
      <w:r>
        <w:t xml:space="preserve">26.1 Containerization</w:t>
      </w:r>
    </w:p>
    <w:p>
      <w:pPr>
        <w:pStyle w:val="FirstParagraph"/>
      </w:pPr>
      <w:r>
        <w:t xml:space="preserve">Multi-stage Dockerfiles per service (build stage with full toolchain, runtime stage on</w:t>
      </w:r>
      <w:r>
        <w:t xml:space="preserve"> </w:t>
      </w:r>
      <w:r>
        <w:rPr>
          <w:rStyle w:val="VerbatimChar"/>
        </w:rPr>
        <w:t xml:space="preserve">node:20-alpine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postgis/postgis</w:t>
      </w:r>
      <w:r>
        <w:t xml:space="preserve"> </w:t>
      </w:r>
      <w:r>
        <w:t xml:space="preserve">base images); image size budget enforced in CI (&lt; 200MB per Node service).</w:t>
      </w:r>
    </w:p>
    <w:bookmarkEnd w:id="35"/>
    <w:bookmarkStart w:id="36" w:name="kubernetes"/>
    <w:p>
      <w:pPr>
        <w:pStyle w:val="Heading2"/>
      </w:pPr>
      <w:r>
        <w:t xml:space="preserve">26.2 Kubernetes</w:t>
      </w:r>
    </w:p>
    <w:p>
      <w:pPr>
        <w:pStyle w:val="FirstParagraph"/>
      </w:pPr>
      <w:r>
        <w:t xml:space="preserve">Namespace-per-environment (</w:t>
      </w:r>
      <w:r>
        <w:rPr>
          <w:rStyle w:val="VerbatimChar"/>
        </w:rPr>
        <w:t xml:space="preserve">ndisp-dev</w:t>
      </w:r>
      <w:r>
        <w:t xml:space="preserve">,</w:t>
      </w:r>
      <w:r>
        <w:t xml:space="preserve"> </w:t>
      </w:r>
      <w:r>
        <w:rPr>
          <w:rStyle w:val="VerbatimChar"/>
        </w:rPr>
        <w:t xml:space="preserve">ndisp-staging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ndisp-prod</w:t>
      </w:r>
      <w:r>
        <w:t xml:space="preserve">); Helm charts parameterized per service; HPA on CPU + custom metrics (RabbitMQ queue depth for</w:t>
      </w:r>
      <w:r>
        <w:t xml:space="preserve"> </w:t>
      </w:r>
      <w:r>
        <w:rPr>
          <w:rStyle w:val="VerbatimChar"/>
        </w:rPr>
        <w:t xml:space="preserve">svc-analytics</w:t>
      </w:r>
      <w:r>
        <w:t xml:space="preserve">,</w:t>
      </w:r>
      <w:r>
        <w:t xml:space="preserve"> </w:t>
      </w:r>
      <w:r>
        <w:rPr>
          <w:rStyle w:val="VerbatimChar"/>
        </w:rPr>
        <w:t xml:space="preserve">svc-notification</w:t>
      </w:r>
      <w:r>
        <w:t xml:space="preserve">); PodDisruptionBudgets to preserve availability during node maintenance.</w:t>
      </w:r>
    </w:p>
    <w:bookmarkEnd w:id="36"/>
    <w:bookmarkStart w:id="37" w:name="cicd-github-actions"/>
    <w:p>
      <w:pPr>
        <w:pStyle w:val="Heading2"/>
      </w:pPr>
      <w:r>
        <w:t xml:space="preserve">26.3 CI/CD (GitHub Actions)</w:t>
      </w:r>
    </w:p>
    <w:p>
      <w:pPr>
        <w:pStyle w:val="SourceCode"/>
      </w:pPr>
      <w:r>
        <w:rPr>
          <w:rStyle w:val="VerbatimChar"/>
        </w:rPr>
        <w:t xml:space="preserve">on: push/PR</w:t>
      </w:r>
      <w:r>
        <w:br/>
      </w:r>
      <w:r>
        <w:rPr>
          <w:rStyle w:val="VerbatimChar"/>
        </w:rPr>
        <w:t xml:space="preserve">  ├── lint + typecheck</w:t>
      </w:r>
      <w:r>
        <w:br/>
      </w:r>
      <w:r>
        <w:rPr>
          <w:rStyle w:val="VerbatimChar"/>
        </w:rPr>
        <w:t xml:space="preserve">  ├── unit tests (per service, parallel matrix)</w:t>
      </w:r>
      <w:r>
        <w:br/>
      </w:r>
      <w:r>
        <w:rPr>
          <w:rStyle w:val="VerbatimChar"/>
        </w:rPr>
        <w:t xml:space="preserve">  ├── OpenAPI contract diff check (fails build on breaking change without version bump)</w:t>
      </w:r>
      <w:r>
        <w:br/>
      </w:r>
      <w:r>
        <w:rPr>
          <w:rStyle w:val="VerbatimChar"/>
        </w:rPr>
        <w:t xml:space="preserve">  ├── build + scan container image (Trivy)</w:t>
      </w:r>
      <w:r>
        <w:br/>
      </w:r>
      <w:r>
        <w:rPr>
          <w:rStyle w:val="VerbatimChar"/>
        </w:rPr>
        <w:t xml:space="preserve">  ├── integration tests (docker-compose: postgis, redis, rabbitmq, opensearch)</w:t>
      </w:r>
      <w:r>
        <w:br/>
      </w:r>
      <w:r>
        <w:rPr>
          <w:rStyle w:val="VerbatimChar"/>
        </w:rPr>
        <w:t xml:space="preserve">  ├── [main branch] push image to registry, tag = git SHA</w:t>
      </w:r>
      <w:r>
        <w:br/>
      </w:r>
      <w:r>
        <w:rPr>
          <w:rStyle w:val="VerbatimChar"/>
        </w:rPr>
        <w:t xml:space="preserve">  └── [tag release] Helm upgrade → staging → manual approval gate → production</w:t>
      </w:r>
    </w:p>
    <w:bookmarkEnd w:id="37"/>
    <w:bookmarkStart w:id="38" w:name="backup-disaster-recovery"/>
    <w:p>
      <w:pPr>
        <w:pStyle w:val="Heading2"/>
      </w:pPr>
      <w:r>
        <w:t xml:space="preserve">26.4 Backup &amp; Disaster Recovery</w:t>
      </w:r>
    </w:p>
    <w:p>
      <w:pPr>
        <w:numPr>
          <w:ilvl w:val="0"/>
          <w:numId w:val="1004"/>
        </w:numPr>
        <w:pStyle w:val="Compact"/>
      </w:pPr>
      <w:r>
        <w:t xml:space="preserve">PostgreSQL: continuous WAL archiving to MinIO/object storage + nightly base backup (pgBackRest); PITR capability.</w:t>
      </w:r>
    </w:p>
    <w:p>
      <w:pPr>
        <w:numPr>
          <w:ilvl w:val="0"/>
          <w:numId w:val="1004"/>
        </w:numPr>
        <w:pStyle w:val="Compact"/>
      </w:pPr>
      <w:r>
        <w:t xml:space="preserve">MinIO: erasure-coded 4-node cluster (survives 2 node loss); cross-region replication for national rollout.</w:t>
      </w:r>
    </w:p>
    <w:p>
      <w:pPr>
        <w:numPr>
          <w:ilvl w:val="0"/>
          <w:numId w:val="1004"/>
        </w:numPr>
        <w:pStyle w:val="Compact"/>
      </w:pPr>
      <w:r>
        <w:t xml:space="preserve">RPO ≤ 15 min, RTO ≤ 4h (per NFR, Ch. 5) validated via quarterly DR drills (restore-to-staging exercise).</w:t>
      </w:r>
    </w:p>
    <w:bookmarkEnd w:id="38"/>
    <w:bookmarkStart w:id="39" w:name="high-availability"/>
    <w:p>
      <w:pPr>
        <w:pStyle w:val="Heading2"/>
      </w:pPr>
      <w:r>
        <w:t xml:space="preserve">26.5 High Availability</w:t>
      </w:r>
    </w:p>
    <w:p>
      <w:pPr>
        <w:numPr>
          <w:ilvl w:val="0"/>
          <w:numId w:val="1005"/>
        </w:numPr>
        <w:pStyle w:val="Compact"/>
      </w:pPr>
      <w:r>
        <w:t xml:space="preserve">PostgreSQL: Patroni-managed primary + 2 sync/async replicas, automatic failover.</w:t>
      </w:r>
    </w:p>
    <w:p>
      <w:pPr>
        <w:numPr>
          <w:ilvl w:val="0"/>
          <w:numId w:val="1005"/>
        </w:numPr>
        <w:pStyle w:val="Compact"/>
      </w:pPr>
      <w:r>
        <w:t xml:space="preserve">Redis: Sentinel, 3-node.</w:t>
      </w:r>
    </w:p>
    <w:p>
      <w:pPr>
        <w:numPr>
          <w:ilvl w:val="0"/>
          <w:numId w:val="1005"/>
        </w:numPr>
        <w:pStyle w:val="Compact"/>
      </w:pPr>
      <w:r>
        <w:t xml:space="preserve">OpenSearch/RabbitMQ: 3-node clusters, quorum-based.</w:t>
      </w:r>
    </w:p>
    <w:p>
      <w:pPr>
        <w:numPr>
          <w:ilvl w:val="0"/>
          <w:numId w:val="1005"/>
        </w:numPr>
        <w:pStyle w:val="Compact"/>
      </w:pPr>
      <w:r>
        <w:t xml:space="preserve">Stateless services: min 2 replicas always, anti-affinity across nodes/AZs.</w:t>
      </w:r>
    </w:p>
    <w:bookmarkEnd w:id="39"/>
    <w:bookmarkStart w:id="40" w:name="horizontal-scaling-strategy"/>
    <w:p>
      <w:pPr>
        <w:pStyle w:val="Heading2"/>
      </w:pPr>
      <w:r>
        <w:t xml:space="preserve">26.6 Horizontal Scaling Strategy</w:t>
      </w:r>
    </w:p>
    <w:p>
      <w:pPr>
        <w:pStyle w:val="FirstParagraph"/>
      </w:pPr>
      <w:r>
        <w:t xml:space="preserve">Stateless services scale via HPA; PostGIS scales read traffic via replicas (analytics/reporting read from replica, transactional writes to primary); GeoServer scales horizontally behind an internal LB with shared tile cache in Redis to avoid cache-fragmentation across instances.</w:t>
      </w:r>
    </w:p>
    <w:bookmarkEnd w:id="40"/>
    <w:bookmarkEnd w:id="41"/>
    <w:bookmarkStart w:id="49" w:name="security"/>
    <w:p>
      <w:pPr>
        <w:pStyle w:val="Heading1"/>
      </w:pPr>
      <w:r>
        <w:t xml:space="preserve">27. Security</w:t>
      </w:r>
    </w:p>
    <w:bookmarkStart w:id="42" w:name="owasp-alignment"/>
    <w:p>
      <w:pPr>
        <w:pStyle w:val="Heading2"/>
      </w:pPr>
      <w:r>
        <w:t xml:space="preserve">27.1 OWASP Alignment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bCs/>
          <w:b/>
        </w:rPr>
        <w:t xml:space="preserve">OWASP ASVS Level 2</w:t>
      </w:r>
      <w:r>
        <w:t xml:space="preserve">. Key controls: input validation at DTO layer (Ch. 25.3), parameterized queries only (TypeORM/Prisma — no raw string concatenation for spatial queries), output encoding in frontend to prevent XSS, CSRF tokens for state-changing form submissions where cookie-based auth is used (mobile/SPA primarily use bearer tokens, lower CSRF surface).</w:t>
      </w:r>
    </w:p>
    <w:bookmarkEnd w:id="42"/>
    <w:bookmarkStart w:id="43" w:name="encryption"/>
    <w:p>
      <w:pPr>
        <w:pStyle w:val="Heading2"/>
      </w:pPr>
      <w:r>
        <w:t xml:space="preserve">27.2 Encryption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At rest</w:t>
      </w:r>
      <w:r>
        <w:t xml:space="preserve">: AES-256 for PostgreSQL (transparent disk encryption at the K8s storage-class level), MinIO server-side encryption (SSE-S3 equivalent).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 transit</w:t>
      </w:r>
      <w:r>
        <w:t xml:space="preserve">: TLS 1.2+ everywhere, internal service mesh mTLS (Phase 2 — Istio/Linkerd evaluation; pilot uses NGINX-terminated TLS + K8s NetworkPolicy isolation as a lighter-weight interim control).</w:t>
      </w:r>
    </w:p>
    <w:bookmarkEnd w:id="43"/>
    <w:bookmarkStart w:id="44" w:name="secrets-management"/>
    <w:p>
      <w:pPr>
        <w:pStyle w:val="Heading2"/>
      </w:pPr>
      <w:r>
        <w:t xml:space="preserve">27.3 Secrets Management</w:t>
      </w:r>
    </w:p>
    <w:p>
      <w:pPr>
        <w:pStyle w:val="FirstParagraph"/>
      </w:pPr>
      <w:r>
        <w:t xml:space="preserve">Kubernetes Secrets backed by an external secrets operator syncing from a vault (HashiCorp Vault or cloud KMS — exact provider an open decision pending client’s existing NIC infrastructure; assumption A-SEC-1). No secrets in source control or container images.</w:t>
      </w:r>
    </w:p>
    <w:bookmarkEnd w:id="44"/>
    <w:bookmarkStart w:id="45" w:name="audit-trail"/>
    <w:p>
      <w:pPr>
        <w:pStyle w:val="Heading2"/>
      </w:pPr>
      <w:r>
        <w:t xml:space="preserve">27.4 Audit Trail</w:t>
      </w:r>
    </w:p>
    <w:p>
      <w:pPr>
        <w:pStyle w:val="FirstParagraph"/>
      </w:pPr>
      <w:r>
        <w:t xml:space="preserve">Per Ch. 12.8 / Ch. 14.5 — every privileged action logged immutably;</w:t>
      </w:r>
      <w:r>
        <w:t xml:space="preserve"> </w:t>
      </w:r>
      <w:r>
        <w:rPr>
          <w:rStyle w:val="VerbatimChar"/>
        </w:rPr>
        <w:t xml:space="preserve">aud_event_log</w:t>
      </w:r>
      <w:r>
        <w:t xml:space="preserve"> </w:t>
      </w:r>
      <w:r>
        <w:t xml:space="preserve">write-once enforced via a database trigger rejecting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on the table (application-level protection backstopped by DB-level).</w:t>
      </w:r>
    </w:p>
    <w:bookmarkEnd w:id="45"/>
    <w:bookmarkStart w:id="46" w:name="rbac"/>
    <w:p>
      <w:pPr>
        <w:pStyle w:val="Heading2"/>
      </w:pPr>
      <w:r>
        <w:t xml:space="preserve">27.5 RBAC</w:t>
      </w:r>
    </w:p>
    <w:p>
      <w:pPr>
        <w:pStyle w:val="FirstParagraph"/>
      </w:pPr>
      <w:r>
        <w:t xml:space="preserve">Full design in Ch. 14; re-affirmed here as a security control, not just a UX feature — RLS + gateway + service-layer enforcement (three-layer defense in depth).</w:t>
      </w:r>
    </w:p>
    <w:bookmarkEnd w:id="46"/>
    <w:bookmarkStart w:id="47" w:name="input-validation"/>
    <w:p>
      <w:pPr>
        <w:pStyle w:val="Heading2"/>
      </w:pPr>
      <w:r>
        <w:t xml:space="preserve">27.6 Input Validation</w:t>
      </w:r>
    </w:p>
    <w:p>
      <w:pPr>
        <w:pStyle w:val="FirstParagraph"/>
      </w:pPr>
      <w:r>
        <w:t xml:space="preserve">All spatial input (GeoJSON from CSV geocoding or map-drawing tools) validated for: valid SRID, ring closure/self-intersection (</w:t>
      </w:r>
      <w:r>
        <w:rPr>
          <w:rStyle w:val="VerbatimChar"/>
        </w:rPr>
        <w:t xml:space="preserve">ST_IsValid</w:t>
      </w:r>
      <w:r>
        <w:t xml:space="preserve">), coordinate bounds within India’s geographic envelope (sanity check against obviously erroneous geocodes).</w:t>
      </w:r>
    </w:p>
    <w:bookmarkEnd w:id="47"/>
    <w:bookmarkStart w:id="48" w:name="rate-limiting"/>
    <w:p>
      <w:pPr>
        <w:pStyle w:val="Heading2"/>
      </w:pPr>
      <w:r>
        <w:t xml:space="preserve">27.7 Rate Limiting</w:t>
      </w:r>
    </w:p>
    <w:p>
      <w:pPr>
        <w:pStyle w:val="FirstParagraph"/>
      </w:pPr>
      <w:r>
        <w:t xml:space="preserve">Per Ch. 23.3, enforced at API Gateway with Redis-backed sliding-window counters; abuse patterns (e.g., scraping the citizen search API) trigger temporary IP-level throttling.</w:t>
      </w:r>
    </w:p>
    <w:bookmarkEnd w:id="48"/>
    <w:bookmarkEnd w:id="49"/>
    <w:bookmarkStart w:id="56" w:name="performance"/>
    <w:p>
      <w:pPr>
        <w:pStyle w:val="Heading1"/>
      </w:pPr>
      <w:r>
        <w:t xml:space="preserve">28. Performance</w:t>
      </w:r>
    </w:p>
    <w:bookmarkStart w:id="50" w:name="caching-strategy"/>
    <w:p>
      <w:pPr>
        <w:pStyle w:val="Heading2"/>
      </w:pPr>
      <w:r>
        <w:t xml:space="preserve">28.1 Caching Strategy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Gateway response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30–120s (GET, non-personalized routes)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Vector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+ 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 (dynamic layers), 24h (static admin boundaries)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 gap-scores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Materialized view, recomputed nightly + on-demand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next recompute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 data (state/district/dept lists)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Redis, in-app memory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1h, invalidated on admin edit</w:t>
            </w:r>
          </w:p>
        </w:tc>
      </w:tr>
    </w:tbl>
    <w:bookmarkEnd w:id="50"/>
    <w:bookmarkStart w:id="51" w:name="cdn"/>
    <w:p>
      <w:pPr>
        <w:pStyle w:val="Heading2"/>
      </w:pPr>
      <w:r>
        <w:t xml:space="preserve">28.2 CDN</w:t>
      </w:r>
    </w:p>
    <w:p>
      <w:pPr>
        <w:pStyle w:val="FirstParagraph"/>
      </w:pPr>
      <w:r>
        <w:t xml:space="preserve">Static frontend assets + cached WMTS base tiles served via CDN; origin shield in front of GeoServer to absorb traffic spikes during high-visibility events (e.g., a public announcement driving citizen portal traffic).</w:t>
      </w:r>
    </w:p>
    <w:bookmarkEnd w:id="51"/>
    <w:bookmarkStart w:id="52" w:name="lazy-loading"/>
    <w:p>
      <w:pPr>
        <w:pStyle w:val="Heading2"/>
      </w:pPr>
      <w:r>
        <w:t xml:space="preserve">28.3 Lazy Loading</w:t>
      </w:r>
    </w:p>
    <w:p>
      <w:pPr>
        <w:pStyle w:val="FirstParagraph"/>
      </w:pPr>
      <w:r>
        <w:t xml:space="preserve">Frontend route-level code splitting (Ch. 24.6); map layers loaded on-demand as toggled by the user rather than all layers fetched on initial load.</w:t>
      </w:r>
    </w:p>
    <w:bookmarkEnd w:id="52"/>
    <w:bookmarkStart w:id="53" w:name="spatial-index-optimization"/>
    <w:p>
      <w:pPr>
        <w:pStyle w:val="Heading2"/>
      </w:pPr>
      <w:r>
        <w:t xml:space="preserve">28.4 Spatial Index Optimization</w:t>
      </w:r>
    </w:p>
    <w:p>
      <w:pPr>
        <w:pStyle w:val="FirstParagraph"/>
      </w:pPr>
      <w:r>
        <w:t xml:space="preserve">GiST indexes maintained via</w:t>
      </w:r>
      <w:r>
        <w:t xml:space="preserve"> </w:t>
      </w:r>
      <w:r>
        <w:rPr>
          <w:rStyle w:val="VerbatimChar"/>
        </w:rPr>
        <w:t xml:space="preserve">autovacuum</w:t>
      </w:r>
      <w:r>
        <w:t xml:space="preserve"> </w:t>
      </w:r>
      <w:r>
        <w:t xml:space="preserve">tuning on high-write geometry tables; periodic</w:t>
      </w:r>
      <w:r>
        <w:t xml:space="preserve"> </w:t>
      </w:r>
      <w:r>
        <w:rPr>
          <w:rStyle w:val="VerbatimChar"/>
        </w:rPr>
        <w:t xml:space="preserve">REINDEX CONCURRENTLY</w:t>
      </w:r>
      <w:r>
        <w:t xml:space="preserve"> </w:t>
      </w:r>
      <w:r>
        <w:t xml:space="preserve">scheduled during low-traffic windows for the largest tables (</w:t>
      </w:r>
      <w:r>
        <w:rPr>
          <w:rStyle w:val="VerbatimChar"/>
        </w:rPr>
        <w:t xml:space="preserve">ast_facility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anl_gap_score</w:t>
      </w:r>
      <w:r>
        <w:t xml:space="preserve">) at national scale.</w:t>
      </w:r>
    </w:p>
    <w:bookmarkEnd w:id="53"/>
    <w:bookmarkStart w:id="54" w:name="database-optimization"/>
    <w:p>
      <w:pPr>
        <w:pStyle w:val="Heading2"/>
      </w:pPr>
      <w:r>
        <w:t xml:space="preserve">28.5 Database Optimization</w:t>
      </w:r>
    </w:p>
    <w:p>
      <w:pPr>
        <w:pStyle w:val="FirstParagraph"/>
      </w:pPr>
      <w:r>
        <w:t xml:space="preserve">Connection pooling via PgBouncer (transaction mode) in front of PostgreSQL to support the fan-out of 20+ microservice instances without exhausting</w:t>
      </w:r>
      <w:r>
        <w:t xml:space="preserve"> </w:t>
      </w:r>
      <w:r>
        <w:rPr>
          <w:rStyle w:val="VerbatimChar"/>
        </w:rPr>
        <w:t xml:space="preserve">max_connections</w:t>
      </w:r>
      <w:r>
        <w:t xml:space="preserve">; read replicas dedicated to reporting/analytics workloads to isolate heavy queries from the transactional path.</w:t>
      </w:r>
    </w:p>
    <w:bookmarkEnd w:id="54"/>
    <w:bookmarkStart w:id="55" w:name="vector-tiles"/>
    <w:p>
      <w:pPr>
        <w:pStyle w:val="Heading2"/>
      </w:pPr>
      <w:r>
        <w:t xml:space="preserve">28.6 Vector Tiles</w:t>
      </w:r>
    </w:p>
    <w:p>
      <w:pPr>
        <w:pStyle w:val="FirstParagraph"/>
      </w:pPr>
      <w:r>
        <w:t xml:space="preserve">Pre-generated</w:t>
      </w:r>
      <w:r>
        <w:t xml:space="preserve"> </w:t>
      </w:r>
      <w:r>
        <w:rPr>
          <w:rStyle w:val="VerbatimChar"/>
        </w:rPr>
        <w:t xml:space="preserve">ST_AsMVT</w:t>
      </w:r>
      <w:r>
        <w:t xml:space="preserve"> </w:t>
      </w:r>
      <w:r>
        <w:t xml:space="preserve">tiles for static/slow-changing layers (administrative boundaries); on-the-fly MVT generation with Redis caching for dynamic layers (facility points, gap scores) — balances freshness against compute cost.</w:t>
      </w:r>
    </w:p>
    <w:bookmarkEnd w:id="55"/>
    <w:bookmarkEnd w:id="56"/>
    <w:bookmarkStart w:id="63" w:name="testing-strategy"/>
    <w:p>
      <w:pPr>
        <w:pStyle w:val="Heading1"/>
      </w:pPr>
      <w:r>
        <w:t xml:space="preserve">29. Testing Strategy</w:t>
      </w:r>
    </w:p>
    <w:bookmarkStart w:id="57" w:name="unit-testing"/>
    <w:p>
      <w:pPr>
        <w:pStyle w:val="Heading2"/>
      </w:pPr>
      <w:r>
        <w:t xml:space="preserve">29.1 Unit Testing</w:t>
      </w:r>
    </w:p>
    <w:p>
      <w:pPr>
        <w:pStyle w:val="FirstParagraph"/>
      </w:pPr>
      <w:r>
        <w:t xml:space="preserve">Jest (backend NestJS services, frontend React components/hooks); target ≥ 80% coverage on business-logic layers (services, not controllers/DTOs which are thin).</w:t>
      </w:r>
    </w:p>
    <w:bookmarkEnd w:id="57"/>
    <w:bookmarkStart w:id="58" w:name="integration-testing"/>
    <w:p>
      <w:pPr>
        <w:pStyle w:val="Heading2"/>
      </w:pPr>
      <w:r>
        <w:t xml:space="preserve">29.2 Integration Testing</w:t>
      </w:r>
    </w:p>
    <w:p>
      <w:pPr>
        <w:pStyle w:val="FirstParagraph"/>
      </w:pPr>
      <w:r>
        <w:rPr>
          <w:rStyle w:val="VerbatimChar"/>
        </w:rPr>
        <w:t xml:space="preserve">docker-compose</w:t>
      </w:r>
      <w:r>
        <w:t xml:space="preserve">-based environment spinning up real PostGIS/Redis/RabbitMQ/OpenSearch per CI run (Ch. 26.3); tests exercise actual spatial queries rather than mocking PostGIS (spatial query correctness cannot be meaningfully unit-tested against a mock).</w:t>
      </w:r>
    </w:p>
    <w:bookmarkEnd w:id="58"/>
    <w:bookmarkStart w:id="59" w:name="gis-testing"/>
    <w:p>
      <w:pPr>
        <w:pStyle w:val="Heading2"/>
      </w:pPr>
      <w:r>
        <w:t xml:space="preserve">29.3 GIS Testing</w:t>
      </w:r>
    </w:p>
    <w:p>
      <w:pPr>
        <w:pStyle w:val="FirstParagraph"/>
      </w:pPr>
      <w:r>
        <w:t xml:space="preserve">Dedicated test suite validating: geometry validity after ingestion, deficit-score calculation correctness against known fixture datasets (hand-computed expected gap scores for a small synthetic district), WMS/WFS proxy scoping (a Line Department user cannot fetch another district’s features via crafted CQL).</w:t>
      </w:r>
    </w:p>
    <w:bookmarkEnd w:id="59"/>
    <w:bookmarkStart w:id="60" w:name="performance-testing"/>
    <w:p>
      <w:pPr>
        <w:pStyle w:val="Heading2"/>
      </w:pPr>
      <w:r>
        <w:t xml:space="preserve">29.4 Performance Testing</w:t>
      </w:r>
    </w:p>
    <w:p>
      <w:pPr>
        <w:pStyle w:val="FirstParagraph"/>
      </w:pPr>
      <w:r>
        <w:t xml:space="preserve">k6/Gatling load tests against NFR targets (Ch. 5): spatial query p95 under simulated national-scale data volume (100M+ points) run pre-Phase-3 as a scale gate, not just pilot-scale data.</w:t>
      </w:r>
    </w:p>
    <w:bookmarkEnd w:id="60"/>
    <w:bookmarkStart w:id="61" w:name="security-testing"/>
    <w:p>
      <w:pPr>
        <w:pStyle w:val="Heading2"/>
      </w:pPr>
      <w:r>
        <w:t xml:space="preserve">29.5 Security Testing</w:t>
      </w:r>
    </w:p>
    <w:p>
      <w:pPr>
        <w:pStyle w:val="FirstParagraph"/>
      </w:pPr>
      <w:r>
        <w:t xml:space="preserve">OWASP ZAP automated scan in CI; annual third-party penetration test recommended before national rollout (assumption — government security certification process not detailed in source documents, flagged for client confirmation).</w:t>
      </w:r>
    </w:p>
    <w:bookmarkEnd w:id="61"/>
    <w:bookmarkStart w:id="62" w:name="uat"/>
    <w:p>
      <w:pPr>
        <w:pStyle w:val="Heading2"/>
      </w:pPr>
      <w:r>
        <w:t xml:space="preserve">29.6 UAT</w:t>
      </w:r>
    </w:p>
    <w:p>
      <w:pPr>
        <w:pStyle w:val="FirstParagraph"/>
      </w:pPr>
      <w:r>
        <w:t xml:space="preserve">Structured UAT with actual District Collector/DM office and named data custodians (Civil Surgeon Office, PHED Division, DEO, Tourism Office, BREDA per Nalanda Matrix) as per-department sign-off owners before Phase 0 → Phase 1 promotion.</w:t>
      </w:r>
    </w:p>
    <w:bookmarkEnd w:id="62"/>
    <w:bookmarkEnd w:id="63"/>
    <w:bookmarkStart w:id="67" w:name="future-roadmap"/>
    <w:p>
      <w:pPr>
        <w:pStyle w:val="Heading1"/>
      </w:pPr>
      <w:r>
        <w:t xml:space="preserve">30. Future Roadmap</w:t>
      </w:r>
    </w:p>
    <w:bookmarkStart w:id="64" w:name="X62f742ef12e28aa00fb4f2fddb45270eb9d76eb"/>
    <w:p>
      <w:pPr>
        <w:pStyle w:val="Heading2"/>
      </w:pPr>
      <w:r>
        <w:t xml:space="preserve">30.1 Phased Expansion (recap of Ch. 3.2, detailed here with technical gates)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Readiness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 (POC)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Nalanda/Rajgir, 5–6 depts, CSV-only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ingestion, GIS engine, deficit detection, citizen portal, DM approval workflow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 Hardening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districts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RBAC, notifications, audit, reporting operational; UAT sign-off from data custodians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Rollout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Bihar districts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Multilingual framework populated, UDISE+/NHP API adapters live, multi-district load-tested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National Rollout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700+ districts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 validated at 100M+ asset scale, AI recommendation model trained on accumulated proposal-outcome data, cross-state schema partitioning validated, DR drills passed</w:t>
            </w:r>
          </w:p>
        </w:tc>
      </w:tr>
    </w:tbl>
    <w:bookmarkEnd w:id="64"/>
    <w:bookmarkStart w:id="65" w:name="Xdb9931aefe783bbc8b2427c904834b03c0bc079"/>
    <w:p>
      <w:pPr>
        <w:pStyle w:val="Heading2"/>
      </w:pPr>
      <w:r>
        <w:t xml:space="preserve">30.2 Reserved Extension Points (built into this LLD now to avoid later redesign)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attributes JSONB</w:t>
      </w:r>
      <w:r>
        <w:t xml:space="preserve"> </w:t>
      </w:r>
      <w:r>
        <w:t xml:space="preserve">on assets — new department/category without schema migration.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field_schema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mst_asset_category</w:t>
      </w:r>
      <w:r>
        <w:t xml:space="preserve"> </w:t>
      </w:r>
      <w:r>
        <w:t xml:space="preserve">— new CSV formats without code change.</w:t>
      </w:r>
    </w:p>
    <w:p>
      <w:pPr>
        <w:numPr>
          <w:ilvl w:val="0"/>
          <w:numId w:val="1007"/>
        </w:numPr>
        <w:pStyle w:val="Compact"/>
      </w:pPr>
      <w:r>
        <w:t xml:space="preserve">Workflow engine parameterization — new workflow types without new services.</w:t>
      </w:r>
    </w:p>
    <w:p>
      <w:pPr>
        <w:numPr>
          <w:ilvl w:val="0"/>
          <w:numId w:val="1007"/>
        </w:numPr>
        <w:pStyle w:val="Compact"/>
      </w:pPr>
      <w:r>
        <w:t xml:space="preserve">Notification channel abstraction — WhatsApp/Push added as new workers, not architecture changes.</w:t>
      </w:r>
    </w:p>
    <w:p>
      <w:pPr>
        <w:numPr>
          <w:ilvl w:val="0"/>
          <w:numId w:val="1007"/>
        </w:numPr>
        <w:pStyle w:val="Compact"/>
      </w:pPr>
      <w:r>
        <w:t xml:space="preserve">IoT/real-time telemetry hook reserved on the event bus (</w:t>
      </w:r>
      <w:r>
        <w:rPr>
          <w:rStyle w:val="VerbatimChar"/>
        </w:rPr>
        <w:t xml:space="preserve">ndisp.events</w:t>
      </w:r>
      <w:r>
        <w:t xml:space="preserve">) for future live sensor integration (water flow, air quality) without redesigning the ingestion pipeline.</w:t>
      </w:r>
    </w:p>
    <w:p>
      <w:pPr>
        <w:numPr>
          <w:ilvl w:val="0"/>
          <w:numId w:val="1007"/>
        </w:numPr>
        <w:pStyle w:val="Compact"/>
      </w:pPr>
      <w:r>
        <w:t xml:space="preserve">AI Recommendation Service interface stable between rules-based (pilot) and ML-based (national) implementations.</w:t>
      </w:r>
    </w:p>
    <w:bookmarkEnd w:id="65"/>
    <w:bookmarkStart w:id="66" w:name="Xcdcf22e51c085d51407d5dab593599c4a4e9c34"/>
    <w:p>
      <w:pPr>
        <w:pStyle w:val="Heading2"/>
      </w:pPr>
      <w:r>
        <w:t xml:space="preserve">30.3 Client Confirmations Required Before Phase 2</w:t>
      </w:r>
    </w:p>
    <w:p>
      <w:pPr>
        <w:pStyle w:val="FirstParagraph"/>
      </w:pPr>
      <w:r>
        <w:t xml:space="preserve">Per assumptions flagged throughout this LLD (A1, A3, A-SEC-1, §29.5), the following require explicit client/government confirmation prior to state rollout: hosting/data-residency model, government SSO/IdP integration details, secrets-management platform, and formal security certification process.</w:t>
      </w:r>
    </w:p>
    <w:p>
      <w:pPr>
        <w:pStyle w:val="BodyText"/>
      </w:pPr>
      <w:r>
        <w:rPr>
          <w:iCs/>
          <w:i/>
        </w:rPr>
        <w:t xml:space="preserve">End of Volume 5. This concludes the five-volume Low Level Design for the National District Infrastructure &amp; Services Portal.</w:t>
      </w:r>
    </w:p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District Infrastructure &amp; Services Portal</dc:title>
  <dc:creator>Dr Design — Enterprise Architecture Group</dc:creator>
  <cp:keywords/>
  <dcterms:created xsi:type="dcterms:W3CDTF">2026-07-21T06:36:40Z</dcterms:created>
  <dcterms:modified xsi:type="dcterms:W3CDTF">2026-07-21T06:36:40Z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Low Level Design — Volume 5: Engineering, DevOps &amp; Delivery (Chapters 24–30)</vt:lpwstr>
  </property>
</Properties>
</file>