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{{ФИО_обучающегося}}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{{наименование_модуля}}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{{наименование_специальности}}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{{день_начала_ПП}} {{месяц_начала_ПП}} {{год_начала_ПП}} г. по {{день_конца_ПП}} {{месяц_конца_ПП}} {{год_конца_ПП}}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{{ФИО_преподавателя}})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{{ФИО_отв_организации}}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{{ФИО_обучающегося}}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{{адрес_организации}}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«10» {{месяц_начала_ПП}} {{год_начала_ПП}} г. по «23» {{месяц_конца_ПП}} {{год_конца_ПП}}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{{наименование_специальности}}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{{ФИО_отв_организации}}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{{ФИО_обучающегося}}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{{наименование_специальности}}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{{название_организации}}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{{адрес_организации}}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прохождения: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{{месяц_начала_ПП}}.{{год_начала_ПП}}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 г. – 23.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{{месяц_конца_ПП}}.{{год_конца_ПП}}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