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Surgeonfish gut microbiome results section outline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The surgeonfish gut microbiome possesses a great diversity of microbial communities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Times New Roman" w:hAnsi="Times New Roman" w:eastAsia="Times New Roman" w:ascii="Times New Roman"/>
          <w:b w:val="1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Data from the collection trip to the Hawaii Institute of Marine Biology 2013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Prior to quality filtering, Illumina sequencing generated 12,730,293 sequences. The median sequence length was 253 base pairs.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are 2,960 unique otus observed in the posterior section of the gut when 21,150  sequences are analyzed from each sample,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was an observed difference in microbial community structure when different sections of the surgeonfish gut were compared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Taxonomic summaries of different samples from the surgeonfish gut showed a great variety of taxa, but did not show the presence of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Epulopiscium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as a genus.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After a correction in the taxonomic assignment of otus, the genus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Epulopiscium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could be observed in taxonomic summary graphs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2. Data from the collection trip to the Hawaii Institute of Marine Biology 2014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Prior to quality filtering, Illumina sequencing generated 11,750,346 sequences. The median sequence length was 265 base pairs.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are 1,814 unique otus observed in samples taken from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Acanthurus oliveaceus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when 22,000 sequences were analyzed from each sample.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3. Combined data from 2013 &amp; 2014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2909.650 is the highest amount of unique otus observed from samples of any single fish in the combined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Microbial communities in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Naso unicornis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are significantly different in community structure between certain members of the gut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4. How can we describe the composition of the surgeonfish gut microbiome?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What phyla make up the largest percentage of the surgeonfish gut?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What samples have the largest percentage of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Epulopiscium?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II.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In some species of surgeonfish,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Epulopiscium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is the taxa that is in the highest proportion out of any of the observed microbial communities in certain areas of the gut.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 species of surgeonfish such as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Naso lituratus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Epulopiscium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can make up 23 % of the bacterial community of midgut samples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IV.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Core gut microbiome of surgeonfish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IV.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Comparisons between samples from the surgeonfish gut microbiome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All samples analyzed together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a.What drives the most variation in the bacterial communities from each sample in the gut?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b. Are different sections of the surgeonfish gut significantly different from each other?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Each individual fish analyzed by gut section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Are different sections of the gut significantly different from each other?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Comparison between the human gut microbiome and the surgeonfish gut microbiome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does the surgeonfish gut microbiome compare to the human gut microbiome in terms of unique otus that are observed?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do the microbial communities of the surgeonfish gut microbiome compare to the human gut microbiome in terms of their  phylogenetic diversity?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do species estimates compare between the surgeonfish gut microbiome and the human gut microbiome?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Surgeonfish gut microbiome results section outline.docx</dc:title>
</cp:coreProperties>
</file>