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College Student Microbiome Results Section Outline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Times New Roman" w:hAnsi="Times New Roman" w:eastAsia="Times New Roman" w:ascii="Times New Roman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One of the major results of this study was that individuals show a great deal of temporal variation in their microbiome, and this variation is a personalized feature.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The palm and skin communities showed the most variation in microbiome community structure among all individuals in the study.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There is no time decay relationship between bacterial communities.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Does the between sample diversity for week 1 of the college student microbiome project differ from the other weeks of the study?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  1. </w:t>
      </w: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procrustes analysis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1.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forehead , tongue, palm, and gut- week 1 versus weeks 2 - 11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  2.</w:t>
      </w: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 anosim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forehead, tongue, palm, and gut - week 1 versus weeks 2 - 11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II.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When looking at antibiotic disturbance, it was observed that within individuals , the largest shifts in microbial community membership corresponded with the period of time that antibiotics were taken.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Due to the inherent variation within the microbiome of an individual, other disturbances such as menstruation, and sickness did not have a significant shift in microbial community membership across individuals.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a</w:t>
      </w: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. Antibiotics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1.</w:t>
      </w: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forehead -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within individual unifrac boxplots by personal ID; both weighted and unweighted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2. </w:t>
      </w: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tongue -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within individual unifrac boxplots by personal ID; both weighted and unweighted                                                       3.</w:t>
      </w: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palm -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within individual unifrac boxplots by personal ID; both weighted and unweighted</w:t>
      </w:r>
    </w:p>
    <w:p w:rsidP="00000000" w:rsidRPr="00000000" w:rsidR="00000000" w:rsidDel="00000000" w:rsidRDefault="00000000">
      <w:pPr>
        <w:ind w:left="-89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4.</w:t>
      </w: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gut -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within individual unifrac boxplots by personal ID; both weighted and unweighted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b. </w:t>
      </w: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Menstruation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1. </w:t>
      </w: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forehead -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within individual unifrac boxplots by personal ID; both weighted and unweighted-with mislabeling analysis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2. </w:t>
      </w: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tongue -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within individual unifrac boxplots by personal ID; both weighted and unweighted-mislabeling analysis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3. </w:t>
      </w: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palm -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within individual unifrac boxplots by personal ID; both weighted and unweighted -mislabeling analysis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4.</w:t>
      </w: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gut-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within individual unifrac boxplots by personal ID; both weighted and unweighted - mislabeling analysis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c.  </w:t>
      </w: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Sickness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1. </w:t>
      </w: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forehead -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within individual unifrac boxplots by personal ID; both weighted and unweighted - mislabeling analysis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2. </w:t>
      </w: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tongue -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within individual unifrac boxplots by personal ID; both weighted and unweighted - mislabeling analysis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3. </w:t>
      </w: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palm -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within individual unifrac boxplots by personal ID; both weighted and unweighted -mislabeling analysis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4.</w:t>
      </w: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gut-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within individual unifrac boxplots by personal ID; both weighted and unweighted -mislabeling analysis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III.  Subject participation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rFonts w:cs="Times New Roman" w:hAnsi="Times New Roman" w:eastAsia="Times New Roman" w:ascii="Times New Roman"/>
          <w:b w:val="1"/>
        </w:rPr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This will deal with how many individuals started the study and how many individuals participated through 10 weeks of the study.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rFonts w:cs="Times New Roman" w:hAnsi="Times New Roman" w:eastAsia="Times New Roman" w:ascii="Times New Roman"/>
          <w:b w:val="1"/>
        </w:rPr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Participation by University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Northern Arizona University (hint: NAU had the best participation)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Colorado University at Boulder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North Carolina State University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firstLine="360"/>
      </w:pPr>
      <w:rPr>
        <w:b w:val="1"/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College_Student_microbiome_results_outline.docx</dc:title>
</cp:coreProperties>
</file>