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3A6B"/>
          <w:sz w:val="52"/>
          <w:szCs w:val="52"/>
        </w:rPr>
        <w:t xml:space="preserve">DAMEKA C. L. DUBLIN</w:t>
      </w:r>
    </w:p>
    <w:p>
      <w:pPr>
        <w:spacing w:after="60" w:before="0"/>
        <w:jc w:val="center"/>
      </w:pPr>
      <w:r>
        <w:rPr>
          <w:rFonts w:ascii="Arial" w:cs="Arial" w:eastAsia="Arial" w:hAnsi="Arial"/>
          <w:color w:val="555555"/>
          <w:sz w:val="22"/>
          <w:szCs w:val="22"/>
        </w:rPr>
        <w:t xml:space="preserve">ML Engineer  |  Agentic AI &amp; RAG Systems  |  Distributed Pipelines  |  Databricks</w:t>
      </w:r>
    </w:p>
    <w:p>
      <w:pPr>
        <w:spacing w:after="160" w:before="0"/>
        <w:jc w:val="center"/>
      </w:pPr>
      <w:r>
        <w:rPr>
          <w:rFonts w:ascii="Arial" w:cs="Arial" w:eastAsia="Arial" w:hAnsi="Arial"/>
          <w:color w:val="555555"/>
          <w:sz w:val="20"/>
          <w:szCs w:val="20"/>
        </w:rPr>
        <w:t xml:space="preserve">Manchester, UK  |  07984625847  |  damekadublin@gmail.com  |  </w:t>
      </w:r>
      <w:hyperlink w:history="1" r:id="rIdgrargnluaaqs5avbaz1c3">
        <w:r>
          <w:rPr>
            <w:rFonts w:ascii="Arial" w:cs="Arial" w:eastAsia="Arial" w:hAnsi="Arial"/>
            <w:color w:val="1B3A6B"/>
            <w:sz w:val="20"/>
            <w:szCs w:val="20"/>
          </w:rPr>
          <w:t xml:space="preserve">linkedin.com/in/dameka-dublin</w:t>
        </w:r>
      </w:hyperlink>
      <w:r>
        <w:rPr>
          <w:rFonts w:ascii="Arial" w:cs="Arial" w:eastAsia="Arial" w:hAnsi="Arial"/>
          <w:color w:val="555555"/>
          <w:sz w:val="20"/>
          <w:szCs w:val="20"/>
        </w:rPr>
        <w:t xml:space="preserve">  |  </w:t>
      </w:r>
      <w:hyperlink w:history="1" r:id="rIdgnabso0q3fzfrcp5yq3hf">
        <w:r>
          <w:rPr>
            <w:rFonts w:ascii="Arial" w:cs="Arial" w:eastAsia="Arial" w:hAnsi="Arial"/>
            <w:color w:val="1B3A6B"/>
            <w:sz w:val="20"/>
            <w:szCs w:val="20"/>
          </w:rPr>
          <w:t xml:space="preserve">github.com/DDublin1</w:t>
        </w:r>
      </w:hyperlink>
    </w:p>
    <w:p>
      <w:pPr>
        <w:pBdr>
          <w:bottom w:val="single" w:color="1B3A6B" w:sz="8" w:space="4"/>
        </w:pBdr>
        <w:spacing w:after="100" w:before="360"/>
      </w:pPr>
      <w:r>
        <w:rPr>
          <w:rFonts w:ascii="Arial" w:cs="Arial" w:eastAsia="Arial" w:hAnsi="Arial"/>
          <w:b/>
          <w:bCs/>
          <w:color w:val="1B3A6B"/>
          <w:sz w:val="22"/>
          <w:szCs w:val="22"/>
        </w:rPr>
        <w:t xml:space="preserve">PROFESSIONAL SUMMARY</w:t>
      </w:r>
    </w:p>
    <w:p>
      <w:pPr>
        <w:spacing w:after="80" w:before="80"/>
      </w:pPr>
      <w:r>
        <w:rPr>
          <w:rFonts w:ascii="Arial" w:cs="Arial" w:eastAsia="Arial" w:hAnsi="Arial"/>
          <w:color w:val="1A1A1A"/>
          <w:sz w:val="20"/>
          <w:szCs w:val="20"/>
        </w:rPr>
        <w:t xml:space="preserve">I build ML systems that work at scale, not toy datasets, not tutorials. My work spans production-grade agentic AI pipelines on 18 million row datasets, collaborative filtering recommender systems with full MLflow experiment tracking, and distributed data engineering on Databricks using Bronze-Silver-Gold medallion architecture. What runs through everything I build is a commitment to the complete picture. I architect the pipeline, engineer the system end to end, deploy it with governance built in, and deliver something that works in the real world. My quantitative roots run deep, from actuarial modelling on multi-billion dollar reinsurance portfolios to the precision and discipline embedded in every system I build today. Building ML systems is not a pivot for me, it is a natural progression of how I have always worked with data and scale.</w:t>
      </w:r>
    </w:p>
    <w:p>
      <w:pPr>
        <w:pBdr>
          <w:bottom w:val="single" w:color="1B3A6B" w:sz="8" w:space="4"/>
        </w:pBdr>
        <w:spacing w:after="100" w:before="360"/>
      </w:pPr>
      <w:r>
        <w:rPr>
          <w:rFonts w:ascii="Arial" w:cs="Arial" w:eastAsia="Arial" w:hAnsi="Arial"/>
          <w:b/>
          <w:bCs/>
          <w:color w:val="1B3A6B"/>
          <w:sz w:val="22"/>
          <w:szCs w:val="22"/>
        </w:rPr>
        <w:t xml:space="preserve">TECHNICAL SKILLS</w:t>
      </w:r>
    </w:p>
    <w:p>
      <w:pPr>
        <w:spacing w:after="40" w:before="40"/>
      </w:pPr>
      <w:r>
        <w:rPr>
          <w:rFonts w:ascii="Arial" w:cs="Arial" w:eastAsia="Arial" w:hAnsi="Arial"/>
          <w:b/>
          <w:bCs/>
          <w:color w:val="1B3A6B"/>
          <w:sz w:val="20"/>
          <w:szCs w:val="20"/>
        </w:rPr>
        <w:t xml:space="preserve">Big Data &amp; Cloud: </w:t>
      </w:r>
      <w:r>
        <w:rPr>
          <w:rFonts w:ascii="Arial" w:cs="Arial" w:eastAsia="Arial" w:hAnsi="Arial"/>
          <w:color w:val="1A1A1A"/>
          <w:sz w:val="20"/>
          <w:szCs w:val="20"/>
        </w:rPr>
        <w:t xml:space="preserve">PySpark, Databricks, Apache Spark, Delta Lake, MLflow, Spark SQL, Medallion Architecture</w:t>
      </w:r>
    </w:p>
    <w:p>
      <w:pPr>
        <w:spacing w:after="40" w:before="40"/>
      </w:pPr>
      <w:r>
        <w:rPr>
          <w:rFonts w:ascii="Arial" w:cs="Arial" w:eastAsia="Arial" w:hAnsi="Arial"/>
          <w:b/>
          <w:bCs/>
          <w:color w:val="1B3A6B"/>
          <w:sz w:val="20"/>
          <w:szCs w:val="20"/>
        </w:rPr>
        <w:t xml:space="preserve">ML &amp; AI Systems: </w:t>
      </w:r>
      <w:r>
        <w:rPr>
          <w:rFonts w:ascii="Arial" w:cs="Arial" w:eastAsia="Arial" w:hAnsi="Arial"/>
          <w:color w:val="1A1A1A"/>
          <w:sz w:val="20"/>
          <w:szCs w:val="20"/>
        </w:rPr>
        <w:t xml:space="preserve">RAG, FAISS, LangChain, Claude API, ALS Collaborative Filtering, MLflow Model Registry</w:t>
      </w:r>
    </w:p>
    <w:p>
      <w:pPr>
        <w:spacing w:after="40" w:before="40"/>
      </w:pPr>
      <w:r>
        <w:rPr>
          <w:rFonts w:ascii="Arial" w:cs="Arial" w:eastAsia="Arial" w:hAnsi="Arial"/>
          <w:b/>
          <w:bCs/>
          <w:color w:val="1B3A6B"/>
          <w:sz w:val="20"/>
          <w:szCs w:val="20"/>
        </w:rPr>
        <w:t xml:space="preserve">Machine Learning: </w:t>
      </w:r>
      <w:r>
        <w:rPr>
          <w:rFonts w:ascii="Arial" w:cs="Arial" w:eastAsia="Arial" w:hAnsi="Arial"/>
          <w:color w:val="1A1A1A"/>
          <w:sz w:val="20"/>
          <w:szCs w:val="20"/>
        </w:rPr>
        <w:t xml:space="preserve">scikit-learn, XGBoost, Random Forest, SHAP, Survival Analysis, Predictive Modelling</w:t>
      </w:r>
    </w:p>
    <w:p>
      <w:pPr>
        <w:spacing w:after="40" w:before="40"/>
      </w:pPr>
      <w:r>
        <w:rPr>
          <w:rFonts w:ascii="Arial" w:cs="Arial" w:eastAsia="Arial" w:hAnsi="Arial"/>
          <w:b/>
          <w:bCs/>
          <w:color w:val="1B3A6B"/>
          <w:sz w:val="20"/>
          <w:szCs w:val="20"/>
        </w:rPr>
        <w:t xml:space="preserve">Languages: </w:t>
      </w:r>
      <w:r>
        <w:rPr>
          <w:rFonts w:ascii="Arial" w:cs="Arial" w:eastAsia="Arial" w:hAnsi="Arial"/>
          <w:color w:val="1A1A1A"/>
          <w:sz w:val="20"/>
          <w:szCs w:val="20"/>
        </w:rPr>
        <w:t xml:space="preserve">Python, SQL, R</w:t>
      </w:r>
    </w:p>
    <w:p>
      <w:pPr>
        <w:spacing w:after="40" w:before="40"/>
      </w:pPr>
      <w:r>
        <w:rPr>
          <w:rFonts w:ascii="Arial" w:cs="Arial" w:eastAsia="Arial" w:hAnsi="Arial"/>
          <w:b/>
          <w:bCs/>
          <w:color w:val="1B3A6B"/>
          <w:sz w:val="20"/>
          <w:szCs w:val="20"/>
        </w:rPr>
        <w:t xml:space="preserve">Statistical Modelling: </w:t>
      </w:r>
      <w:r>
        <w:rPr>
          <w:rFonts w:ascii="Arial" w:cs="Arial" w:eastAsia="Arial" w:hAnsi="Arial"/>
          <w:color w:val="1A1A1A"/>
          <w:sz w:val="20"/>
          <w:szCs w:val="20"/>
        </w:rPr>
        <w:t xml:space="preserve">Hypothesis Testing, Time Series Analysis, Prophet, SARIMAX, Negative Binomial GLM</w:t>
      </w:r>
    </w:p>
    <w:p>
      <w:pPr>
        <w:spacing w:after="40" w:before="40"/>
      </w:pPr>
      <w:r>
        <w:rPr>
          <w:rFonts w:ascii="Arial" w:cs="Arial" w:eastAsia="Arial" w:hAnsi="Arial"/>
          <w:b/>
          <w:bCs/>
          <w:color w:val="1B3A6B"/>
          <w:sz w:val="20"/>
          <w:szCs w:val="20"/>
        </w:rPr>
        <w:t xml:space="preserve">Database &amp; Engineering: </w:t>
      </w:r>
      <w:r>
        <w:rPr>
          <w:rFonts w:ascii="Arial" w:cs="Arial" w:eastAsia="Arial" w:hAnsi="Arial"/>
          <w:color w:val="1A1A1A"/>
          <w:sz w:val="20"/>
          <w:szCs w:val="20"/>
        </w:rPr>
        <w:t xml:space="preserve">SQL Server, ETL, Stored Procedures, RBAC, Triggers, Power Query</w:t>
      </w:r>
    </w:p>
    <w:p>
      <w:pPr>
        <w:spacing w:after="40" w:before="40"/>
      </w:pPr>
      <w:r>
        <w:rPr>
          <w:rFonts w:ascii="Arial" w:cs="Arial" w:eastAsia="Arial" w:hAnsi="Arial"/>
          <w:b/>
          <w:bCs/>
          <w:color w:val="1B3A6B"/>
          <w:sz w:val="20"/>
          <w:szCs w:val="20"/>
        </w:rPr>
        <w:t xml:space="preserve">Visualisation &amp; BI: </w:t>
      </w:r>
      <w:r>
        <w:rPr>
          <w:rFonts w:ascii="Arial" w:cs="Arial" w:eastAsia="Arial" w:hAnsi="Arial"/>
          <w:color w:val="1A1A1A"/>
          <w:sz w:val="20"/>
          <w:szCs w:val="20"/>
        </w:rPr>
        <w:t xml:space="preserve">Power BI, DAX, matplotlib, Data Visualisation</w:t>
      </w:r>
    </w:p>
    <w:p>
      <w:pPr>
        <w:pBdr>
          <w:bottom w:val="single" w:color="1B3A6B" w:sz="8" w:space="4"/>
        </w:pBdr>
        <w:spacing w:after="100" w:before="360"/>
      </w:pPr>
      <w:r>
        <w:rPr>
          <w:rFonts w:ascii="Arial" w:cs="Arial" w:eastAsia="Arial" w:hAnsi="Arial"/>
          <w:b/>
          <w:bCs/>
          <w:color w:val="1B3A6B"/>
          <w:sz w:val="22"/>
          <w:szCs w:val="22"/>
        </w:rPr>
        <w:t xml:space="preserve">EXPERIENCE</w:t>
      </w:r>
    </w:p>
    <w:p>
      <w:pPr>
        <w:tabs>
          <w:tab w:val="right" w:pos="9026"/>
        </w:tabs>
        <w:spacing w:after="40" w:before="180"/>
      </w:pPr>
      <w:r>
        <w:rPr>
          <w:rFonts w:ascii="Arial" w:cs="Arial" w:eastAsia="Arial" w:hAnsi="Arial"/>
          <w:b/>
          <w:bCs/>
          <w:color w:val="1A1A1A"/>
          <w:sz w:val="22"/>
          <w:szCs w:val="22"/>
        </w:rPr>
        <w:t xml:space="preserve">Data Science Project Lead</w:t>
      </w:r>
      <w:r>
        <w:rPr>
          <w:rFonts w:ascii="Arial" w:cs="Arial" w:eastAsia="Arial" w:hAnsi="Arial"/>
          <w:color w:val="555555"/>
          <w:sz w:val="22"/>
          <w:szCs w:val="22"/>
        </w:rPr>
        <w:t xml:space="preserve">  |  </w:t>
      </w:r>
      <w:r>
        <w:rPr>
          <w:rFonts w:ascii="Arial" w:cs="Arial" w:eastAsia="Arial" w:hAnsi="Arial"/>
          <w:color w:val="1B3A6B"/>
          <w:sz w:val="22"/>
          <w:szCs w:val="22"/>
        </w:rPr>
        <w:t xml:space="preserve">Royal College of Nursing</w:t>
      </w:r>
      <w:r>
        <w:rPr>
          <w:rFonts w:ascii="Arial" w:cs="Arial" w:eastAsia="Arial" w:hAnsi="Arial"/>
          <w:sz w:val="22"/>
          <w:szCs w:val="22"/>
        </w:rPr>
        <w:t xml:space="preserve">	</w:t>
      </w:r>
      <w:r>
        <w:rPr>
          <w:rFonts w:ascii="Arial" w:cs="Arial" w:eastAsia="Arial" w:hAnsi="Arial"/>
          <w:i/>
          <w:iCs/>
          <w:color w:val="555555"/>
          <w:sz w:val="20"/>
          <w:szCs w:val="20"/>
        </w:rPr>
        <w:t xml:space="preserve">Jan 2026 – Apr 2026</w:t>
      </w:r>
    </w:p>
    <w:p>
      <w:pPr>
        <w:pStyle w:val="ListParagraph"/>
        <w:numPr>
          <w:ilvl w:val="0"/>
          <w:numId w:val="2"/>
        </w:numPr>
        <w:spacing w:after="40" w:before="40"/>
      </w:pPr>
      <w:r>
        <w:rPr>
          <w:rFonts w:ascii="Arial" w:cs="Arial" w:eastAsia="Arial" w:hAnsi="Arial"/>
          <w:color w:val="1A1A1A"/>
          <w:sz w:val="20"/>
          <w:szCs w:val="20"/>
        </w:rPr>
        <w:t xml:space="preserve">Architected and built an end-to-end distributed ML pipeline on 18.4 million aggregated records using Apache Spark 4.1 and Databricks Delta Lake with a Bronze-Silver-Gold medallion architecture across 11 production-grade analytical notebooks</w:t>
      </w:r>
    </w:p>
    <w:p>
      <w:pPr>
        <w:pStyle w:val="ListParagraph"/>
        <w:numPr>
          <w:ilvl w:val="0"/>
          <w:numId w:val="2"/>
        </w:numPr>
        <w:spacing w:after="40" w:before="40"/>
      </w:pPr>
      <w:r>
        <w:rPr>
          <w:rFonts w:ascii="Arial" w:cs="Arial" w:eastAsia="Arial" w:hAnsi="Arial"/>
          <w:color w:val="1A1A1A"/>
          <w:sz w:val="20"/>
          <w:szCs w:val="20"/>
        </w:rPr>
        <w:t xml:space="preserve">Built a prototype agentic AI decision support system using a hierarchical three-agent RAG architecture with FAISS vector store, all-MiniLM-L6-v2 sentence transformer, and Claude API, with mandatory human-in-the-loop governance and NDA-compliant aggregate-only scope enforcement at both architectural and query intake level</w:t>
      </w:r>
    </w:p>
    <w:p>
      <w:pPr>
        <w:pStyle w:val="ListParagraph"/>
        <w:numPr>
          <w:ilvl w:val="0"/>
          <w:numId w:val="2"/>
        </w:numPr>
        <w:spacing w:after="40" w:before="40"/>
      </w:pPr>
      <w:r>
        <w:rPr>
          <w:rFonts w:ascii="Arial" w:cs="Arial" w:eastAsia="Arial" w:hAnsi="Arial"/>
          <w:color w:val="1A1A1A"/>
          <w:sz w:val="20"/>
          <w:szCs w:val="20"/>
        </w:rPr>
        <w:t xml:space="preserve">Implemented Bonferroni-corrected Mann-Whitney U hypothesis testing, Kaplan-Meier survival analysis, and Negative Binomial GLM with SHAP explainability, identifying three features accounting for 77.7% of predictive variation across 188 modelled segments</w:t>
      </w:r>
    </w:p>
    <w:p>
      <w:pPr>
        <w:pStyle w:val="ListParagraph"/>
        <w:numPr>
          <w:ilvl w:val="0"/>
          <w:numId w:val="2"/>
        </w:numPr>
        <w:spacing w:after="40" w:before="40"/>
      </w:pPr>
      <w:r>
        <w:rPr>
          <w:rFonts w:ascii="Arial" w:cs="Arial" w:eastAsia="Arial" w:hAnsi="Arial"/>
          <w:color w:val="1A1A1A"/>
          <w:sz w:val="20"/>
          <w:szCs w:val="20"/>
        </w:rPr>
        <w:t xml:space="preserve">Identified and corrected a significant denominator error in the initial churn rate calculation, establishing the correct analytical baseline for all downstream modelling and preventing materially misleading conclusions</w:t>
      </w:r>
    </w:p>
    <w:p>
      <w:pPr>
        <w:pStyle w:val="ListParagraph"/>
        <w:numPr>
          <w:ilvl w:val="0"/>
          <w:numId w:val="2"/>
        </w:numPr>
        <w:spacing w:after="40" w:before="40"/>
      </w:pPr>
      <w:r>
        <w:rPr>
          <w:rFonts w:ascii="Arial" w:cs="Arial" w:eastAsia="Arial" w:hAnsi="Arial"/>
          <w:color w:val="1A1A1A"/>
          <w:sz w:val="20"/>
          <w:szCs w:val="20"/>
        </w:rPr>
        <w:t xml:space="preserve">Delivered an interactive five-page HTML dashboard, 12-month Prophet and SARIMAX forecasts across eight priority segments, revenue at risk quantification, and a stakeholder presentation to RCN leadership</w:t>
      </w:r>
    </w:p>
    <w:p>
      <w:pPr>
        <w:tabs>
          <w:tab w:val="right" w:pos="9026"/>
        </w:tabs>
        <w:spacing w:after="40" w:before="180"/>
      </w:pPr>
      <w:r>
        <w:rPr>
          <w:rFonts w:ascii="Arial" w:cs="Arial" w:eastAsia="Arial" w:hAnsi="Arial"/>
          <w:b/>
          <w:bCs/>
          <w:color w:val="1A1A1A"/>
          <w:sz w:val="22"/>
          <w:szCs w:val="22"/>
        </w:rPr>
        <w:t xml:space="preserve">Instructional Leader, Mathematics</w:t>
      </w:r>
      <w:r>
        <w:rPr>
          <w:rFonts w:ascii="Arial" w:cs="Arial" w:eastAsia="Arial" w:hAnsi="Arial"/>
          <w:color w:val="555555"/>
          <w:sz w:val="22"/>
          <w:szCs w:val="22"/>
        </w:rPr>
        <w:t xml:space="preserve">  |  </w:t>
      </w:r>
      <w:r>
        <w:rPr>
          <w:rFonts w:ascii="Arial" w:cs="Arial" w:eastAsia="Arial" w:hAnsi="Arial"/>
          <w:color w:val="1B3A6B"/>
          <w:sz w:val="22"/>
          <w:szCs w:val="22"/>
        </w:rPr>
        <w:t xml:space="preserve">Bermuda Government</w:t>
      </w:r>
      <w:r>
        <w:rPr>
          <w:rFonts w:ascii="Arial" w:cs="Arial" w:eastAsia="Arial" w:hAnsi="Arial"/>
          <w:sz w:val="22"/>
          <w:szCs w:val="22"/>
        </w:rPr>
        <w:t xml:space="preserve">	</w:t>
      </w:r>
      <w:r>
        <w:rPr>
          <w:rFonts w:ascii="Arial" w:cs="Arial" w:eastAsia="Arial" w:hAnsi="Arial"/>
          <w:i/>
          <w:iCs/>
          <w:color w:val="555555"/>
          <w:sz w:val="20"/>
          <w:szCs w:val="20"/>
        </w:rPr>
        <w:t xml:space="preserve">Sep 2010 – Aug 2024</w:t>
      </w:r>
    </w:p>
    <w:p>
      <w:pPr>
        <w:pStyle w:val="ListParagraph"/>
        <w:numPr>
          <w:ilvl w:val="0"/>
          <w:numId w:val="2"/>
        </w:numPr>
        <w:spacing w:after="40" w:before="40"/>
      </w:pPr>
      <w:r>
        <w:rPr>
          <w:rFonts w:ascii="Arial" w:cs="Arial" w:eastAsia="Arial" w:hAnsi="Arial"/>
          <w:color w:val="1A1A1A"/>
          <w:sz w:val="20"/>
          <w:szCs w:val="20"/>
        </w:rPr>
        <w:t xml:space="preserve">Co-led the design and delivery of Bermuda's Signature Learning Programmes as part of the national Learning First education reform initiative, presenting Ministry-approved findings to school leadership, teachers, and students</w:t>
      </w:r>
    </w:p>
    <w:p>
      <w:pPr>
        <w:pStyle w:val="ListParagraph"/>
        <w:numPr>
          <w:ilvl w:val="0"/>
          <w:numId w:val="2"/>
        </w:numPr>
        <w:spacing w:after="40" w:before="40"/>
      </w:pPr>
      <w:r>
        <w:rPr>
          <w:rFonts w:ascii="Arial" w:cs="Arial" w:eastAsia="Arial" w:hAnsi="Arial"/>
          <w:color w:val="1A1A1A"/>
          <w:sz w:val="20"/>
          <w:szCs w:val="20"/>
        </w:rPr>
        <w:t xml:space="preserve">Built dashboards and reporting templates translating educational performance data into actionable insights for Ministry of Education decision-makers</w:t>
      </w:r>
    </w:p>
    <w:p>
      <w:pPr>
        <w:pStyle w:val="ListParagraph"/>
        <w:numPr>
          <w:ilvl w:val="0"/>
          <w:numId w:val="2"/>
        </w:numPr>
        <w:spacing w:after="40" w:before="40"/>
      </w:pPr>
      <w:r>
        <w:rPr>
          <w:rFonts w:ascii="Arial" w:cs="Arial" w:eastAsia="Arial" w:hAnsi="Arial"/>
          <w:color w:val="1A1A1A"/>
          <w:sz w:val="20"/>
          <w:szCs w:val="20"/>
        </w:rPr>
        <w:t xml:space="preserve">Designed conflict-free master schedules for 300+ students and 50+ staff using Excel-based constraint modelling and PowerSchool, reducing scheduling conflicts by 40%</w:t>
      </w:r>
    </w:p>
    <w:p>
      <w:pPr>
        <w:pStyle w:val="ListParagraph"/>
        <w:numPr>
          <w:ilvl w:val="0"/>
          <w:numId w:val="2"/>
        </w:numPr>
        <w:spacing w:after="40" w:before="40"/>
      </w:pPr>
      <w:r>
        <w:rPr>
          <w:rFonts w:ascii="Arial" w:cs="Arial" w:eastAsia="Arial" w:hAnsi="Arial"/>
          <w:color w:val="1A1A1A"/>
          <w:sz w:val="20"/>
          <w:szCs w:val="20"/>
        </w:rPr>
        <w:t xml:space="preserve">Analysed student performance and engagement data across 300+ students, achieving a 15% improvement in engagement and 10% improvement in academic outcomes</w:t>
      </w:r>
    </w:p>
    <w:p>
      <w:pPr>
        <w:pStyle w:val="ListParagraph"/>
        <w:numPr>
          <w:ilvl w:val="0"/>
          <w:numId w:val="2"/>
        </w:numPr>
        <w:spacing w:after="40" w:before="40"/>
      </w:pPr>
      <w:r>
        <w:rPr>
          <w:rFonts w:ascii="Arial" w:cs="Arial" w:eastAsia="Arial" w:hAnsi="Arial"/>
          <w:color w:val="1A1A1A"/>
          <w:sz w:val="20"/>
          <w:szCs w:val="20"/>
        </w:rPr>
        <w:t xml:space="preserve">Spearheaded Bermuda's National School Choice analytics initiative, achieving over 95% student participation and 98% teacher alignment</w:t>
      </w:r>
    </w:p>
    <w:p>
      <w:pPr>
        <w:tabs>
          <w:tab w:val="right" w:pos="9026"/>
        </w:tabs>
        <w:spacing w:after="40" w:before="180"/>
      </w:pPr>
      <w:r>
        <w:rPr>
          <w:rFonts w:ascii="Arial" w:cs="Arial" w:eastAsia="Arial" w:hAnsi="Arial"/>
          <w:b/>
          <w:bCs/>
          <w:color w:val="1A1A1A"/>
          <w:sz w:val="22"/>
          <w:szCs w:val="22"/>
        </w:rPr>
        <w:t xml:space="preserve">Finance Analyst</w:t>
      </w:r>
      <w:r>
        <w:rPr>
          <w:rFonts w:ascii="Arial" w:cs="Arial" w:eastAsia="Arial" w:hAnsi="Arial"/>
          <w:color w:val="555555"/>
          <w:sz w:val="22"/>
          <w:szCs w:val="22"/>
        </w:rPr>
        <w:t xml:space="preserve">  |  </w:t>
      </w:r>
      <w:r>
        <w:rPr>
          <w:rFonts w:ascii="Arial" w:cs="Arial" w:eastAsia="Arial" w:hAnsi="Arial"/>
          <w:color w:val="1B3A6B"/>
          <w:sz w:val="22"/>
          <w:szCs w:val="22"/>
        </w:rPr>
        <w:t xml:space="preserve">Shleppers Moving &amp; Storage</w:t>
      </w:r>
      <w:r>
        <w:rPr>
          <w:rFonts w:ascii="Arial" w:cs="Arial" w:eastAsia="Arial" w:hAnsi="Arial"/>
          <w:sz w:val="22"/>
          <w:szCs w:val="22"/>
        </w:rPr>
        <w:t xml:space="preserve">	</w:t>
      </w:r>
      <w:r>
        <w:rPr>
          <w:rFonts w:ascii="Arial" w:cs="Arial" w:eastAsia="Arial" w:hAnsi="Arial"/>
          <w:i/>
          <w:iCs/>
          <w:color w:val="555555"/>
          <w:sz w:val="20"/>
          <w:szCs w:val="20"/>
        </w:rPr>
        <w:t xml:space="preserve">Mar 2009 – Jun 2010</w:t>
      </w:r>
    </w:p>
    <w:p>
      <w:pPr>
        <w:pStyle w:val="ListParagraph"/>
        <w:numPr>
          <w:ilvl w:val="0"/>
          <w:numId w:val="2"/>
        </w:numPr>
        <w:spacing w:after="40" w:before="40"/>
      </w:pPr>
      <w:r>
        <w:rPr>
          <w:rFonts w:ascii="Arial" w:cs="Arial" w:eastAsia="Arial" w:hAnsi="Arial"/>
          <w:color w:val="1A1A1A"/>
          <w:sz w:val="20"/>
          <w:szCs w:val="20"/>
        </w:rPr>
        <w:t xml:space="preserve">Produced and maintained financial reporting dashboards for senior leadership in a fast-paced logistics environment</w:t>
      </w:r>
    </w:p>
    <w:p>
      <w:pPr>
        <w:pStyle w:val="ListParagraph"/>
        <w:numPr>
          <w:ilvl w:val="0"/>
          <w:numId w:val="2"/>
        </w:numPr>
        <w:spacing w:after="40" w:before="40"/>
      </w:pPr>
      <w:r>
        <w:rPr>
          <w:rFonts w:ascii="Arial" w:cs="Arial" w:eastAsia="Arial" w:hAnsi="Arial"/>
          <w:color w:val="1A1A1A"/>
          <w:sz w:val="20"/>
          <w:szCs w:val="20"/>
        </w:rPr>
        <w:t xml:space="preserve">Streamlined monthly close processes by 30% through automation and policy standardisation, improving audit readiness and reporting speed</w:t>
      </w:r>
    </w:p>
    <w:p>
      <w:pPr>
        <w:pStyle w:val="ListParagraph"/>
        <w:numPr>
          <w:ilvl w:val="0"/>
          <w:numId w:val="2"/>
        </w:numPr>
        <w:spacing w:after="40" w:before="40"/>
      </w:pPr>
      <w:r>
        <w:rPr>
          <w:rFonts w:ascii="Arial" w:cs="Arial" w:eastAsia="Arial" w:hAnsi="Arial"/>
          <w:color w:val="1A1A1A"/>
          <w:sz w:val="20"/>
          <w:szCs w:val="20"/>
        </w:rPr>
        <w:t xml:space="preserve">Trained and managed a cross-functional team, reducing close-cycle data errors by 35% through structured data validation</w:t>
      </w:r>
    </w:p>
    <w:p>
      <w:pPr>
        <w:pStyle w:val="ListParagraph"/>
        <w:numPr>
          <w:ilvl w:val="0"/>
          <w:numId w:val="2"/>
        </w:numPr>
        <w:spacing w:after="40" w:before="40"/>
      </w:pPr>
      <w:r>
        <w:rPr>
          <w:rFonts w:ascii="Arial" w:cs="Arial" w:eastAsia="Arial" w:hAnsi="Arial"/>
          <w:color w:val="1A1A1A"/>
          <w:sz w:val="20"/>
          <w:szCs w:val="20"/>
        </w:rPr>
        <w:t xml:space="preserve">Led financial data reviews to align operational reporting with business strategy, improving budget adherence by 15%</w:t>
      </w:r>
    </w:p>
    <w:p>
      <w:pPr>
        <w:tabs>
          <w:tab w:val="right" w:pos="9026"/>
        </w:tabs>
        <w:spacing w:after="40" w:before="180"/>
      </w:pPr>
      <w:r>
        <w:rPr>
          <w:rFonts w:ascii="Arial" w:cs="Arial" w:eastAsia="Arial" w:hAnsi="Arial"/>
          <w:b/>
          <w:bCs/>
          <w:color w:val="1A1A1A"/>
          <w:sz w:val="22"/>
          <w:szCs w:val="22"/>
        </w:rPr>
        <w:t xml:space="preserve">Quantitative Data Analyst</w:t>
      </w:r>
      <w:r>
        <w:rPr>
          <w:rFonts w:ascii="Arial" w:cs="Arial" w:eastAsia="Arial" w:hAnsi="Arial"/>
          <w:color w:val="555555"/>
          <w:sz w:val="22"/>
          <w:szCs w:val="22"/>
        </w:rPr>
        <w:t xml:space="preserve">  |  </w:t>
      </w:r>
      <w:r>
        <w:rPr>
          <w:rFonts w:ascii="Arial" w:cs="Arial" w:eastAsia="Arial" w:hAnsi="Arial"/>
          <w:color w:val="1B3A6B"/>
          <w:sz w:val="22"/>
          <w:szCs w:val="22"/>
        </w:rPr>
        <w:t xml:space="preserve">PartnerRe</w:t>
      </w:r>
      <w:r>
        <w:rPr>
          <w:rFonts w:ascii="Arial" w:cs="Arial" w:eastAsia="Arial" w:hAnsi="Arial"/>
          <w:sz w:val="22"/>
          <w:szCs w:val="22"/>
        </w:rPr>
        <w:t xml:space="preserve">	</w:t>
      </w:r>
      <w:r>
        <w:rPr>
          <w:rFonts w:ascii="Arial" w:cs="Arial" w:eastAsia="Arial" w:hAnsi="Arial"/>
          <w:i/>
          <w:iCs/>
          <w:color w:val="555555"/>
          <w:sz w:val="20"/>
          <w:szCs w:val="20"/>
        </w:rPr>
        <w:t xml:space="preserve">Aug 2003 – Aug 2006</w:t>
      </w:r>
    </w:p>
    <w:p>
      <w:pPr>
        <w:pStyle w:val="ListParagraph"/>
        <w:numPr>
          <w:ilvl w:val="0"/>
          <w:numId w:val="2"/>
        </w:numPr>
        <w:spacing w:after="40" w:before="40"/>
      </w:pPr>
      <w:r>
        <w:rPr>
          <w:rFonts w:ascii="Arial" w:cs="Arial" w:eastAsia="Arial" w:hAnsi="Arial"/>
          <w:color w:val="1A1A1A"/>
          <w:sz w:val="20"/>
          <w:szCs w:val="20"/>
        </w:rPr>
        <w:t xml:space="preserve">Modelled capital allocation strategies, improving capital efficiency by approximately 15% across three business segments</w:t>
      </w:r>
    </w:p>
    <w:p>
      <w:pPr>
        <w:pStyle w:val="ListParagraph"/>
        <w:numPr>
          <w:ilvl w:val="0"/>
          <w:numId w:val="2"/>
        </w:numPr>
        <w:spacing w:after="40" w:before="40"/>
      </w:pPr>
      <w:r>
        <w:rPr>
          <w:rFonts w:ascii="Arial" w:cs="Arial" w:eastAsia="Arial" w:hAnsi="Arial"/>
          <w:color w:val="1A1A1A"/>
          <w:sz w:val="20"/>
          <w:szCs w:val="20"/>
        </w:rPr>
        <w:t xml:space="preserve">Contributed to dynamic financial analysis and retrocession modelling for portfolios exceeding $5 billion in gross premiums</w:t>
      </w:r>
    </w:p>
    <w:p>
      <w:pPr>
        <w:pStyle w:val="ListParagraph"/>
        <w:numPr>
          <w:ilvl w:val="0"/>
          <w:numId w:val="2"/>
        </w:numPr>
        <w:spacing w:after="40" w:before="40"/>
      </w:pPr>
      <w:r>
        <w:rPr>
          <w:rFonts w:ascii="Arial" w:cs="Arial" w:eastAsia="Arial" w:hAnsi="Arial"/>
          <w:color w:val="1A1A1A"/>
          <w:sz w:val="20"/>
          <w:szCs w:val="20"/>
        </w:rPr>
        <w:t xml:space="preserve">Developed quarterly profitability reports and dashboards for 10+ business segments, supporting underwriting and strategic planning</w:t>
      </w:r>
    </w:p>
    <w:p>
      <w:pPr>
        <w:pBdr>
          <w:bottom w:val="single" w:color="1B3A6B" w:sz="8" w:space="4"/>
        </w:pBdr>
        <w:spacing w:after="100" w:before="360"/>
      </w:pPr>
      <w:r>
        <w:rPr>
          <w:rFonts w:ascii="Arial" w:cs="Arial" w:eastAsia="Arial" w:hAnsi="Arial"/>
          <w:b/>
          <w:bCs/>
          <w:color w:val="1B3A6B"/>
          <w:sz w:val="22"/>
          <w:szCs w:val="22"/>
        </w:rPr>
        <w:t xml:space="preserve">EDUCATION</w:t>
      </w:r>
    </w:p>
    <w:p>
      <w:pPr>
        <w:tabs>
          <w:tab w:val="right" w:pos="9026"/>
        </w:tabs>
        <w:spacing w:after="40" w:before="180"/>
      </w:pPr>
      <w:r>
        <w:rPr>
          <w:rFonts w:ascii="Arial" w:cs="Arial" w:eastAsia="Arial" w:hAnsi="Arial"/>
          <w:b/>
          <w:bCs/>
          <w:color w:val="1A1A1A"/>
          <w:sz w:val="22"/>
          <w:szCs w:val="22"/>
        </w:rPr>
        <w:t xml:space="preserve">MSc Data Science (Distinction)</w:t>
      </w:r>
      <w:r>
        <w:rPr>
          <w:rFonts w:ascii="Arial" w:cs="Arial" w:eastAsia="Arial" w:hAnsi="Arial"/>
          <w:color w:val="555555"/>
          <w:sz w:val="22"/>
          <w:szCs w:val="22"/>
        </w:rPr>
        <w:t xml:space="preserve">  |  </w:t>
      </w:r>
      <w:r>
        <w:rPr>
          <w:rFonts w:ascii="Arial" w:cs="Arial" w:eastAsia="Arial" w:hAnsi="Arial"/>
          <w:color w:val="1B3A6B"/>
          <w:sz w:val="22"/>
          <w:szCs w:val="22"/>
        </w:rPr>
        <w:t xml:space="preserve">University of Salford</w:t>
      </w:r>
      <w:r>
        <w:rPr>
          <w:rFonts w:ascii="Arial" w:cs="Arial" w:eastAsia="Arial" w:hAnsi="Arial"/>
          <w:sz w:val="22"/>
          <w:szCs w:val="22"/>
        </w:rPr>
        <w:t xml:space="preserve">	</w:t>
      </w:r>
      <w:r>
        <w:rPr>
          <w:rFonts w:ascii="Arial" w:cs="Arial" w:eastAsia="Arial" w:hAnsi="Arial"/>
          <w:i/>
          <w:iCs/>
          <w:color w:val="555555"/>
          <w:sz w:val="20"/>
          <w:szCs w:val="20"/>
        </w:rPr>
        <w:t xml:space="preserve">2025 – 2026</w:t>
      </w:r>
    </w:p>
    <w:p>
      <w:pPr>
        <w:tabs>
          <w:tab w:val="right" w:pos="9026"/>
        </w:tabs>
        <w:spacing w:after="40" w:before="180"/>
      </w:pPr>
      <w:r>
        <w:rPr>
          <w:rFonts w:ascii="Arial" w:cs="Arial" w:eastAsia="Arial" w:hAnsi="Arial"/>
          <w:b/>
          <w:bCs/>
          <w:color w:val="1A1A1A"/>
          <w:sz w:val="22"/>
          <w:szCs w:val="22"/>
        </w:rPr>
        <w:t xml:space="preserve">MA Curriculum and Instruction</w:t>
      </w:r>
      <w:r>
        <w:rPr>
          <w:rFonts w:ascii="Arial" w:cs="Arial" w:eastAsia="Arial" w:hAnsi="Arial"/>
          <w:color w:val="555555"/>
          <w:sz w:val="22"/>
          <w:szCs w:val="22"/>
        </w:rPr>
        <w:t xml:space="preserve">  |  </w:t>
      </w:r>
      <w:r>
        <w:rPr>
          <w:rFonts w:ascii="Arial" w:cs="Arial" w:eastAsia="Arial" w:hAnsi="Arial"/>
          <w:color w:val="1B3A6B"/>
          <w:sz w:val="22"/>
          <w:szCs w:val="22"/>
        </w:rPr>
        <w:t xml:space="preserve">Kean University</w:t>
      </w:r>
      <w:r>
        <w:rPr>
          <w:rFonts w:ascii="Arial" w:cs="Arial" w:eastAsia="Arial" w:hAnsi="Arial"/>
          <w:sz w:val="22"/>
          <w:szCs w:val="22"/>
        </w:rPr>
        <w:t xml:space="preserve">	</w:t>
      </w:r>
      <w:r>
        <w:rPr>
          <w:rFonts w:ascii="Arial" w:cs="Arial" w:eastAsia="Arial" w:hAnsi="Arial"/>
          <w:i/>
          <w:iCs/>
          <w:color w:val="555555"/>
          <w:sz w:val="20"/>
          <w:szCs w:val="20"/>
        </w:rPr>
        <w:t xml:space="preserve">2006 – 2008</w:t>
      </w:r>
    </w:p>
    <w:p>
      <w:pPr>
        <w:tabs>
          <w:tab w:val="right" w:pos="9026"/>
        </w:tabs>
        <w:spacing w:after="40" w:before="180"/>
      </w:pPr>
      <w:r>
        <w:rPr>
          <w:rFonts w:ascii="Arial" w:cs="Arial" w:eastAsia="Arial" w:hAnsi="Arial"/>
          <w:b/>
          <w:bCs/>
          <w:color w:val="1A1A1A"/>
          <w:sz w:val="22"/>
          <w:szCs w:val="22"/>
        </w:rPr>
        <w:t xml:space="preserve">BSc Finance (Cum Laude)</w:t>
      </w:r>
      <w:r>
        <w:rPr>
          <w:rFonts w:ascii="Arial" w:cs="Arial" w:eastAsia="Arial" w:hAnsi="Arial"/>
          <w:color w:val="555555"/>
          <w:sz w:val="22"/>
          <w:szCs w:val="22"/>
        </w:rPr>
        <w:t xml:space="preserve">  |  </w:t>
      </w:r>
      <w:r>
        <w:rPr>
          <w:rFonts w:ascii="Arial" w:cs="Arial" w:eastAsia="Arial" w:hAnsi="Arial"/>
          <w:color w:val="1B3A6B"/>
          <w:sz w:val="22"/>
          <w:szCs w:val="22"/>
        </w:rPr>
        <w:t xml:space="preserve">Kean University</w:t>
      </w:r>
      <w:r>
        <w:rPr>
          <w:rFonts w:ascii="Arial" w:cs="Arial" w:eastAsia="Arial" w:hAnsi="Arial"/>
          <w:sz w:val="22"/>
          <w:szCs w:val="22"/>
        </w:rPr>
        <w:t xml:space="preserve">	</w:t>
      </w:r>
      <w:r>
        <w:rPr>
          <w:rFonts w:ascii="Arial" w:cs="Arial" w:eastAsia="Arial" w:hAnsi="Arial"/>
          <w:i/>
          <w:iCs/>
          <w:color w:val="555555"/>
          <w:sz w:val="20"/>
          <w:szCs w:val="20"/>
        </w:rPr>
        <w:t xml:space="preserve">1999 – 2003</w:t>
      </w:r>
    </w:p>
    <w:p>
      <w:pPr>
        <w:spacing w:after="40" w:before="40"/>
      </w:pPr>
      <w:r>
        <w:rPr>
          <w:rFonts w:ascii="Arial" w:cs="Arial" w:eastAsia="Arial" w:hAnsi="Arial"/>
          <w:i/>
          <w:iCs/>
          <w:color w:val="555555"/>
          <w:sz w:val="20"/>
          <w:szCs w:val="20"/>
        </w:rPr>
        <w:t xml:space="preserve">Phi Kappa Phi Honor Society</w:t>
      </w:r>
    </w:p>
    <w:p>
      <w:pPr>
        <w:pBdr>
          <w:bottom w:val="single" w:color="1B3A6B" w:sz="8" w:space="4"/>
        </w:pBdr>
        <w:spacing w:after="100" w:before="360"/>
      </w:pPr>
      <w:r>
        <w:rPr>
          <w:rFonts w:ascii="Arial" w:cs="Arial" w:eastAsia="Arial" w:hAnsi="Arial"/>
          <w:b/>
          <w:bCs/>
          <w:color w:val="1B3A6B"/>
          <w:sz w:val="22"/>
          <w:szCs w:val="22"/>
        </w:rPr>
        <w:t xml:space="preserve">KEY PROJECTS</w:t>
      </w:r>
    </w:p>
    <w:p>
      <w:pPr>
        <w:spacing w:after="40" w:before="80"/>
      </w:pPr>
      <w:r>
        <w:rPr>
          <w:rFonts w:ascii="Arial" w:cs="Arial" w:eastAsia="Arial" w:hAnsi="Arial"/>
          <w:b/>
          <w:bCs/>
          <w:color w:val="1B3A6B"/>
          <w:sz w:val="20"/>
          <w:szCs w:val="20"/>
        </w:rPr>
        <w:t xml:space="preserve">Agentic AI Decision Support System</w:t>
      </w:r>
      <w:r>
        <w:rPr>
          <w:rFonts w:ascii="Arial" w:cs="Arial" w:eastAsia="Arial" w:hAnsi="Arial"/>
          <w:color w:val="555555"/>
          <w:sz w:val="20"/>
          <w:szCs w:val="20"/>
        </w:rPr>
        <w:t xml:space="preserve">  |  PySpark, Databricks, RAG, FAISS, LangChain, Claude API, MLflow</w:t>
      </w:r>
    </w:p>
    <w:p>
      <w:pPr>
        <w:spacing w:after="40" w:before="40"/>
      </w:pPr>
      <w:r>
        <w:rPr>
          <w:rFonts w:ascii="Arial" w:cs="Arial" w:eastAsia="Arial" w:hAnsi="Arial"/>
          <w:i w:val="false"/>
          <w:iCs w:val="false"/>
          <w:color w:val="1A1A1A"/>
          <w:sz w:val="20"/>
          <w:szCs w:val="20"/>
        </w:rPr>
        <w:t xml:space="preserve">Hierarchical three-agent RAG system on 18.4M records with FAISS vector retrieval, sentence transformer embeddings, and Claude API. Human-in-the-loop governance and NDA-compliant scope enforcement built into both architecture and query intake.</w:t>
      </w:r>
    </w:p>
    <w:p>
      <w:pPr>
        <w:spacing w:after="40" w:before="80"/>
      </w:pPr>
      <w:r>
        <w:rPr>
          <w:rFonts w:ascii="Arial" w:cs="Arial" w:eastAsia="Arial" w:hAnsi="Arial"/>
          <w:b/>
          <w:bCs/>
          <w:color w:val="1B3A6B"/>
          <w:sz w:val="20"/>
          <w:szCs w:val="20"/>
        </w:rPr>
        <w:t xml:space="preserve">Steam Game Recommender System</w:t>
      </w:r>
      <w:r>
        <w:rPr>
          <w:rFonts w:ascii="Arial" w:cs="Arial" w:eastAsia="Arial" w:hAnsi="Arial"/>
          <w:color w:val="555555"/>
          <w:sz w:val="20"/>
          <w:szCs w:val="20"/>
        </w:rPr>
        <w:t xml:space="preserve">  |  PySpark, ALS, MLflow, CrossValidator, Databricks</w:t>
      </w:r>
    </w:p>
    <w:p>
      <w:pPr>
        <w:spacing w:after="40" w:before="40"/>
      </w:pPr>
      <w:r>
        <w:rPr>
          <w:rFonts w:ascii="Arial" w:cs="Arial" w:eastAsia="Arial" w:hAnsi="Arial"/>
          <w:i w:val="false"/>
          <w:iCs w:val="false"/>
          <w:color w:val="1A1A1A"/>
          <w:sz w:val="20"/>
          <w:szCs w:val="20"/>
        </w:rPr>
        <w:t xml:space="preserve">Collaborative filtering recommender on 200k Steam user-game interactions using PySpark ALS. Log-transformed implicit feedback, 3-fold CrossValidator with ParamGridBuilder, and full MLflow experiment tracking with model registry and inference reload. Best RMSE: 0.831.</w:t>
      </w:r>
    </w:p>
    <w:p>
      <w:pPr>
        <w:spacing w:after="40" w:before="80"/>
      </w:pPr>
      <w:r>
        <w:rPr>
          <w:rFonts w:ascii="Arial" w:cs="Arial" w:eastAsia="Arial" w:hAnsi="Arial"/>
          <w:b/>
          <w:bCs/>
          <w:color w:val="1B3A6B"/>
          <w:sz w:val="20"/>
          <w:szCs w:val="20"/>
        </w:rPr>
        <w:t xml:space="preserve">Airport Ticketing System</w:t>
      </w:r>
      <w:r>
        <w:rPr>
          <w:rFonts w:ascii="Arial" w:cs="Arial" w:eastAsia="Arial" w:hAnsi="Arial"/>
          <w:color w:val="555555"/>
          <w:sz w:val="20"/>
          <w:szCs w:val="20"/>
        </w:rPr>
        <w:t xml:space="preserve">  |  SQL Server, T-SQL, Stored Procedures, RBAC, Triggers</w:t>
      </w:r>
    </w:p>
    <w:p>
      <w:pPr>
        <w:spacing w:after="40" w:before="40"/>
      </w:pPr>
      <w:r>
        <w:rPr>
          <w:rFonts w:ascii="Arial" w:cs="Arial" w:eastAsia="Arial" w:hAnsi="Arial"/>
          <w:i w:val="false"/>
          <w:iCs w:val="false"/>
          <w:color w:val="1A1A1A"/>
          <w:sz w:val="20"/>
          <w:szCs w:val="20"/>
        </w:rPr>
        <w:t xml:space="preserve">Production-grade relational database across 10 tables for airport ticketing operations. Four stored procedures, role-based access control, automated triggers, pre-built analytical views, and optimised indexes on high-frequency query paths.</w:t>
      </w:r>
    </w:p>
    <w:p>
      <w:pPr>
        <w:pBdr>
          <w:bottom w:val="single" w:color="1B3A6B" w:sz="8" w:space="4"/>
        </w:pBdr>
        <w:spacing w:after="100" w:before="360"/>
      </w:pPr>
      <w:r>
        <w:rPr>
          <w:rFonts w:ascii="Arial" w:cs="Arial" w:eastAsia="Arial" w:hAnsi="Arial"/>
          <w:b/>
          <w:bCs/>
          <w:color w:val="1B3A6B"/>
          <w:sz w:val="22"/>
          <w:szCs w:val="22"/>
        </w:rPr>
        <w:t xml:space="preserve">CERTIFICATIONS</w:t>
      </w:r>
    </w:p>
    <w:p>
      <w:pPr>
        <w:spacing w:after="40" w:before="40"/>
      </w:pPr>
      <w:r>
        <w:rPr>
          <w:rFonts w:ascii="Arial" w:cs="Arial" w:eastAsia="Arial" w:hAnsi="Arial"/>
          <w:b/>
          <w:bCs/>
          <w:color w:val="1A1A1A"/>
          <w:sz w:val="20"/>
          <w:szCs w:val="20"/>
        </w:rPr>
        <w:t xml:space="preserve">Databricks Certified Associate Developer for Apache Spark</w:t>
      </w:r>
      <w:r>
        <w:rPr>
          <w:rFonts w:ascii="Arial" w:cs="Arial" w:eastAsia="Arial" w:hAnsi="Arial"/>
          <w:i/>
          <w:iCs/>
          <w:color w:val="555555"/>
          <w:sz w:val="20"/>
          <w:szCs w:val="20"/>
        </w:rPr>
        <w:t xml:space="preserve">  (in progress)</w:t>
      </w:r>
    </w:p>
    <w:p>
      <w:pPr>
        <w:spacing w:after="40" w:before="40"/>
      </w:pPr>
      <w:r>
        <w:rPr>
          <w:rFonts w:ascii="Arial" w:cs="Arial" w:eastAsia="Arial" w:hAnsi="Arial"/>
          <w:b/>
          <w:bCs/>
          <w:color w:val="1A1A1A"/>
          <w:sz w:val="20"/>
          <w:szCs w:val="20"/>
        </w:rPr>
        <w:t xml:space="preserve">Microsoft Power BI Data Analyst PL-300</w:t>
      </w:r>
      <w:r>
        <w:rPr>
          <w:rFonts w:ascii="Arial" w:cs="Arial" w:eastAsia="Arial" w:hAnsi="Arial"/>
          <w:i/>
          <w:iCs/>
          <w:color w:val="555555"/>
          <w:sz w:val="20"/>
          <w:szCs w:val="20"/>
        </w:rPr>
        <w:t xml:space="preserve">  (in progress)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rargnluaaqs5avbaz1c3" Type="http://schemas.openxmlformats.org/officeDocument/2006/relationships/hyperlink" Target="https://www.linkedin.com/in/dameka-dublin" TargetMode="External"/><Relationship Id="rIdgnabso0q3fzfrcp5yq3hf" Type="http://schemas.openxmlformats.org/officeDocument/2006/relationships/hyperlink" Target="https://github.com/DDublin1"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2026-05-20T22:05:44.784Z</dcterms:created>
  <dcterms:modified xsi:type="dcterms:W3CDTF">2026-05-20T22:05:44.784Z</dcterms:modified>
</cp:coreProperties>
</file>

<file path=docProps/custom.xml><?xml version="1.0" encoding="utf-8"?>
<Properties xmlns="http://schemas.openxmlformats.org/officeDocument/2006/custom-properties" xmlns:vt="http://schemas.openxmlformats.org/officeDocument/2006/docPropsVTypes"/>
</file>