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ind w:firstLine="0"/>
        <w:jc w:val="left"/>
      </w:pPr>
      <w:r>
        <w:t xml:space="preserve">DE-CONSPIRATOR: Detecting and Countering Information Suppression from A Transnational Perspective</w:t>
      </w:r>
    </w:p>
    <w:p>
      <w:pPr>
        <w:pStyle w:val="BodyText"/>
        <w:ind w:firstLine="0"/>
        <w:jc w:val="left"/>
      </w:pPr>
      <w:r>
        <w:t xml:space="preserve">Funded by the European Union under Horizon Europe Grant Agreement 101132671</w:t>
      </w:r>
    </w:p>
    <w:bookmarkStart w:id="21" w:name="Xd727472e1fe88517288add017d896759ccebb7e"/>
    <w:p>
      <w:pPr>
        <w:pStyle w:val="Heading1"/>
      </w:pPr>
      <w:r>
        <w:rPr>
          <w:bCs/>
          <w:b/>
        </w:rPr>
        <w:t xml:space="preserve">The DE-CONSPIRATOR FIMI Attribution Event Dataset: Codebook, release v2.4.3</w:t>
      </w:r>
    </w:p>
    <w:p>
      <w:pPr>
        <w:pStyle w:val="FirstParagraph"/>
        <w:ind w:firstLine="0"/>
        <w:jc w:val="left"/>
      </w:pPr>
      <w:r>
        <w:rPr>
          <w:bCs/>
          <w:b/>
        </w:rPr>
        <w:t xml:space="preserve">Project information</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Item</w:t>
            </w:r>
          </w:p>
        </w:tc>
        <w:tc>
          <w:tcPr/>
          <w:p>
            <w:pPr>
              <w:pStyle w:val="Compact"/>
              <w:spacing w:after="40" w:before="40"/>
              <w:jc w:val="left"/>
            </w:pPr>
            <w:r>
              <w:t xml:space="preserve">Value</w:t>
            </w:r>
          </w:p>
        </w:tc>
      </w:tr>
      <w:tr>
        <w:tc>
          <w:tcPr/>
          <w:p>
            <w:pPr>
              <w:pStyle w:val="Compact"/>
              <w:spacing w:after="40" w:before="40"/>
              <w:jc w:val="left"/>
            </w:pPr>
            <w:r>
              <w:t xml:space="preserve">Acronym</w:t>
            </w:r>
          </w:p>
        </w:tc>
        <w:tc>
          <w:tcPr/>
          <w:p>
            <w:pPr>
              <w:pStyle w:val="Compact"/>
              <w:spacing w:after="40" w:before="40"/>
              <w:jc w:val="left"/>
            </w:pPr>
            <w:r>
              <w:t xml:space="preserve">DE-CONSPIRATOR</w:t>
            </w:r>
          </w:p>
        </w:tc>
      </w:tr>
      <w:tr>
        <w:tc>
          <w:tcPr/>
          <w:p>
            <w:pPr>
              <w:pStyle w:val="Compact"/>
              <w:spacing w:after="40" w:before="40"/>
              <w:jc w:val="left"/>
            </w:pPr>
            <w:r>
              <w:t xml:space="preserve">Title</w:t>
            </w:r>
          </w:p>
        </w:tc>
        <w:tc>
          <w:tcPr/>
          <w:p>
            <w:pPr>
              <w:pStyle w:val="Compact"/>
              <w:spacing w:after="40" w:before="40"/>
              <w:jc w:val="left"/>
            </w:pPr>
            <w:r>
              <w:t xml:space="preserve">Detecting and Countering Information Suppression from A Transnational Perspective</w:t>
            </w:r>
          </w:p>
        </w:tc>
      </w:tr>
      <w:tr>
        <w:tc>
          <w:tcPr/>
          <w:p>
            <w:pPr>
              <w:pStyle w:val="Compact"/>
              <w:spacing w:after="40" w:before="40"/>
              <w:jc w:val="left"/>
            </w:pPr>
            <w:r>
              <w:t xml:space="preserve">Grant Agreement No</w:t>
            </w:r>
          </w:p>
        </w:tc>
        <w:tc>
          <w:tcPr/>
          <w:p>
            <w:pPr>
              <w:pStyle w:val="Compact"/>
              <w:spacing w:after="40" w:before="40"/>
              <w:jc w:val="left"/>
            </w:pPr>
            <w:r>
              <w:t xml:space="preserve">101132671</w:t>
            </w:r>
          </w:p>
        </w:tc>
      </w:tr>
      <w:tr>
        <w:tc>
          <w:tcPr/>
          <w:p>
            <w:pPr>
              <w:pStyle w:val="Compact"/>
              <w:spacing w:after="40" w:before="40"/>
              <w:jc w:val="left"/>
            </w:pPr>
            <w:r>
              <w:t xml:space="preserve">Start date and duration</w:t>
            </w:r>
          </w:p>
        </w:tc>
        <w:tc>
          <w:tcPr/>
          <w:p>
            <w:pPr>
              <w:pStyle w:val="Compact"/>
              <w:spacing w:after="40" w:before="40"/>
              <w:jc w:val="left"/>
            </w:pPr>
            <w:r>
              <w:t xml:space="preserve">01/01/2024, 36 months (2024-2026)</w:t>
            </w:r>
          </w:p>
        </w:tc>
      </w:tr>
      <w:tr>
        <w:tc>
          <w:tcPr/>
          <w:p>
            <w:pPr>
              <w:pStyle w:val="Compact"/>
              <w:spacing w:after="40" w:before="40"/>
              <w:jc w:val="left"/>
            </w:pPr>
            <w:r>
              <w:t xml:space="preserve">Type of action</w:t>
            </w:r>
          </w:p>
        </w:tc>
        <w:tc>
          <w:tcPr/>
          <w:p>
            <w:pPr>
              <w:pStyle w:val="Compact"/>
              <w:spacing w:after="40" w:before="40"/>
              <w:jc w:val="left"/>
            </w:pPr>
            <w:r>
              <w:t xml:space="preserve">Research and Innovation Action (RIA)</w:t>
            </w:r>
          </w:p>
        </w:tc>
      </w:tr>
      <w:tr>
        <w:tc>
          <w:tcPr/>
          <w:p>
            <w:pPr>
              <w:pStyle w:val="Compact"/>
              <w:spacing w:after="40" w:before="40"/>
              <w:jc w:val="left"/>
            </w:pPr>
            <w:r>
              <w:t xml:space="preserve">Topic</w:t>
            </w:r>
          </w:p>
        </w:tc>
        <w:tc>
          <w:tcPr/>
          <w:p>
            <w:pPr>
              <w:pStyle w:val="Compact"/>
              <w:spacing w:after="40" w:before="40"/>
              <w:jc w:val="left"/>
            </w:pPr>
            <w:r>
              <w:t xml:space="preserve">HORIZON-CL2-2023-DEMOCRACY-01-02. Developing a better understanding of information suppression by state authorities as an example of foreign information manipulation and interference</w:t>
            </w:r>
          </w:p>
        </w:tc>
      </w:tr>
      <w:tr>
        <w:tc>
          <w:tcPr/>
          <w:p>
            <w:pPr>
              <w:pStyle w:val="Compact"/>
              <w:spacing w:after="40" w:before="40"/>
              <w:jc w:val="left"/>
            </w:pPr>
            <w:r>
              <w:t xml:space="preserve">Coordinator</w:t>
            </w:r>
          </w:p>
        </w:tc>
        <w:tc>
          <w:tcPr/>
          <w:p>
            <w:pPr>
              <w:pStyle w:val="Compact"/>
              <w:spacing w:after="40" w:before="40"/>
              <w:jc w:val="left"/>
            </w:pPr>
            <w:r>
              <w:t xml:space="preserve">Özyeğin University, Türkiye</w:t>
            </w:r>
          </w:p>
        </w:tc>
      </w:tr>
      <w:tr>
        <w:tc>
          <w:tcPr/>
          <w:p>
            <w:pPr>
              <w:pStyle w:val="Compact"/>
              <w:spacing w:after="40" w:before="40"/>
              <w:jc w:val="left"/>
            </w:pPr>
            <w:r>
              <w:t xml:space="preserve">Consortium</w:t>
            </w:r>
          </w:p>
        </w:tc>
        <w:tc>
          <w:tcPr/>
          <w:p>
            <w:pPr>
              <w:pStyle w:val="Compact"/>
              <w:spacing w:after="40" w:before="40"/>
              <w:jc w:val="left"/>
            </w:pPr>
            <w:r>
              <w:t xml:space="preserve">Coordinator and 13 participating organisations across 9 countries</w:t>
            </w:r>
          </w:p>
        </w:tc>
      </w:tr>
      <w:tr>
        <w:tc>
          <w:tcPr/>
          <w:p>
            <w:pPr>
              <w:pStyle w:val="Compact"/>
              <w:spacing w:after="40" w:before="40"/>
              <w:jc w:val="left"/>
            </w:pPr>
            <w:r>
              <w:t xml:space="preserve">EU contribution</w:t>
            </w:r>
          </w:p>
        </w:tc>
        <w:tc>
          <w:tcPr/>
          <w:p>
            <w:pPr>
              <w:pStyle w:val="Compact"/>
              <w:spacing w:after="40" w:before="40"/>
              <w:jc w:val="left"/>
            </w:pPr>
            <w:r>
              <w:t xml:space="preserve">EUR 2,999,766.25</w:t>
            </w:r>
          </w:p>
        </w:tc>
      </w:tr>
      <w:tr>
        <w:tc>
          <w:tcPr/>
          <w:p>
            <w:pPr>
              <w:pStyle w:val="Compact"/>
              <w:spacing w:after="40" w:before="40"/>
              <w:jc w:val="left"/>
            </w:pPr>
            <w:r>
              <w:t xml:space="preserve">Project DOI and record</w:t>
            </w:r>
          </w:p>
        </w:tc>
        <w:tc>
          <w:tcPr/>
          <w:p>
            <w:pPr>
              <w:pStyle w:val="Compact"/>
              <w:spacing w:after="40" w:before="40"/>
              <w:jc w:val="left"/>
            </w:pPr>
            <w:r>
              <w:t xml:space="preserve">10.3030/101132671;</w:t>
            </w:r>
            <w:r>
              <w:t xml:space="preserve"> </w:t>
            </w:r>
            <w:hyperlink r:id="rId20">
              <w:r>
                <w:rPr>
                  <w:rStyle w:val="Hyperlink"/>
                </w:rPr>
                <w:t xml:space="preserve">https://cordis.europa.eu/project/id/101132671</w:t>
              </w:r>
            </w:hyperlink>
          </w:p>
        </w:tc>
      </w:tr>
    </w:tbl>
    <w:p>
      <w:pPr>
        <w:pStyle w:val="BodyText"/>
        <w:ind w:firstLine="0"/>
        <w:jc w:val="left"/>
      </w:pPr>
      <w:r>
        <w:rPr>
          <w:bCs/>
          <w:b/>
        </w:rPr>
        <w:t xml:space="preserve">Document information</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Item</w:t>
            </w:r>
          </w:p>
        </w:tc>
        <w:tc>
          <w:tcPr/>
          <w:p>
            <w:pPr>
              <w:pStyle w:val="Compact"/>
              <w:spacing w:after="40" w:before="40"/>
              <w:jc w:val="left"/>
            </w:pPr>
            <w:r>
              <w:t xml:space="preserve">Value</w:t>
            </w:r>
          </w:p>
        </w:tc>
      </w:tr>
      <w:tr>
        <w:tc>
          <w:tcPr/>
          <w:p>
            <w:pPr>
              <w:pStyle w:val="Compact"/>
              <w:spacing w:after="40" w:before="40"/>
              <w:jc w:val="left"/>
            </w:pPr>
            <w:r>
              <w:t xml:space="preserve">Document</w:t>
            </w:r>
          </w:p>
        </w:tc>
        <w:tc>
          <w:tcPr/>
          <w:p>
            <w:pPr>
              <w:pStyle w:val="Compact"/>
              <w:spacing w:after="40" w:before="40"/>
              <w:jc w:val="left"/>
            </w:pPr>
            <w:r>
              <w:t xml:space="preserve">The DE-CONSPIRATOR FIMI Attribution Event Dataset: Codebook</w:t>
            </w:r>
          </w:p>
        </w:tc>
      </w:tr>
      <w:tr>
        <w:tc>
          <w:tcPr/>
          <w:p>
            <w:pPr>
              <w:pStyle w:val="Compact"/>
              <w:spacing w:after="40" w:before="40"/>
              <w:jc w:val="left"/>
            </w:pPr>
            <w:r>
              <w:t xml:space="preserve">Accompanies</w:t>
            </w:r>
          </w:p>
        </w:tc>
        <w:tc>
          <w:tcPr/>
          <w:p>
            <w:pPr>
              <w:pStyle w:val="Compact"/>
              <w:spacing w:after="40" w:before="40"/>
              <w:jc w:val="left"/>
            </w:pPr>
            <w:r>
              <w:t xml:space="preserve">Deliverable D4.2, the data file DCFIMIEvent_v2_4_3.csv and the registries workbook DCFIMIEvent_v2_4_3_registries.xlsx</w:t>
            </w:r>
          </w:p>
        </w:tc>
      </w:tr>
      <w:tr>
        <w:tc>
          <w:tcPr/>
          <w:p>
            <w:pPr>
              <w:pStyle w:val="Compact"/>
              <w:spacing w:after="40" w:before="40"/>
              <w:jc w:val="left"/>
            </w:pPr>
            <w:r>
              <w:t xml:space="preserve">Issued by</w:t>
            </w:r>
          </w:p>
        </w:tc>
        <w:tc>
          <w:tcPr/>
          <w:p>
            <w:pPr>
              <w:pStyle w:val="Compact"/>
              <w:spacing w:after="40" w:before="40"/>
              <w:jc w:val="left"/>
            </w:pPr>
            <w:r>
              <w:t xml:space="preserve">Özyeğin University</w:t>
            </w:r>
          </w:p>
        </w:tc>
      </w:tr>
      <w:tr>
        <w:tc>
          <w:tcPr/>
          <w:p>
            <w:pPr>
              <w:pStyle w:val="Compact"/>
              <w:spacing w:after="40" w:before="40"/>
              <w:jc w:val="left"/>
            </w:pPr>
            <w:r>
              <w:t xml:space="preserve">Issue date</w:t>
            </w:r>
          </w:p>
        </w:tc>
        <w:tc>
          <w:tcPr/>
          <w:p>
            <w:pPr>
              <w:pStyle w:val="Compact"/>
              <w:spacing w:after="40" w:before="40"/>
              <w:jc w:val="left"/>
            </w:pPr>
            <w:r>
              <w:t xml:space="preserve">30/09/2026</w:t>
            </w:r>
          </w:p>
        </w:tc>
      </w:tr>
      <w:tr>
        <w:tc>
          <w:tcPr/>
          <w:p>
            <w:pPr>
              <w:pStyle w:val="Compact"/>
              <w:spacing w:after="40" w:before="40"/>
              <w:jc w:val="left"/>
            </w:pPr>
            <w:r>
              <w:t xml:space="preserve">Due date</w:t>
            </w:r>
          </w:p>
        </w:tc>
        <w:tc>
          <w:tcPr/>
          <w:p>
            <w:pPr>
              <w:pStyle w:val="Compact"/>
              <w:spacing w:after="40" w:before="40"/>
              <w:jc w:val="left"/>
            </w:pPr>
            <w:r>
              <w:t xml:space="preserve">30/09/2026</w:t>
            </w:r>
          </w:p>
        </w:tc>
      </w:tr>
      <w:tr>
        <w:tc>
          <w:tcPr/>
          <w:p>
            <w:pPr>
              <w:pStyle w:val="Compact"/>
              <w:spacing w:after="40" w:before="40"/>
              <w:jc w:val="left"/>
            </w:pPr>
            <w:r>
              <w:t xml:space="preserve">Work Package Leader</w:t>
            </w:r>
          </w:p>
        </w:tc>
        <w:tc>
          <w:tcPr/>
          <w:p>
            <w:pPr>
              <w:pStyle w:val="Compact"/>
              <w:spacing w:after="40" w:before="40"/>
              <w:jc w:val="left"/>
            </w:pPr>
            <w:r>
              <w:t xml:space="preserve">Özyeğin University</w:t>
            </w:r>
          </w:p>
        </w:tc>
      </w:tr>
      <w:tr>
        <w:tc>
          <w:tcPr/>
          <w:p>
            <w:pPr>
              <w:pStyle w:val="Compact"/>
              <w:spacing w:after="40" w:before="40"/>
              <w:jc w:val="left"/>
            </w:pPr>
            <w:r>
              <w:t xml:space="preserve">Dissemination level</w:t>
            </w:r>
          </w:p>
        </w:tc>
        <w:tc>
          <w:tcPr/>
          <w:p>
            <w:pPr>
              <w:pStyle w:val="Compact"/>
              <w:spacing w:after="40" w:before="40"/>
              <w:jc w:val="left"/>
            </w:pPr>
            <w:r>
              <w:t xml:space="preserve">PU (Public)</w:t>
            </w:r>
          </w:p>
        </w:tc>
      </w:tr>
      <w:tr>
        <w:tc>
          <w:tcPr/>
          <w:p>
            <w:pPr>
              <w:pStyle w:val="Compact"/>
              <w:spacing w:after="40" w:before="40"/>
              <w:jc w:val="left"/>
            </w:pPr>
            <w:r>
              <w:t xml:space="preserve">Version</w:t>
            </w:r>
          </w:p>
        </w:tc>
        <w:tc>
          <w:tcPr/>
          <w:p>
            <w:pPr>
              <w:pStyle w:val="Compact"/>
              <w:spacing w:after="40" w:before="40"/>
              <w:jc w:val="left"/>
            </w:pPr>
            <w:r>
              <w:t xml:space="preserve">v2.4.6 (codebook versions and dataset releases are separate series)</w:t>
            </w:r>
          </w:p>
        </w:tc>
      </w:tr>
      <w:tr>
        <w:tc>
          <w:tcPr/>
          <w:p>
            <w:pPr>
              <w:pStyle w:val="Compact"/>
              <w:spacing w:after="40" w:before="40"/>
              <w:jc w:val="left"/>
            </w:pPr>
            <w:r>
              <w:t xml:space="preserve">Dataset release described</w:t>
            </w:r>
          </w:p>
        </w:tc>
        <w:tc>
          <w:tcPr/>
          <w:p>
            <w:pPr>
              <w:pStyle w:val="Compact"/>
              <w:spacing w:after="40" w:before="40"/>
              <w:jc w:val="left"/>
            </w:pPr>
            <w:r>
              <w:t xml:space="preserve">v2.4.3: consolidated from frozen release v2.3.3 at v2.4, corrected at v2.4.1 and v2.4.2, trimmed at v2.4.3</w:t>
            </w:r>
          </w:p>
        </w:tc>
      </w:tr>
      <w:tr>
        <w:tc>
          <w:tcPr/>
          <w:p>
            <w:pPr>
              <w:pStyle w:val="Compact"/>
              <w:spacing w:after="40" w:before="40"/>
              <w:jc w:val="left"/>
            </w:pPr>
            <w:r>
              <w:t xml:space="preserve">Released file SHA-256</w:t>
            </w:r>
          </w:p>
        </w:tc>
        <w:tc>
          <w:tcPr/>
          <w:p>
            <w:pPr>
              <w:pStyle w:val="Compact"/>
              <w:spacing w:after="40" w:before="40"/>
              <w:jc w:val="left"/>
            </w:pPr>
            <w:r>
              <w:t xml:space="preserve">737f23bea8fabfd312c5903730d2b9022be7e6cd9eaeb09a5ae30bcaa26fa649 (DCFIMIEvent_v2_4_3.csv)</w:t>
            </w:r>
          </w:p>
        </w:tc>
      </w:tr>
      <w:tr>
        <w:tc>
          <w:tcPr/>
          <w:p>
            <w:pPr>
              <w:pStyle w:val="Compact"/>
              <w:spacing w:after="40" w:before="40"/>
              <w:jc w:val="left"/>
            </w:pPr>
            <w:r>
              <w:t xml:space="preserve">Frozen release SHA-256</w:t>
            </w:r>
          </w:p>
        </w:tc>
        <w:tc>
          <w:tcPr/>
          <w:p>
            <w:pPr>
              <w:pStyle w:val="Compact"/>
              <w:spacing w:after="40" w:before="40"/>
              <w:jc w:val="left"/>
            </w:pPr>
            <w:r>
              <w:t xml:space="preserve">ef1ddf7f663fe4894c40b243e7acc85e8831093010e7aeac29d0a8b9290e1b3d (deconspirator_fimi_events_v2.3.3.csv)</w:t>
            </w:r>
          </w:p>
        </w:tc>
      </w:tr>
    </w:tbl>
    <w:p>
      <w:pPr>
        <w:pStyle w:val="BodyText"/>
        <w:ind w:firstLine="0"/>
        <w:jc w:val="left"/>
      </w:pPr>
      <w:r>
        <w:rPr>
          <w:bCs/>
          <w:b/>
        </w:rPr>
        <w:t xml:space="preserve">Version control</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true"/>
        </w:trPr>
        <w:tc>
          <w:tcPr/>
          <w:p>
            <w:pPr>
              <w:pStyle w:val="Compact"/>
              <w:spacing w:after="40" w:before="40"/>
              <w:jc w:val="left"/>
            </w:pPr>
            <w:r>
              <w:t xml:space="preserve">Version</w:t>
            </w:r>
          </w:p>
        </w:tc>
        <w:tc>
          <w:tcPr/>
          <w:p>
            <w:pPr>
              <w:pStyle w:val="Compact"/>
              <w:spacing w:after="40" w:before="40"/>
              <w:jc w:val="left"/>
            </w:pPr>
            <w:r>
              <w:t xml:space="preserve">Date</w:t>
            </w:r>
          </w:p>
        </w:tc>
        <w:tc>
          <w:tcPr/>
          <w:p>
            <w:pPr>
              <w:pStyle w:val="Compact"/>
              <w:spacing w:after="40" w:before="40"/>
              <w:jc w:val="left"/>
            </w:pPr>
            <w:r>
              <w:t xml:space="preserve">Main modifications</w:t>
            </w:r>
          </w:p>
        </w:tc>
      </w:tr>
      <w:tr>
        <w:tc>
          <w:tcPr/>
          <w:p>
            <w:pPr>
              <w:pStyle w:val="Compact"/>
              <w:spacing w:after="40" w:before="40"/>
              <w:jc w:val="left"/>
            </w:pPr>
            <w:r>
              <w:t xml:space="preserve">1.0</w:t>
            </w:r>
          </w:p>
        </w:tc>
        <w:tc>
          <w:tcPr/>
          <w:p>
            <w:pPr>
              <w:pStyle w:val="Compact"/>
              <w:spacing w:after="40" w:before="40"/>
              <w:jc w:val="left"/>
            </w:pPr>
            <w:r>
              <w:t xml:space="preserve">29/08/2026</w:t>
            </w:r>
          </w:p>
        </w:tc>
        <w:tc>
          <w:tcPr/>
          <w:p>
            <w:pPr>
              <w:pStyle w:val="Compact"/>
              <w:spacing w:after="40" w:before="40"/>
              <w:jc w:val="left"/>
            </w:pPr>
            <w:r>
              <w:t xml:space="preserve">Field list issued as codebook_v2.3.3.csv alongside the eleven-file dataset release.</w:t>
            </w:r>
          </w:p>
        </w:tc>
      </w:tr>
      <w:tr>
        <w:tc>
          <w:tcPr/>
          <w:p>
            <w:pPr>
              <w:pStyle w:val="Compact"/>
              <w:spacing w:after="40" w:before="40"/>
              <w:jc w:val="left"/>
            </w:pPr>
            <w:r>
              <w:t xml:space="preserve">2.4</w:t>
            </w:r>
          </w:p>
        </w:tc>
        <w:tc>
          <w:tcPr/>
          <w:p>
            <w:pPr>
              <w:pStyle w:val="Compact"/>
              <w:spacing w:after="40" w:before="40"/>
              <w:jc w:val="left"/>
            </w:pPr>
            <w:r>
              <w:t xml:space="preserve">29/08/2026</w:t>
            </w:r>
          </w:p>
        </w:tc>
        <w:tc>
          <w:tcPr/>
          <w:p>
            <w:pPr>
              <w:pStyle w:val="Compact"/>
              <w:spacing w:after="40" w:before="40"/>
              <w:jc w:val="left"/>
            </w:pPr>
            <w:r>
              <w:t xml:space="preserve">Rewritten as a standalone extended codebook for the consolidated single-file release. Variables documented in UCDP functional blocks; the registries, the source document register, the crosswalk, the frozen figure manifest, the audit findings, the correction register and the rebuild procedure absorbed as appendices.</w:t>
            </w:r>
          </w:p>
        </w:tc>
      </w:tr>
      <w:tr>
        <w:tc>
          <w:tcPr/>
          <w:p>
            <w:pPr>
              <w:pStyle w:val="Compact"/>
              <w:spacing w:after="40" w:before="40"/>
              <w:jc w:val="left"/>
            </w:pPr>
            <w:r>
              <w:t xml:space="preserve">2.4.1</w:t>
            </w:r>
          </w:p>
        </w:tc>
        <w:tc>
          <w:tcPr/>
          <w:p>
            <w:pPr>
              <w:pStyle w:val="Compact"/>
              <w:spacing w:after="40" w:before="40"/>
              <w:jc w:val="left"/>
            </w:pPr>
            <w:r>
              <w:t xml:space="preserve">29/08/2026</w:t>
            </w:r>
          </w:p>
        </w:tc>
        <w:tc>
          <w:tcPr/>
          <w:p>
            <w:pPr>
              <w:pStyle w:val="Compact"/>
              <w:spacing w:after="40" w:before="40"/>
              <w:jc w:val="left"/>
            </w:pPr>
            <w:r>
              <w:t xml:space="preserve">Actor recode. Section 4 redefines actor_named as a controlled vocabulary of 9 categories; Section 6 replaces actor resolution with the coding rule; actor_canonical and actor_resolution_status retired, taking the file from 89 to 87 variables. Correction register item B-10 closed and items E-16 and E-17 added.</w:t>
            </w:r>
          </w:p>
        </w:tc>
      </w:tr>
      <w:tr>
        <w:tc>
          <w:tcPr/>
          <w:p>
            <w:pPr>
              <w:pStyle w:val="Compact"/>
              <w:spacing w:after="40" w:before="40"/>
              <w:jc w:val="left"/>
            </w:pPr>
            <w:r>
              <w:t xml:space="preserve">2.4.2</w:t>
            </w:r>
          </w:p>
        </w:tc>
        <w:tc>
          <w:tcPr/>
          <w:p>
            <w:pPr>
              <w:pStyle w:val="Compact"/>
              <w:spacing w:after="40" w:before="40"/>
              <w:jc w:val="left"/>
            </w:pPr>
            <w:r>
              <w:t xml:space="preserve">30/08/2026</w:t>
            </w:r>
          </w:p>
        </w:tc>
        <w:tc>
          <w:tcPr/>
          <w:p>
            <w:pPr>
              <w:pStyle w:val="Compact"/>
              <w:spacing w:after="40" w:before="40"/>
              <w:jc w:val="left"/>
            </w:pPr>
            <w:r>
              <w:t xml:space="preserve">Subsection headings removed and their content merged into continuous prose; Appendix G regenerated from the correction register so item identifiers match across artefacts; document rebuilt in plain formatting, Times New Roman 11pt single-spaced, with a static table of contents and no field codes.</w:t>
            </w:r>
          </w:p>
        </w:tc>
      </w:tr>
      <w:tr>
        <w:tc>
          <w:tcPr/>
          <w:p>
            <w:pPr>
              <w:pStyle w:val="Compact"/>
              <w:spacing w:after="40" w:before="40"/>
              <w:jc w:val="left"/>
            </w:pPr>
            <w:r>
              <w:t xml:space="preserve">2.4.3</w:t>
            </w:r>
          </w:p>
        </w:tc>
        <w:tc>
          <w:tcPr/>
          <w:p>
            <w:pPr>
              <w:pStyle w:val="Compact"/>
              <w:spacing w:after="40" w:before="40"/>
              <w:jc w:val="left"/>
            </w:pPr>
            <w:r>
              <w:t xml:space="preserve">30/08/2026</w:t>
            </w:r>
          </w:p>
        </w:tc>
        <w:tc>
          <w:tcPr/>
          <w:p>
            <w:pPr>
              <w:pStyle w:val="Compact"/>
              <w:spacing w:after="40" w:before="40"/>
              <w:jc w:val="left"/>
            </w:pPr>
            <w:r>
              <w:t xml:space="preserve">Internal author review applied: clustering guidance aligned with D4.2; the superseded actor-resolution description removed from Section 5; the retired-column count corrected to 12 across the release; the 114 target value relabelled as information spaces across all rows; the ACLED and UCDP comparison corrected; the 4 free-text fields no longer described as verbatim. Correction register item E-19.</w:t>
            </w:r>
          </w:p>
        </w:tc>
      </w:tr>
      <w:tr>
        <w:tc>
          <w:tcPr/>
          <w:p>
            <w:pPr>
              <w:pStyle w:val="Compact"/>
              <w:spacing w:after="40" w:before="40"/>
              <w:jc w:val="left"/>
            </w:pPr>
            <w:r>
              <w:t xml:space="preserve">2.4.4</w:t>
            </w:r>
          </w:p>
        </w:tc>
        <w:tc>
          <w:tcPr/>
          <w:p>
            <w:pPr>
              <w:pStyle w:val="Compact"/>
              <w:spacing w:after="40" w:before="40"/>
              <w:jc w:val="left"/>
            </w:pPr>
            <w:r>
              <w:t xml:space="preserve">30/09/2026</w:t>
            </w:r>
          </w:p>
        </w:tc>
        <w:tc>
          <w:tcPr/>
          <w:p>
            <w:pPr>
              <w:pStyle w:val="Compact"/>
              <w:spacing w:after="40" w:before="40"/>
              <w:jc w:val="left"/>
            </w:pPr>
            <w:r>
              <w:t xml:space="preserve">Reproducibility corrections after the two internal reviews of September 2026. Documents dataset release v2.4.2: v2.4.1 withdrew row id 740 and restored 129 quotations and the cited_sources field; v2.4.2 reverts the institution backfill that v2.4.1 had applied to 162 rows, restores the annotated value None as</w:t>
            </w:r>
            <w:r>
              <w:t xml:space="preserve"> </w:t>
            </w:r>
            <w:r>
              <w:rPr>
                <w:rStyle w:val="VerbatimChar"/>
              </w:rPr>
              <w:t xml:space="preserve">None recorded</w:t>
            </w:r>
            <w:r>
              <w:t xml:space="preserve"> </w:t>
            </w:r>
            <w:r>
              <w:t xml:space="preserve">in 4 fields, and adds the column institution_resolution. Variable count corrected to 88; Section 8 regenerated from the released file; populations stated for Table 16; codebook and dataset version series distinguished; Appendices I to L added (institution alias table, institution type groups, population denominators, portal export crosswalk); register items E-20 to E-23 added.</w:t>
            </w:r>
          </w:p>
        </w:tc>
      </w:tr>
      <w:tr>
        <w:tc>
          <w:tcPr/>
          <w:p>
            <w:pPr>
              <w:pStyle w:val="Compact"/>
              <w:spacing w:after="40" w:before="40"/>
              <w:jc w:val="left"/>
            </w:pPr>
            <w:r>
              <w:t xml:space="preserve">2.4.5</w:t>
            </w:r>
          </w:p>
        </w:tc>
        <w:tc>
          <w:tcPr/>
          <w:p>
            <w:pPr>
              <w:pStyle w:val="Compact"/>
              <w:spacing w:after="40" w:before="40"/>
              <w:jc w:val="left"/>
            </w:pPr>
            <w:r>
              <w:t xml:space="preserve">30/09/2026</w:t>
            </w:r>
          </w:p>
        </w:tc>
        <w:tc>
          <w:tcPr/>
          <w:p>
            <w:pPr>
              <w:pStyle w:val="Compact"/>
              <w:spacing w:after="40" w:before="40"/>
              <w:jc w:val="left"/>
            </w:pPr>
            <w:r>
              <w:t xml:space="preserve">Trimmed edition for submission. Documents dataset release v2.4.3, which drops 7 columns that carried one constant value or nothing. The institution, source identity, document, alias and correction registers move to the registries workbook and are described, with example rows, in Appendices A, B, C, E and F; the frozen v2.3.3 manifest, the v2.0 audit findings, the rebuild procedure and the portal export crosswalk leave the codebook for the repository record. The 5 open register items are stated as conditions on use in Section 7.</w:t>
            </w:r>
          </w:p>
        </w:tc>
      </w:tr>
      <w:tr>
        <w:tc>
          <w:tcPr/>
          <w:p>
            <w:pPr>
              <w:pStyle w:val="Compact"/>
              <w:spacing w:after="40" w:before="40"/>
              <w:jc w:val="left"/>
            </w:pPr>
            <w:r>
              <w:t xml:space="preserve">2.4.6</w:t>
            </w:r>
          </w:p>
        </w:tc>
        <w:tc>
          <w:tcPr/>
          <w:p>
            <w:pPr>
              <w:pStyle w:val="Compact"/>
              <w:spacing w:after="40" w:before="40"/>
              <w:jc w:val="left"/>
            </w:pPr>
            <w:r>
              <w:t xml:space="preserve">30/09/2026</w:t>
            </w:r>
          </w:p>
        </w:tc>
        <w:tc>
          <w:tcPr/>
          <w:p>
            <w:pPr>
              <w:pStyle w:val="Compact"/>
              <w:spacing w:after="40" w:before="40"/>
              <w:jc w:val="left"/>
            </w:pPr>
            <w:r>
              <w:t xml:space="preserve">Prose rewritten under the consolidated academic writing standard, with no change to any figure or field definition. The digest and release-correction material moved from Section 2 to Section 9, the clustering guidance from Section 2 to Section 3, and the limitations of Section 7 written as prose. Body paragraphs indented; headings and captions restyled.</w:t>
            </w:r>
          </w:p>
        </w:tc>
      </w:tr>
    </w:tbl>
    <w:p>
      <w:pPr>
        <w:pStyle w:val="BodyText"/>
        <w:ind w:firstLine="0"/>
        <w:jc w:val="left"/>
      </w:pPr>
      <w:r>
        <w:rPr>
          <w:bCs/>
          <w:b/>
        </w:rPr>
        <w:t xml:space="preserve">Main authors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Name</w:t>
            </w:r>
          </w:p>
        </w:tc>
        <w:tc>
          <w:tcPr/>
          <w:p>
            <w:pPr>
              <w:pStyle w:val="Compact"/>
              <w:spacing w:after="40" w:before="40"/>
              <w:jc w:val="left"/>
            </w:pPr>
            <w:r>
              <w:t xml:space="preserve">Organisation</w:t>
            </w:r>
          </w:p>
        </w:tc>
      </w:tr>
      <w:tr>
        <w:tc>
          <w:tcPr/>
          <w:p>
            <w:pPr>
              <w:pStyle w:val="Compact"/>
              <w:spacing w:after="40" w:before="40"/>
              <w:jc w:val="left"/>
            </w:pPr>
            <w:r>
              <w:t xml:space="preserve">DE-CONSPIRATOR WP4 team</w:t>
            </w:r>
          </w:p>
        </w:tc>
        <w:tc>
          <w:tcPr/>
          <w:p>
            <w:pPr>
              <w:pStyle w:val="Compact"/>
              <w:spacing w:after="40" w:before="40"/>
              <w:jc w:val="left"/>
            </w:pPr>
            <w:r>
              <w:t xml:space="preserve">Özyeğin University; Universiteit van Amsterdam</w:t>
            </w:r>
          </w:p>
        </w:tc>
      </w:tr>
    </w:tbl>
    <w:p>
      <w:pPr>
        <w:pStyle w:val="BodyText"/>
        <w:ind w:firstLine="0"/>
        <w:jc w:val="left"/>
      </w:pPr>
      <w:r>
        <w:rPr>
          <w:bCs/>
          <w:b/>
        </w:rPr>
        <w:t xml:space="preserve">Quality reviewers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Name</w:t>
            </w:r>
          </w:p>
        </w:tc>
        <w:tc>
          <w:tcPr/>
          <w:p>
            <w:pPr>
              <w:pStyle w:val="Compact"/>
              <w:spacing w:after="40" w:before="40"/>
              <w:jc w:val="left"/>
            </w:pPr>
            <w:r>
              <w:t xml:space="preserve">Organisation</w:t>
            </w:r>
          </w:p>
        </w:tc>
      </w:tr>
      <w:tr>
        <w:tc>
          <w:tcPr/>
          <w:p>
            <w:pPr>
              <w:pStyle w:val="Compact"/>
              <w:spacing w:after="40" w:before="40"/>
              <w:jc w:val="left"/>
            </w:pPr>
            <w:r>
              <w:t xml:space="preserve">Internal consortium review</w:t>
            </w:r>
          </w:p>
        </w:tc>
        <w:tc>
          <w:tcPr/>
          <w:p>
            <w:pPr>
              <w:pStyle w:val="Compact"/>
              <w:spacing w:after="40" w:before="40"/>
              <w:jc w:val="left"/>
            </w:pPr>
            <w:r>
              <w:t xml:space="preserve">DE-CONSPIRATOR Consortium</w:t>
            </w:r>
          </w:p>
        </w:tc>
      </w:tr>
    </w:tbl>
    <w:p>
      <w:pPr>
        <w:pStyle w:val="BodyText"/>
      </w:pPr>
      <w:r>
        <w:t xml:space="preserve">LEGAL NOTICE. The authors set out the information and views in this document, and those views do not necessarily reflect the official opinion of the European Union. Neither the European Union institutions and bodies nor any person acting on their behalf may be held responsible for the use which may be made of the information contained in it.</w:t>
      </w:r>
    </w:p>
    <w:p>
      <w:pPr>
        <w:pStyle w:val="BodyText"/>
      </w:pPr>
      <w:r>
        <w:t xml:space="preserve">© DE-CONSPIRATOR Consortium, 2024-2026. Reproduction is authorised provided the source is acknowledged.</w:t>
      </w:r>
    </w:p>
    <w:bookmarkEnd w:id="21"/>
    <w:bookmarkStart w:id="22" w:name="contents"/>
    <w:p>
      <w:pPr>
        <w:pStyle w:val="Heading1"/>
      </w:pPr>
      <w:r>
        <w:rPr>
          <w:bCs/>
          <w:b/>
        </w:rPr>
        <w:t xml:space="preserve">Contents</w:t>
      </w:r>
    </w:p>
    <w:p>
      <w:pPr>
        <w:pStyle w:val="FirstParagraph"/>
      </w:pPr>
      <w:r>
        <w:t xml:space="preserve">Abbreviations 4</w:t>
      </w:r>
    </w:p>
    <w:p>
      <w:pPr>
        <w:pStyle w:val="BodyText"/>
      </w:pPr>
      <w:r>
        <w:t xml:space="preserve">1. Introduction 5</w:t>
      </w:r>
    </w:p>
    <w:p>
      <w:pPr>
        <w:pStyle w:val="BodyText"/>
      </w:pPr>
      <w:r>
        <w:t xml:space="preserve">2. Unit of analysis and file structure 6</w:t>
      </w:r>
    </w:p>
    <w:p>
      <w:pPr>
        <w:pStyle w:val="BodyText"/>
      </w:pPr>
      <w:r>
        <w:t xml:space="preserve">3. What the dataset measures 8</w:t>
      </w:r>
    </w:p>
    <w:p>
      <w:pPr>
        <w:pStyle w:val="BodyText"/>
      </w:pPr>
      <w:r>
        <w:t xml:space="preserve">4. Variables 8</w:t>
      </w:r>
    </w:p>
    <w:p>
      <w:pPr>
        <w:pStyle w:val="BodyText"/>
      </w:pPr>
      <w:r>
        <w:t xml:space="preserve">5. How we collected and built the data 16</w:t>
      </w:r>
    </w:p>
    <w:p>
      <w:pPr>
        <w:pStyle w:val="BodyText"/>
      </w:pPr>
      <w:r>
        <w:t xml:space="preserve">6. Additional variable information 17</w:t>
      </w:r>
    </w:p>
    <w:p>
      <w:pPr>
        <w:pStyle w:val="BodyText"/>
      </w:pPr>
      <w:r>
        <w:t xml:space="preserve">7. Limitations 20</w:t>
      </w:r>
    </w:p>
    <w:p>
      <w:pPr>
        <w:pStyle w:val="BodyText"/>
      </w:pPr>
      <w:r>
        <w:t xml:space="preserve">8. Reproducing the published figures 21</w:t>
      </w:r>
    </w:p>
    <w:p>
      <w:pPr>
        <w:pStyle w:val="BodyText"/>
      </w:pPr>
      <w:r>
        <w:t xml:space="preserve">9. Versions, citation and licence 23</w:t>
      </w:r>
    </w:p>
    <w:p>
      <w:pPr>
        <w:pStyle w:val="BodyText"/>
      </w:pPr>
      <w:r>
        <w:t xml:space="preserve">Appendix A. Institution registry 26</w:t>
      </w:r>
    </w:p>
    <w:p>
      <w:pPr>
        <w:pStyle w:val="BodyText"/>
      </w:pPr>
      <w:r>
        <w:t xml:space="preserve">Appendix B. Source identity registry 26</w:t>
      </w:r>
    </w:p>
    <w:p>
      <w:pPr>
        <w:pStyle w:val="BodyText"/>
      </w:pPr>
      <w:r>
        <w:t xml:space="preserve">Appendix C. Source document register 27</w:t>
      </w:r>
    </w:p>
    <w:p>
      <w:pPr>
        <w:pStyle w:val="BodyText"/>
      </w:pPr>
      <w:r>
        <w:t xml:space="preserve">Appendix D. Interoperability crosswalk 27</w:t>
      </w:r>
    </w:p>
    <w:p>
      <w:pPr>
        <w:pStyle w:val="BodyText"/>
      </w:pPr>
      <w:r>
        <w:t xml:space="preserve">Appendix E. Correction register 30</w:t>
      </w:r>
    </w:p>
    <w:p>
      <w:pPr>
        <w:pStyle w:val="BodyText"/>
      </w:pPr>
      <w:r>
        <w:t xml:space="preserve">Appendix F. Institution alias table 30</w:t>
      </w:r>
    </w:p>
    <w:p>
      <w:pPr>
        <w:pStyle w:val="BodyText"/>
      </w:pPr>
      <w:r>
        <w:t xml:space="preserve">Appendix G. Institution type groups used in D4.2 31</w:t>
      </w:r>
    </w:p>
    <w:p>
      <w:pPr>
        <w:pStyle w:val="BodyText"/>
      </w:pPr>
      <w:r>
        <w:t xml:space="preserve">Appendix H. Population denominators 32</w:t>
      </w:r>
    </w:p>
    <w:bookmarkEnd w:id="22"/>
    <w:bookmarkStart w:id="23" w:name="abbreviations"/>
    <w:p>
      <w:pPr>
        <w:pStyle w:val="Heading1"/>
      </w:pPr>
      <w:r>
        <w:rPr>
          <w:bCs/>
          <w:b/>
        </w:rPr>
        <w:t xml:space="preserve">Abbreviations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Abbreviation</w:t>
            </w:r>
          </w:p>
        </w:tc>
        <w:tc>
          <w:tcPr/>
          <w:p>
            <w:pPr>
              <w:pStyle w:val="Compact"/>
              <w:spacing w:after="40" w:before="40"/>
              <w:jc w:val="left"/>
            </w:pPr>
            <w:r>
              <w:t xml:space="preserve">Meaning</w:t>
            </w:r>
          </w:p>
        </w:tc>
      </w:tr>
      <w:tr>
        <w:tc>
          <w:tcPr/>
          <w:p>
            <w:pPr>
              <w:pStyle w:val="Compact"/>
              <w:spacing w:after="40" w:before="40"/>
              <w:jc w:val="left"/>
            </w:pPr>
            <w:r>
              <w:t xml:space="preserve">ACLED</w:t>
            </w:r>
          </w:p>
        </w:tc>
        <w:tc>
          <w:tcPr/>
          <w:p>
            <w:pPr>
              <w:pStyle w:val="Compact"/>
              <w:spacing w:after="40" w:before="40"/>
              <w:jc w:val="left"/>
            </w:pPr>
            <w:r>
              <w:t xml:space="preserve">Armed Conflict Location and Event Data Project</w:t>
            </w:r>
          </w:p>
        </w:tc>
      </w:tr>
      <w:tr>
        <w:tc>
          <w:tcPr/>
          <w:p>
            <w:pPr>
              <w:pStyle w:val="Compact"/>
              <w:spacing w:after="40" w:before="40"/>
              <w:jc w:val="left"/>
            </w:pPr>
            <w:r>
              <w:t xml:space="preserve">CSV</w:t>
            </w:r>
          </w:p>
        </w:tc>
        <w:tc>
          <w:tcPr/>
          <w:p>
            <w:pPr>
              <w:pStyle w:val="Compact"/>
              <w:spacing w:after="40" w:before="40"/>
              <w:jc w:val="left"/>
            </w:pPr>
            <w:r>
              <w:t xml:space="preserve">Comma-separated values, the format of the data file</w:t>
            </w:r>
          </w:p>
        </w:tc>
      </w:tr>
      <w:tr>
        <w:tc>
          <w:tcPr/>
          <w:p>
            <w:pPr>
              <w:pStyle w:val="Compact"/>
              <w:spacing w:after="40" w:before="40"/>
              <w:jc w:val="left"/>
            </w:pPr>
            <w:r>
              <w:t xml:space="preserve">DISARM</w:t>
            </w:r>
          </w:p>
        </w:tc>
        <w:tc>
          <w:tcPr/>
          <w:p>
            <w:pPr>
              <w:pStyle w:val="Compact"/>
              <w:spacing w:after="40" w:before="40"/>
              <w:jc w:val="left"/>
            </w:pPr>
            <w:r>
              <w:t xml:space="preserve">Open-source framework describing the tactics, techniques and procedures used in information manipulation</w:t>
            </w:r>
          </w:p>
        </w:tc>
      </w:tr>
      <w:tr>
        <w:tc>
          <w:tcPr/>
          <w:p>
            <w:pPr>
              <w:pStyle w:val="Compact"/>
              <w:spacing w:after="40" w:before="40"/>
              <w:jc w:val="left"/>
            </w:pPr>
            <w:r>
              <w:t xml:space="preserve">DSA</w:t>
            </w:r>
          </w:p>
        </w:tc>
        <w:tc>
          <w:tcPr/>
          <w:p>
            <w:pPr>
              <w:pStyle w:val="Compact"/>
              <w:spacing w:after="40" w:before="40"/>
              <w:jc w:val="left"/>
            </w:pPr>
            <w:r>
              <w:t xml:space="preserve">Digital Services Act</w:t>
            </w:r>
          </w:p>
        </w:tc>
      </w:tr>
      <w:tr>
        <w:tc>
          <w:tcPr/>
          <w:p>
            <w:pPr>
              <w:pStyle w:val="Compact"/>
              <w:spacing w:after="40" w:before="40"/>
              <w:jc w:val="left"/>
            </w:pPr>
            <w:r>
              <w:t xml:space="preserve">EEAS</w:t>
            </w:r>
          </w:p>
        </w:tc>
        <w:tc>
          <w:tcPr/>
          <w:p>
            <w:pPr>
              <w:pStyle w:val="Compact"/>
              <w:spacing w:after="40" w:before="40"/>
              <w:jc w:val="left"/>
            </w:pPr>
            <w:r>
              <w:t xml:space="preserve">European External Action Service</w:t>
            </w:r>
          </w:p>
        </w:tc>
      </w:tr>
      <w:tr>
        <w:tc>
          <w:tcPr/>
          <w:p>
            <w:pPr>
              <w:pStyle w:val="Compact"/>
              <w:spacing w:after="40" w:before="40"/>
              <w:jc w:val="left"/>
            </w:pPr>
            <w:r>
              <w:t xml:space="preserve">FIMI</w:t>
            </w:r>
          </w:p>
        </w:tc>
        <w:tc>
          <w:tcPr/>
          <w:p>
            <w:pPr>
              <w:pStyle w:val="Compact"/>
              <w:spacing w:after="40" w:before="40"/>
              <w:jc w:val="left"/>
            </w:pPr>
            <w:r>
              <w:t xml:space="preserve">Foreign Information Manipulation and Interference</w:t>
            </w:r>
          </w:p>
        </w:tc>
      </w:tr>
      <w:tr>
        <w:tc>
          <w:tcPr/>
          <w:p>
            <w:pPr>
              <w:pStyle w:val="Compact"/>
              <w:spacing w:after="40" w:before="40"/>
              <w:jc w:val="left"/>
            </w:pPr>
            <w:r>
              <w:t xml:space="preserve">FIMI-ISAC</w:t>
            </w:r>
          </w:p>
        </w:tc>
        <w:tc>
          <w:tcPr/>
          <w:p>
            <w:pPr>
              <w:pStyle w:val="Compact"/>
              <w:spacing w:after="40" w:before="40"/>
              <w:jc w:val="left"/>
            </w:pPr>
            <w:r>
              <w:t xml:space="preserve">FIMI Information Sharing and Analysis Centre</w:t>
            </w:r>
          </w:p>
        </w:tc>
      </w:tr>
      <w:tr>
        <w:tc>
          <w:tcPr/>
          <w:p>
            <w:pPr>
              <w:pStyle w:val="Compact"/>
              <w:spacing w:after="40" w:before="40"/>
              <w:jc w:val="left"/>
            </w:pPr>
            <w:r>
              <w:t xml:space="preserve">GEC</w:t>
            </w:r>
          </w:p>
        </w:tc>
        <w:tc>
          <w:tcPr/>
          <w:p>
            <w:pPr>
              <w:pStyle w:val="Compact"/>
              <w:spacing w:after="40" w:before="40"/>
              <w:jc w:val="left"/>
            </w:pPr>
            <w:r>
              <w:t xml:space="preserve">Global Engagement Center, United States Department of State</w:t>
            </w:r>
          </w:p>
        </w:tc>
      </w:tr>
      <w:tr>
        <w:tc>
          <w:tcPr/>
          <w:p>
            <w:pPr>
              <w:pStyle w:val="Compact"/>
              <w:spacing w:after="40" w:before="40"/>
              <w:jc w:val="left"/>
            </w:pPr>
            <w:r>
              <w:t xml:space="preserve">GTD</w:t>
            </w:r>
          </w:p>
        </w:tc>
        <w:tc>
          <w:tcPr/>
          <w:p>
            <w:pPr>
              <w:pStyle w:val="Compact"/>
              <w:spacing w:after="40" w:before="40"/>
              <w:jc w:val="left"/>
            </w:pPr>
            <w:r>
              <w:t xml:space="preserve">Global Terrorism Database</w:t>
            </w:r>
          </w:p>
        </w:tc>
      </w:tr>
      <w:tr>
        <w:tc>
          <w:tcPr/>
          <w:p>
            <w:pPr>
              <w:pStyle w:val="Compact"/>
              <w:spacing w:after="40" w:before="40"/>
              <w:jc w:val="left"/>
            </w:pPr>
            <w:r>
              <w:t xml:space="preserve">ISO</w:t>
            </w:r>
          </w:p>
        </w:tc>
        <w:tc>
          <w:tcPr/>
          <w:p>
            <w:pPr>
              <w:pStyle w:val="Compact"/>
              <w:spacing w:after="40" w:before="40"/>
              <w:jc w:val="left"/>
            </w:pPr>
            <w:r>
              <w:t xml:space="preserve">International Organization for Standardization, here the ISO 8601 date format</w:t>
            </w:r>
          </w:p>
        </w:tc>
      </w:tr>
      <w:tr>
        <w:tc>
          <w:tcPr/>
          <w:p>
            <w:pPr>
              <w:pStyle w:val="Compact"/>
              <w:spacing w:after="40" w:before="40"/>
              <w:jc w:val="left"/>
            </w:pPr>
            <w:r>
              <w:t xml:space="preserve">LLM</w:t>
            </w:r>
          </w:p>
        </w:tc>
        <w:tc>
          <w:tcPr/>
          <w:p>
            <w:pPr>
              <w:pStyle w:val="Compact"/>
              <w:spacing w:after="40" w:before="40"/>
              <w:jc w:val="left"/>
            </w:pPr>
            <w:r>
              <w:t xml:space="preserve">Large language model</w:t>
            </w:r>
          </w:p>
        </w:tc>
      </w:tr>
      <w:tr>
        <w:tc>
          <w:tcPr/>
          <w:p>
            <w:pPr>
              <w:pStyle w:val="Compact"/>
              <w:spacing w:after="40" w:before="40"/>
              <w:jc w:val="left"/>
            </w:pPr>
            <w:r>
              <w:t xml:space="preserve">OpenCTI</w:t>
            </w:r>
          </w:p>
        </w:tc>
        <w:tc>
          <w:tcPr/>
          <w:p>
            <w:pPr>
              <w:pStyle w:val="Compact"/>
              <w:spacing w:after="40" w:before="40"/>
              <w:jc w:val="left"/>
            </w:pPr>
            <w:r>
              <w:t xml:space="preserve">Open platform for managing threat intelligence, used by several FIMI-ISAC members</w:t>
            </w:r>
          </w:p>
        </w:tc>
      </w:tr>
      <w:tr>
        <w:tc>
          <w:tcPr/>
          <w:p>
            <w:pPr>
              <w:pStyle w:val="Compact"/>
              <w:spacing w:after="40" w:before="40"/>
              <w:jc w:val="left"/>
            </w:pPr>
            <w:r>
              <w:t xml:space="preserve">OPIE</w:t>
            </w:r>
          </w:p>
        </w:tc>
        <w:tc>
          <w:tcPr/>
          <w:p>
            <w:pPr>
              <w:pStyle w:val="Compact"/>
              <w:spacing w:after="40" w:before="40"/>
              <w:jc w:val="left"/>
            </w:pPr>
            <w:r>
              <w:t xml:space="preserve">Online Political Influence Efforts dataset</w:t>
            </w:r>
          </w:p>
        </w:tc>
      </w:tr>
      <w:tr>
        <w:tc>
          <w:tcPr/>
          <w:p>
            <w:pPr>
              <w:pStyle w:val="Compact"/>
              <w:spacing w:after="40" w:before="40"/>
              <w:jc w:val="left"/>
            </w:pPr>
            <w:r>
              <w:t xml:space="preserve">SGDSN</w:t>
            </w:r>
          </w:p>
        </w:tc>
        <w:tc>
          <w:tcPr/>
          <w:p>
            <w:pPr>
              <w:pStyle w:val="Compact"/>
              <w:spacing w:after="40" w:before="40"/>
              <w:jc w:val="left"/>
            </w:pPr>
            <w:r>
              <w:t xml:space="preserve">Secrétariat général de la défense et de la sécurité nationale, France</w:t>
            </w:r>
          </w:p>
        </w:tc>
      </w:tr>
      <w:tr>
        <w:tc>
          <w:tcPr/>
          <w:p>
            <w:pPr>
              <w:pStyle w:val="Compact"/>
              <w:spacing w:after="40" w:before="40"/>
              <w:jc w:val="left"/>
            </w:pPr>
            <w:r>
              <w:t xml:space="preserve">STIX</w:t>
            </w:r>
          </w:p>
        </w:tc>
        <w:tc>
          <w:tcPr/>
          <w:p>
            <w:pPr>
              <w:pStyle w:val="Compact"/>
              <w:spacing w:after="40" w:before="40"/>
              <w:jc w:val="left"/>
            </w:pPr>
            <w:r>
              <w:t xml:space="preserve">Structured Threat Information Expression, a machine-readable format for threat intelligence</w:t>
            </w:r>
          </w:p>
        </w:tc>
      </w:tr>
      <w:tr>
        <w:tc>
          <w:tcPr/>
          <w:p>
            <w:pPr>
              <w:pStyle w:val="Compact"/>
              <w:spacing w:after="40" w:before="40"/>
              <w:jc w:val="left"/>
            </w:pPr>
            <w:r>
              <w:t xml:space="preserve">TTP</w:t>
            </w:r>
          </w:p>
        </w:tc>
        <w:tc>
          <w:tcPr/>
          <w:p>
            <w:pPr>
              <w:pStyle w:val="Compact"/>
              <w:spacing w:after="40" w:before="40"/>
              <w:jc w:val="left"/>
            </w:pPr>
            <w:r>
              <w:t xml:space="preserve">Tactics, techniques and procedures</w:t>
            </w:r>
          </w:p>
        </w:tc>
      </w:tr>
      <w:tr>
        <w:tc>
          <w:tcPr/>
          <w:p>
            <w:pPr>
              <w:pStyle w:val="Compact"/>
              <w:spacing w:after="40" w:before="40"/>
              <w:jc w:val="left"/>
            </w:pPr>
            <w:r>
              <w:t xml:space="preserve">UCDP</w:t>
            </w:r>
          </w:p>
        </w:tc>
        <w:tc>
          <w:tcPr/>
          <w:p>
            <w:pPr>
              <w:pStyle w:val="Compact"/>
              <w:spacing w:after="40" w:before="40"/>
              <w:jc w:val="left"/>
            </w:pPr>
            <w:r>
              <w:t xml:space="preserve">Uppsala Conflict Data Program</w:t>
            </w:r>
          </w:p>
        </w:tc>
      </w:tr>
    </w:tbl>
    <w:bookmarkEnd w:id="23"/>
    <w:bookmarkStart w:id="24" w:name="Xe3d0fc0bea9a42ce7605565d0964033d7f6ee47"/>
    <w:p>
      <w:pPr>
        <w:pStyle w:val="Heading1"/>
      </w:pPr>
      <w:r>
        <w:rPr>
          <w:bCs/>
          <w:b/>
        </w:rPr>
        <w:t xml:space="preserve">1. Introduction</w:t>
      </w:r>
    </w:p>
    <w:p>
      <w:pPr>
        <w:pStyle w:val="FirstParagraph"/>
      </w:pPr>
      <w:r>
        <w:t xml:space="preserve">The DE-CONSPIRATOR FIMI Attribution Event Dataset records the attributions of foreign information manipulation and interference that European and allied institutions have published. We compiled it from 534 documents issued by 97 canonical institutions and organised it into 3,029 distinct incidents. This codebook documents release v2.4.3, and Section 9 records how that release descends from the frozen release v2.3.3 through v2.4, v2.4.1 and v2.4.2, with no change to any frozen headline figure beyond the withdrawal of one record.</w:t>
      </w:r>
    </w:p>
    <w:p>
      <w:pPr>
        <w:pStyle w:val="BodyText"/>
      </w:pPr>
      <w:r>
        <w:t xml:space="preserve">We record what institutions have said, and we do not establish what took place.</w:t>
      </w:r>
      <w:r>
        <w:t xml:space="preserve"> </w:t>
      </w:r>
      <w:r>
        <w:rPr>
          <w:bCs/>
          <w:b/>
        </w:rPr>
        <w:t xml:space="preserve">The dataset supports claims about the structure, intensity and dynamics of European institutional attribution of foreign information manipulation, and it does not support claims about the incidence, distribution or trend of foreign information manipulation itself.</w:t>
      </w:r>
      <w:r>
        <w:t xml:space="preserve"> </w:t>
      </w:r>
      <w:r>
        <w:t xml:space="preserve">We reproduce any mistake the institutions in our corpus made, and no field in the file lets a user detect it.</w:t>
      </w:r>
    </w:p>
    <w:p>
      <w:pPr>
        <w:pStyle w:val="BodyText"/>
      </w:pPr>
      <w:r>
        <w:t xml:space="preserve">Deliverable D4.2 sets out the design, the validation and the findings in full. This codebook documents the file and stands alone: an analyst who holds the CSV, the registries workbook and this document has everything needed to work with the data and to audit it. The workbook carries 5 sheets, the institution registry, the source identity registry, the document register, the alias table and the correction register, and Appendices A to F describe each sheet with its join key and 5 example rows.</w:t>
      </w:r>
    </w:p>
    <w:p>
      <w:pPr>
        <w:pStyle w:val="BodyText"/>
      </w:pPr>
      <w:r>
        <w:t xml:space="preserve">Release v2.3.3 shipped 11 files, and a user had to join a registry to obtain an institution’s jurisdiction, a second registry to resolve joint publications, a document table to obtain a document type, and two long relations to unpack the fields that held several values at once; two further files restated subsets that the flags in the main file already define. Release v2.4 consolidated all of it into one file without changing any frozen headline figure, and Table 1 records where each v2.3.3 file went.</w:t>
      </w:r>
    </w:p>
    <w:p>
      <w:pPr>
        <w:pStyle w:val="Caption"/>
      </w:pPr>
      <w:r>
        <w:rPr>
          <w:iCs/>
          <w:i/>
        </w:rPr>
        <w:t xml:space="preserve">Table 1: The 11 v2.3.3 files and their destination in this release.</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780"/>
        <w:gridCol w:w="5220"/>
      </w:tblGrid>
      <w:tr>
        <w:trPr>
          <w:tblHeader w:val="true"/>
        </w:trPr>
        <w:tc>
          <w:tcPr>
            <w:tcW w:w="3780" w:type="dxa"/>
          </w:tcPr>
          <w:p>
            <w:pPr>
              <w:pStyle w:val="Compact"/>
              <w:spacing w:after="40" w:before="40"/>
              <w:jc w:val="left"/>
            </w:pPr>
            <w:r>
              <w:t xml:space="preserve">v2.3.3 file</w:t>
            </w:r>
          </w:p>
        </w:tc>
        <w:tc>
          <w:tcPr>
            <w:tcW w:w="5220" w:type="dxa"/>
          </w:tcPr>
          <w:p>
            <w:pPr>
              <w:pStyle w:val="Compact"/>
              <w:spacing w:after="40" w:before="40"/>
              <w:jc w:val="left"/>
            </w:pPr>
            <w:r>
              <w:t xml:space="preserve">Where it is now</w:t>
            </w:r>
          </w:p>
        </w:tc>
      </w:tr>
      <w:tr>
        <w:tc>
          <w:tcPr>
            <w:tcW w:w="3780" w:type="dxa"/>
          </w:tcPr>
          <w:p>
            <w:pPr>
              <w:pStyle w:val="Compact"/>
              <w:spacing w:after="40" w:before="40"/>
              <w:jc w:val="left"/>
            </w:pPr>
            <w:r>
              <w:rPr>
                <w:rStyle w:val="VerbatimChar"/>
              </w:rPr>
              <w:t xml:space="preserve">deconspirator_fimi_events_v2.3.3.csv</w:t>
            </w:r>
          </w:p>
        </w:tc>
        <w:tc>
          <w:tcPr>
            <w:tcW w:w="5220" w:type="dxa"/>
          </w:tcPr>
          <w:p>
            <w:pPr>
              <w:pStyle w:val="Compact"/>
              <w:spacing w:after="40" w:before="40"/>
              <w:jc w:val="left"/>
            </w:pPr>
            <w:r>
              <w:t xml:space="preserve">Becomes the whole file. All 3,132 rows were carried over; row id 740 was withdrawn at v2.4.1, leaving 3,131.</w:t>
            </w:r>
          </w:p>
        </w:tc>
      </w:tr>
      <w:tr>
        <w:tc>
          <w:tcPr>
            <w:tcW w:w="3780" w:type="dxa"/>
          </w:tcPr>
          <w:p>
            <w:pPr>
              <w:pStyle w:val="Compact"/>
              <w:spacing w:after="40" w:before="40"/>
              <w:jc w:val="left"/>
            </w:pPr>
            <w:r>
              <w:rPr>
                <w:rStyle w:val="VerbatimChar"/>
              </w:rPr>
              <w:t xml:space="preserve">deconspirator_fimi_events_v2.3.3_unique.csv</w:t>
            </w:r>
          </w:p>
        </w:tc>
        <w:tc>
          <w:tcPr>
            <w:tcW w:w="5220" w:type="dxa"/>
          </w:tcPr>
          <w:p>
            <w:pPr>
              <w:pStyle w:val="Compact"/>
              <w:spacing w:after="40" w:before="40"/>
              <w:jc w:val="left"/>
            </w:pPr>
            <w:r>
              <w:t xml:space="preserve">Becomes the subset is_primary == 1, which was 3,030 rows at v2.4 and is 3,029 rows since v2.4.1.</w:t>
            </w:r>
          </w:p>
        </w:tc>
      </w:tr>
      <w:tr>
        <w:tc>
          <w:tcPr>
            <w:tcW w:w="3780" w:type="dxa"/>
          </w:tcPr>
          <w:p>
            <w:pPr>
              <w:pStyle w:val="Compact"/>
              <w:spacing w:after="40" w:before="40"/>
              <w:jc w:val="left"/>
            </w:pPr>
            <w:r>
              <w:rPr>
                <w:rStyle w:val="VerbatimChar"/>
              </w:rPr>
              <w:t xml:space="preserve">codebook_v2.3.3.csv</w:t>
            </w:r>
          </w:p>
        </w:tc>
        <w:tc>
          <w:tcPr>
            <w:tcW w:w="5220" w:type="dxa"/>
          </w:tcPr>
          <w:p>
            <w:pPr>
              <w:pStyle w:val="Compact"/>
              <w:spacing w:after="40" w:before="40"/>
              <w:jc w:val="left"/>
            </w:pPr>
            <w:r>
              <w:t xml:space="preserve">Becomes Section 4 of this codebook.</w:t>
            </w:r>
          </w:p>
        </w:tc>
      </w:tr>
      <w:tr>
        <w:tc>
          <w:tcPr>
            <w:tcW w:w="3780" w:type="dxa"/>
          </w:tcPr>
          <w:p>
            <w:pPr>
              <w:pStyle w:val="Compact"/>
              <w:spacing w:after="40" w:before="40"/>
              <w:jc w:val="left"/>
            </w:pPr>
            <w:r>
              <w:rPr>
                <w:rStyle w:val="VerbatimChar"/>
              </w:rPr>
              <w:t xml:space="preserve">institution_registry_v2.3.3.csv</w:t>
            </w:r>
          </w:p>
        </w:tc>
        <w:tc>
          <w:tcPr>
            <w:tcW w:w="5220" w:type="dxa"/>
          </w:tcPr>
          <w:p>
            <w:pPr>
              <w:pStyle w:val="Compact"/>
              <w:spacing w:after="40" w:before="40"/>
              <w:jc w:val="left"/>
            </w:pPr>
            <w:r>
              <w:t xml:space="preserve">Becomes the institutions sheet of the registries workbook (Appendix A), and its jurisdiction and type are carried on every row.</w:t>
            </w:r>
          </w:p>
        </w:tc>
      </w:tr>
      <w:tr>
        <w:tc>
          <w:tcPr>
            <w:tcW w:w="3780" w:type="dxa"/>
          </w:tcPr>
          <w:p>
            <w:pPr>
              <w:pStyle w:val="Compact"/>
              <w:spacing w:after="40" w:before="40"/>
              <w:jc w:val="left"/>
            </w:pPr>
            <w:r>
              <w:rPr>
                <w:rStyle w:val="VerbatimChar"/>
              </w:rPr>
              <w:t xml:space="preserve">source_identity_registry_v2.3.3.csv</w:t>
            </w:r>
          </w:p>
        </w:tc>
        <w:tc>
          <w:tcPr>
            <w:tcW w:w="5220" w:type="dxa"/>
          </w:tcPr>
          <w:p>
            <w:pPr>
              <w:pStyle w:val="Compact"/>
              <w:spacing w:after="40" w:before="40"/>
              <w:jc w:val="left"/>
            </w:pPr>
            <w:r>
              <w:t xml:space="preserve">Becomes the source_identities sheet of the registries workbook (Appendix B), and its identifiers are carried on every row.</w:t>
            </w:r>
          </w:p>
        </w:tc>
      </w:tr>
      <w:tr>
        <w:tc>
          <w:tcPr>
            <w:tcW w:w="3780" w:type="dxa"/>
          </w:tcPr>
          <w:p>
            <w:pPr>
              <w:pStyle w:val="Compact"/>
              <w:spacing w:after="40" w:before="40"/>
              <w:jc w:val="left"/>
            </w:pPr>
            <w:r>
              <w:rPr>
                <w:rStyle w:val="VerbatimChar"/>
              </w:rPr>
              <w:t xml:space="preserve">documents.csv</w:t>
            </w:r>
          </w:p>
        </w:tc>
        <w:tc>
          <w:tcPr>
            <w:tcW w:w="5220" w:type="dxa"/>
          </w:tcPr>
          <w:p>
            <w:pPr>
              <w:pStyle w:val="Compact"/>
              <w:spacing w:after="40" w:before="40"/>
              <w:jc w:val="left"/>
            </w:pPr>
            <w:r>
              <w:t xml:space="preserve">Becomes the documents sheet of the registries workbook (Appendix C), and document_type is carried on every row. Its title, url, language and sha256 columns were empty in v2.3.3 and are not reproduced.</w:t>
            </w:r>
          </w:p>
        </w:tc>
      </w:tr>
      <w:tr>
        <w:tc>
          <w:tcPr>
            <w:tcW w:w="3780" w:type="dxa"/>
          </w:tcPr>
          <w:p>
            <w:pPr>
              <w:pStyle w:val="Compact"/>
              <w:spacing w:after="40" w:before="40"/>
              <w:jc w:val="left"/>
            </w:pPr>
            <w:r>
              <w:rPr>
                <w:rStyle w:val="VerbatimChar"/>
              </w:rPr>
              <w:t xml:space="preserve">event_types.csv</w:t>
            </w:r>
          </w:p>
        </w:tc>
        <w:tc>
          <w:tcPr>
            <w:tcW w:w="5220" w:type="dxa"/>
          </w:tcPr>
          <w:p>
            <w:pPr>
              <w:pStyle w:val="Compact"/>
              <w:spacing w:after="40" w:before="40"/>
              <w:jc w:val="left"/>
            </w:pPr>
            <w:r>
              <w:t xml:space="preserve">Folded into event_type, which now carries the split values semicolon-delimited.</w:t>
            </w:r>
          </w:p>
        </w:tc>
      </w:tr>
      <w:tr>
        <w:tc>
          <w:tcPr>
            <w:tcW w:w="3780" w:type="dxa"/>
          </w:tcPr>
          <w:p>
            <w:pPr>
              <w:pStyle w:val="Compact"/>
              <w:spacing w:after="40" w:before="40"/>
              <w:jc w:val="left"/>
            </w:pPr>
            <w:r>
              <w:rPr>
                <w:rStyle w:val="VerbatimChar"/>
              </w:rPr>
              <w:t xml:space="preserve">content_formats.csv</w:t>
            </w:r>
          </w:p>
        </w:tc>
        <w:tc>
          <w:tcPr>
            <w:tcW w:w="5220" w:type="dxa"/>
          </w:tcPr>
          <w:p>
            <w:pPr>
              <w:pStyle w:val="Compact"/>
              <w:spacing w:after="40" w:before="40"/>
              <w:jc w:val="left"/>
            </w:pPr>
            <w:r>
              <w:t xml:space="preserve">Folded into content_format on the same basis.</w:t>
            </w:r>
          </w:p>
        </w:tc>
      </w:tr>
      <w:tr>
        <w:tc>
          <w:tcPr>
            <w:tcW w:w="3780" w:type="dxa"/>
          </w:tcPr>
          <w:p>
            <w:pPr>
              <w:pStyle w:val="Compact"/>
              <w:spacing w:after="40" w:before="40"/>
              <w:jc w:val="left"/>
            </w:pPr>
            <w:r>
              <w:rPr>
                <w:rStyle w:val="VerbatimChar"/>
              </w:rPr>
              <w:t xml:space="preserve">target_review_queue.csv</w:t>
            </w:r>
          </w:p>
        </w:tc>
        <w:tc>
          <w:tcPr>
            <w:tcW w:w="5220" w:type="dxa"/>
          </w:tcPr>
          <w:p>
            <w:pPr>
              <w:pStyle w:val="Compact"/>
              <w:spacing w:after="40" w:before="40"/>
              <w:jc w:val="left"/>
            </w:pPr>
            <w:r>
              <w:t xml:space="preserve">Becomes the subset target_field_status == “review_required”, which is 117 rows.</w:t>
            </w:r>
          </w:p>
        </w:tc>
      </w:tr>
      <w:tr>
        <w:tc>
          <w:tcPr>
            <w:tcW w:w="3780" w:type="dxa"/>
          </w:tcPr>
          <w:p>
            <w:pPr>
              <w:pStyle w:val="Compact"/>
              <w:spacing w:after="40" w:before="40"/>
              <w:jc w:val="left"/>
            </w:pPr>
            <w:r>
              <w:rPr>
                <w:rStyle w:val="VerbatimChar"/>
              </w:rPr>
              <w:t xml:space="preserve">latency_anomalies_v2.2.csv</w:t>
            </w:r>
          </w:p>
        </w:tc>
        <w:tc>
          <w:tcPr>
            <w:tcW w:w="5220" w:type="dxa"/>
          </w:tcPr>
          <w:p>
            <w:pPr>
              <w:pStyle w:val="Compact"/>
              <w:spacing w:after="40" w:before="40"/>
              <w:jc w:val="left"/>
            </w:pPr>
            <w:r>
              <w:t xml:space="preserve">Becomes the subset latency_status == “excluded_negative_lag”, which is 5 rows.</w:t>
            </w:r>
          </w:p>
        </w:tc>
      </w:tr>
      <w:tr>
        <w:tc>
          <w:tcPr>
            <w:tcW w:w="3780" w:type="dxa"/>
          </w:tcPr>
          <w:p>
            <w:pPr>
              <w:pStyle w:val="Compact"/>
              <w:spacing w:after="40" w:before="40"/>
              <w:jc w:val="left"/>
            </w:pPr>
            <w:r>
              <w:rPr>
                <w:rStyle w:val="VerbatimChar"/>
              </w:rPr>
              <w:t xml:space="preserve">D4.2_correction_register.csv</w:t>
            </w:r>
          </w:p>
        </w:tc>
        <w:tc>
          <w:tcPr>
            <w:tcW w:w="5220" w:type="dxa"/>
          </w:tcPr>
          <w:p>
            <w:pPr>
              <w:pStyle w:val="Compact"/>
              <w:spacing w:after="40" w:before="40"/>
              <w:jc w:val="left"/>
            </w:pPr>
            <w:r>
              <w:t xml:space="preserve">Becomes the corrections sheet of the registries workbook (Appendix E).</w:t>
            </w:r>
          </w:p>
        </w:tc>
      </w:tr>
      <w:tr>
        <w:tc>
          <w:tcPr>
            <w:tcW w:w="3780" w:type="dxa"/>
          </w:tcPr>
          <w:p>
            <w:pPr>
              <w:pStyle w:val="Compact"/>
              <w:spacing w:after="40" w:before="40"/>
              <w:jc w:val="left"/>
            </w:pPr>
            <w:r>
              <w:rPr>
                <w:rStyle w:val="VerbatimChar"/>
              </w:rPr>
              <w:t xml:space="preserve">audit_findings_v2.0_historical.csv</w:t>
            </w:r>
          </w:p>
        </w:tc>
        <w:tc>
          <w:tcPr>
            <w:tcW w:w="5220" w:type="dxa"/>
          </w:tcPr>
          <w:p>
            <w:pPr>
              <w:pStyle w:val="Compact"/>
              <w:spacing w:after="40" w:before="40"/>
              <w:jc w:val="left"/>
            </w:pPr>
            <w:r>
              <w:t xml:space="preserve">Held with the repository record; historical.</w:t>
            </w:r>
          </w:p>
        </w:tc>
      </w:tr>
      <w:tr>
        <w:tc>
          <w:tcPr>
            <w:tcW w:w="3780" w:type="dxa"/>
          </w:tcPr>
          <w:p>
            <w:pPr>
              <w:pStyle w:val="Compact"/>
              <w:spacing w:after="40" w:before="40"/>
              <w:jc w:val="left"/>
            </w:pPr>
            <w:r>
              <w:rPr>
                <w:rStyle w:val="VerbatimChar"/>
              </w:rPr>
              <w:t xml:space="preserve">FROZEN_FIGURES_v2.3.3.json</w:t>
            </w:r>
          </w:p>
        </w:tc>
        <w:tc>
          <w:tcPr>
            <w:tcW w:w="5220" w:type="dxa"/>
          </w:tcPr>
          <w:p>
            <w:pPr>
              <w:pStyle w:val="Compact"/>
              <w:spacing w:after="40" w:before="40"/>
              <w:jc w:val="left"/>
            </w:pPr>
            <w:r>
              <w:t xml:space="preserve">Superseded by Section 8; held with the repository record.</w:t>
            </w:r>
          </w:p>
        </w:tc>
      </w:tr>
      <w:tr>
        <w:tc>
          <w:tcPr>
            <w:tcW w:w="3780" w:type="dxa"/>
          </w:tcPr>
          <w:p>
            <w:pPr>
              <w:pStyle w:val="Compact"/>
              <w:spacing w:after="40" w:before="40"/>
              <w:jc w:val="left"/>
            </w:pPr>
            <w:r>
              <w:rPr>
                <w:rStyle w:val="VerbatimChar"/>
              </w:rPr>
              <w:t xml:space="preserve">release_history…csv</w:t>
            </w:r>
            <w:r>
              <w:t xml:space="preserve">,</w:t>
            </w:r>
            <w:r>
              <w:t xml:space="preserve"> </w:t>
            </w:r>
            <w:r>
              <w:rPr>
                <w:rStyle w:val="VerbatimChar"/>
              </w:rPr>
              <w:t xml:space="preserve">changelog…csv</w:t>
            </w:r>
          </w:p>
        </w:tc>
        <w:tc>
          <w:tcPr>
            <w:tcW w:w="5220" w:type="dxa"/>
          </w:tcPr>
          <w:p>
            <w:pPr>
              <w:pStyle w:val="Compact"/>
              <w:spacing w:after="40" w:before="40"/>
              <w:jc w:val="left"/>
            </w:pPr>
            <w:r>
              <w:t xml:space="preserve">Become Section 9.</w:t>
            </w:r>
          </w:p>
        </w:tc>
      </w:tr>
      <w:tr>
        <w:tc>
          <w:tcPr>
            <w:tcW w:w="3780" w:type="dxa"/>
          </w:tcPr>
          <w:p>
            <w:pPr>
              <w:pStyle w:val="Compact"/>
              <w:spacing w:after="40" w:before="40"/>
              <w:jc w:val="left"/>
            </w:pPr>
            <w:r>
              <w:rPr>
                <w:rStyle w:val="VerbatimChar"/>
              </w:rPr>
              <w:t xml:space="preserve">build_v233.py</w:t>
            </w:r>
          </w:p>
        </w:tc>
        <w:tc>
          <w:tcPr>
            <w:tcW w:w="5220" w:type="dxa"/>
          </w:tcPr>
          <w:p>
            <w:pPr>
              <w:pStyle w:val="Compact"/>
              <w:spacing w:after="40" w:before="40"/>
              <w:jc w:val="left"/>
            </w:pPr>
            <w:r>
              <w:t xml:space="preserve">Held with the repository record; Section 9 describes the procedure.</w:t>
            </w:r>
          </w:p>
        </w:tc>
      </w:tr>
      <w:tr>
        <w:tc>
          <w:tcPr>
            <w:tcW w:w="3780" w:type="dxa"/>
          </w:tcPr>
          <w:p>
            <w:pPr>
              <w:pStyle w:val="Compact"/>
              <w:spacing w:after="40" w:before="40"/>
              <w:jc w:val="left"/>
            </w:pPr>
            <w:r>
              <w:rPr>
                <w:rStyle w:val="VerbatimChar"/>
              </w:rPr>
              <w:t xml:space="preserve">interoperability_crosswalk.csv</w:t>
            </w:r>
          </w:p>
        </w:tc>
        <w:tc>
          <w:tcPr>
            <w:tcW w:w="5220" w:type="dxa"/>
          </w:tcPr>
          <w:p>
            <w:pPr>
              <w:pStyle w:val="Compact"/>
              <w:spacing w:after="40" w:before="40"/>
              <w:jc w:val="left"/>
            </w:pPr>
            <w:r>
              <w:t xml:space="preserve">Becomes Appendix D.</w:t>
            </w:r>
          </w:p>
        </w:tc>
      </w:tr>
    </w:tbl>
    <w:bookmarkEnd w:id="24"/>
    <w:bookmarkStart w:id="25" w:name="Xcad1e6db4794860bf778c5e8d690c432347bf07"/>
    <w:p>
      <w:pPr>
        <w:pStyle w:val="Heading1"/>
      </w:pPr>
      <w:r>
        <w:rPr>
          <w:bCs/>
          <w:b/>
        </w:rPr>
        <w:t xml:space="preserve">2. Unit of analysis and file structure</w:t>
      </w:r>
    </w:p>
    <w:p>
      <w:pPr>
        <w:pStyle w:val="FirstParagraph"/>
      </w:pPr>
      <w:r>
        <w:t xml:space="preserve">The file holds one row for each description of an incident in a document. Where two institutions describe the same incident in separate documents, the file holds two rows, each carrying its own institution, document, page and supporting quotation. We keep both rows because the duplicate description is the corroboration evidence that Section 7 of D4.2 measures. We link the rows of one incident through</w:t>
      </w:r>
      <w:r>
        <w:t xml:space="preserve"> </w:t>
      </w:r>
      <w:r>
        <w:rPr>
          <w:rStyle w:val="VerbatimChar"/>
        </w:rPr>
        <w:t xml:space="preserve">event_id</w:t>
      </w:r>
      <w:r>
        <w:t xml:space="preserve">, and we mark the most complete row of each incident with</w:t>
      </w:r>
      <w:r>
        <w:t xml:space="preserve"> </w:t>
      </w:r>
      <w:r>
        <w:rPr>
          <w:rStyle w:val="VerbatimChar"/>
        </w:rPr>
        <w:t xml:space="preserve">is_primary = 1</w:t>
      </w:r>
      <w:r>
        <w:t xml:space="preserve">.</w:t>
      </w:r>
    </w:p>
    <w:p>
      <w:pPr>
        <w:pStyle w:val="Caption"/>
      </w:pPr>
      <w:r>
        <w:rPr>
          <w:iCs/>
          <w:i/>
        </w:rPr>
        <w:t xml:space="preserve">Table 2: File structure at a glance.</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Quantity</w:t>
            </w:r>
          </w:p>
        </w:tc>
        <w:tc>
          <w:tcPr/>
          <w:p>
            <w:pPr>
              <w:pStyle w:val="Compact"/>
              <w:spacing w:after="40" w:before="40"/>
              <w:jc w:val="left"/>
            </w:pPr>
            <w:r>
              <w:t xml:space="preserve">Value</w:t>
            </w:r>
          </w:p>
        </w:tc>
      </w:tr>
      <w:tr>
        <w:tc>
          <w:tcPr/>
          <w:p>
            <w:pPr>
              <w:pStyle w:val="Compact"/>
              <w:spacing w:after="40" w:before="40"/>
              <w:jc w:val="left"/>
            </w:pPr>
            <w:r>
              <w:t xml:space="preserve">Rows</w:t>
            </w:r>
          </w:p>
        </w:tc>
        <w:tc>
          <w:tcPr/>
          <w:p>
            <w:pPr>
              <w:pStyle w:val="Compact"/>
              <w:spacing w:after="40" w:before="40"/>
              <w:jc w:val="left"/>
            </w:pPr>
            <w:r>
              <w:t xml:space="preserve">3,131</w:t>
            </w:r>
          </w:p>
        </w:tc>
      </w:tr>
      <w:tr>
        <w:tc>
          <w:tcPr/>
          <w:p>
            <w:pPr>
              <w:pStyle w:val="Compact"/>
              <w:spacing w:after="40" w:before="40"/>
              <w:jc w:val="left"/>
            </w:pPr>
            <w:r>
              <w:t xml:space="preserve">Distinct incidents (</w:t>
            </w:r>
            <w:r>
              <w:rPr>
                <w:rStyle w:val="VerbatimChar"/>
              </w:rPr>
              <w:t xml:space="preserve">is_primary == 1</w:t>
            </w:r>
            <w:r>
              <w:t xml:space="preserve">)</w:t>
            </w:r>
          </w:p>
        </w:tc>
        <w:tc>
          <w:tcPr/>
          <w:p>
            <w:pPr>
              <w:pStyle w:val="Compact"/>
              <w:spacing w:after="40" w:before="40"/>
              <w:jc w:val="left"/>
            </w:pPr>
            <w:r>
              <w:t xml:space="preserve">3,029</w:t>
            </w:r>
          </w:p>
        </w:tc>
      </w:tr>
      <w:tr>
        <w:tc>
          <w:tcPr/>
          <w:p>
            <w:pPr>
              <w:pStyle w:val="Compact"/>
              <w:spacing w:after="40" w:before="40"/>
              <w:jc w:val="left"/>
            </w:pPr>
            <w:r>
              <w:t xml:space="preserve">Further descriptions of an incident already present</w:t>
            </w:r>
          </w:p>
        </w:tc>
        <w:tc>
          <w:tcPr/>
          <w:p>
            <w:pPr>
              <w:pStyle w:val="Compact"/>
              <w:spacing w:after="40" w:before="40"/>
              <w:jc w:val="left"/>
            </w:pPr>
            <w:r>
              <w:t xml:space="preserve">102</w:t>
            </w:r>
          </w:p>
        </w:tc>
      </w:tr>
      <w:tr>
        <w:tc>
          <w:tcPr/>
          <w:p>
            <w:pPr>
              <w:pStyle w:val="Compact"/>
              <w:spacing w:after="40" w:before="40"/>
              <w:jc w:val="left"/>
            </w:pPr>
            <w:r>
              <w:t xml:space="preserve">Variables</w:t>
            </w:r>
          </w:p>
        </w:tc>
        <w:tc>
          <w:tcPr/>
          <w:p>
            <w:pPr>
              <w:pStyle w:val="Compact"/>
              <w:spacing w:after="40" w:before="40"/>
              <w:jc w:val="left"/>
            </w:pPr>
            <w:r>
              <w:t xml:space="preserve">81</w:t>
            </w:r>
          </w:p>
        </w:tc>
      </w:tr>
      <w:tr>
        <w:tc>
          <w:tcPr/>
          <w:p>
            <w:pPr>
              <w:pStyle w:val="Compact"/>
              <w:spacing w:after="40" w:before="40"/>
              <w:jc w:val="left"/>
            </w:pPr>
            <w:r>
              <w:t xml:space="preserve">Source documents</w:t>
            </w:r>
          </w:p>
        </w:tc>
        <w:tc>
          <w:tcPr/>
          <w:p>
            <w:pPr>
              <w:pStyle w:val="Compact"/>
              <w:spacing w:after="40" w:before="40"/>
              <w:jc w:val="left"/>
            </w:pPr>
            <w:r>
              <w:t xml:space="preserve">534</w:t>
            </w:r>
          </w:p>
        </w:tc>
      </w:tr>
      <w:tr>
        <w:tc>
          <w:tcPr/>
          <w:p>
            <w:pPr>
              <w:pStyle w:val="Compact"/>
              <w:spacing w:after="40" w:before="40"/>
              <w:jc w:val="left"/>
            </w:pPr>
            <w:r>
              <w:t xml:space="preserve">Published source identities</w:t>
            </w:r>
          </w:p>
        </w:tc>
        <w:tc>
          <w:tcPr/>
          <w:p>
            <w:pPr>
              <w:pStyle w:val="Compact"/>
              <w:spacing w:after="40" w:before="40"/>
              <w:jc w:val="left"/>
            </w:pPr>
            <w:r>
              <w:t xml:space="preserve">108</w:t>
            </w:r>
          </w:p>
        </w:tc>
      </w:tr>
      <w:tr>
        <w:tc>
          <w:tcPr/>
          <w:p>
            <w:pPr>
              <w:pStyle w:val="Compact"/>
              <w:spacing w:after="40" w:before="40"/>
              <w:jc w:val="left"/>
            </w:pPr>
            <w:r>
              <w:t xml:space="preserve">Canonical parent institutions</w:t>
            </w:r>
          </w:p>
        </w:tc>
        <w:tc>
          <w:tcPr/>
          <w:p>
            <w:pPr>
              <w:pStyle w:val="Compact"/>
              <w:spacing w:after="40" w:before="40"/>
              <w:jc w:val="left"/>
            </w:pPr>
            <w:r>
              <w:t xml:space="preserve">97 in the registry, 96 with a recorded incident</w:t>
            </w:r>
          </w:p>
        </w:tc>
      </w:tr>
      <w:tr>
        <w:tc>
          <w:tcPr/>
          <w:p>
            <w:pPr>
              <w:pStyle w:val="Compact"/>
              <w:spacing w:after="40" w:before="40"/>
              <w:jc w:val="left"/>
            </w:pPr>
            <w:r>
              <w:t xml:space="preserve">Target information spaces appearing across all 3,131 rows</w:t>
            </w:r>
          </w:p>
        </w:tc>
        <w:tc>
          <w:tcPr/>
          <w:p>
            <w:pPr>
              <w:pStyle w:val="Compact"/>
              <w:spacing w:after="40" w:before="40"/>
              <w:jc w:val="left"/>
            </w:pPr>
            <w:r>
              <w:t xml:space="preserve">114</w:t>
            </w:r>
          </w:p>
        </w:tc>
      </w:tr>
      <w:tr>
        <w:tc>
          <w:tcPr/>
          <w:p>
            <w:pPr>
              <w:pStyle w:val="Compact"/>
              <w:spacing w:after="40" w:before="40"/>
              <w:jc w:val="left"/>
            </w:pPr>
            <w:r>
              <w:t xml:space="preserve">Period covered</w:t>
            </w:r>
          </w:p>
        </w:tc>
        <w:tc>
          <w:tcPr/>
          <w:p>
            <w:pPr>
              <w:pStyle w:val="Compact"/>
              <w:spacing w:after="40" w:before="40"/>
              <w:jc w:val="left"/>
            </w:pPr>
            <w:r>
              <w:t xml:space="preserve">1903 to 2026</w:t>
            </w:r>
          </w:p>
        </w:tc>
      </w:tr>
      <w:tr>
        <w:tc>
          <w:tcPr/>
          <w:p>
            <w:pPr>
              <w:pStyle w:val="Compact"/>
              <w:spacing w:after="40" w:before="40"/>
              <w:jc w:val="left"/>
            </w:pPr>
            <w:r>
              <w:t xml:space="preserve">File encoding</w:t>
            </w:r>
          </w:p>
        </w:tc>
        <w:tc>
          <w:tcPr/>
          <w:p>
            <w:pPr>
              <w:pStyle w:val="Compact"/>
              <w:spacing w:after="40" w:before="40"/>
              <w:jc w:val="left"/>
            </w:pPr>
            <w:r>
              <w:t xml:space="preserve">UTF-8, comma-separated, quoted where a value contains a comma</w:t>
            </w:r>
          </w:p>
        </w:tc>
      </w:tr>
      <w:tr>
        <w:tc>
          <w:tcPr/>
          <w:p>
            <w:pPr>
              <w:pStyle w:val="Compact"/>
              <w:spacing w:after="40" w:before="40"/>
              <w:jc w:val="left"/>
            </w:pPr>
            <w:r>
              <w:t xml:space="preserve">Multi-value delimiter</w:t>
            </w:r>
          </w:p>
        </w:tc>
        <w:tc>
          <w:tcPr/>
          <w:p>
            <w:pPr>
              <w:pStyle w:val="Compact"/>
              <w:spacing w:after="40" w:before="40"/>
              <w:jc w:val="left"/>
            </w:pPr>
            <w:r>
              <w:t xml:space="preserve">semicolon and space</w:t>
            </w:r>
          </w:p>
        </w:tc>
      </w:tr>
    </w:tbl>
    <w:p>
      <w:pPr>
        <w:pStyle w:val="BodyText"/>
      </w:pPr>
      <w:r>
        <w:t xml:space="preserve">Count incidents by filtering on</w:t>
      </w:r>
      <w:r>
        <w:t xml:space="preserve"> </w:t>
      </w:r>
      <w:r>
        <w:rPr>
          <w:rStyle w:val="VerbatimChar"/>
        </w:rPr>
        <w:t xml:space="preserve">is_primary == 1</w:t>
      </w:r>
      <w:r>
        <w:t xml:space="preserve">. Counting rows counts mentions in reports, a different quantity that overstates any total by 102. Every figure reported in D4.2 is computed over the 3,029 rows where</w:t>
      </w:r>
      <w:r>
        <w:t xml:space="preserve"> </w:t>
      </w:r>
      <w:r>
        <w:rPr>
          <w:rStyle w:val="VerbatimChar"/>
        </w:rPr>
        <w:t xml:space="preserve">is_primary == 1</w:t>
      </w:r>
      <w:r>
        <w:t xml:space="preserve">, unless the text says otherwise.</w:t>
      </w:r>
    </w:p>
    <w:p>
      <w:pPr>
        <w:pStyle w:val="SourceCode"/>
      </w:pPr>
      <w:r>
        <w:rPr>
          <w:rStyle w:val="VerbatimChar"/>
        </w:rPr>
        <w:t xml:space="preserve">import pandas as pd</w:t>
      </w:r>
      <w:r>
        <w:br/>
      </w:r>
      <w:r>
        <w:rPr>
          <w:rStyle w:val="VerbatimChar"/>
        </w:rPr>
        <w:t xml:space="preserve">d = pd.read_csv("DCFIMIEvent_v2_4_3.csv", dtype=str, keep_default_na=False)</w:t>
      </w:r>
      <w:r>
        <w:br/>
      </w:r>
      <w:r>
        <w:rPr>
          <w:rStyle w:val="VerbatimChar"/>
        </w:rPr>
        <w:t xml:space="preserve">incidents = d[d.is_primary == "1"]        # 3,029 rows</w:t>
      </w:r>
    </w:p>
    <w:p>
      <w:pPr>
        <w:pStyle w:val="FirstParagraph"/>
      </w:pPr>
      <w:r>
        <w:t xml:space="preserve">Two flags encode the analysis populations so that users need not reconstruct them.</w:t>
      </w:r>
      <w:r>
        <w:t xml:space="preserve"> </w:t>
      </w:r>
      <w:r>
        <w:rPr>
          <w:rStyle w:val="VerbatimChar"/>
        </w:rPr>
        <w:t xml:space="preserve">analysis_include_target</w:t>
      </w:r>
      <w:r>
        <w:t xml:space="preserve"> </w:t>
      </w:r>
      <w:r>
        <w:t xml:space="preserve">excludes the 117 target assignments we have not resolved and leaves 2,912 incidents; use it for any analysis of target countries.</w:t>
      </w:r>
      <w:r>
        <w:t xml:space="preserve"> </w:t>
      </w:r>
      <w:r>
        <w:rPr>
          <w:rStyle w:val="VerbatimChar"/>
        </w:rPr>
        <w:t xml:space="preserve">analysis_include_latency</w:t>
      </w:r>
      <w:r>
        <w:t xml:space="preserve"> </w:t>
      </w:r>
      <w:r>
        <w:t xml:space="preserve">defines the latency population of 2,708 incidents that occurred in 2010 or later and for which we can compute an interval; use it for any analysis of reporting delay.</w:t>
      </w:r>
    </w:p>
    <w:p>
      <w:pPr>
        <w:pStyle w:val="BodyText"/>
      </w:pPr>
      <w:r>
        <w:t xml:space="preserve">A joint publication is one source identity with several parent institutions. Count institutions from</w:t>
      </w:r>
      <w:r>
        <w:t xml:space="preserve"> </w:t>
      </w:r>
      <w:r>
        <w:rPr>
          <w:rStyle w:val="VerbatimChar"/>
        </w:rPr>
        <w:t xml:space="preserve">parent_institution_ids</w:t>
      </w:r>
      <w:r>
        <w:t xml:space="preserve">. For jurisdiction and type the file treats the joint publication as a single source identity:</w:t>
      </w:r>
      <w:r>
        <w:t xml:space="preserve"> </w:t>
      </w:r>
      <w:r>
        <w:rPr>
          <w:rStyle w:val="VerbatimChar"/>
        </w:rPr>
        <w:t xml:space="preserve">institution_country</w:t>
      </w:r>
      <w:r>
        <w:t xml:space="preserve"> </w:t>
      </w:r>
      <w:r>
        <w:t xml:space="preserve">holds the jurisdiction the parents share, or Multinational where they sit in different jurisdictions, and</w:t>
      </w:r>
      <w:r>
        <w:t xml:space="preserve"> </w:t>
      </w:r>
      <w:r>
        <w:rPr>
          <w:rStyle w:val="VerbatimChar"/>
        </w:rPr>
        <w:t xml:space="preserve">institution_type</w:t>
      </w:r>
      <w:r>
        <w:t xml:space="preserve"> </w:t>
      </w:r>
      <w:r>
        <w:t xml:space="preserve">holds one label for the identity. Every figure in D4.2 by jurisdiction or type, and the portal, use that single value. An analyst who prefers to credit each parent with its own jurisdiction can explode</w:t>
      </w:r>
      <w:r>
        <w:t xml:space="preserve"> </w:t>
      </w:r>
      <w:r>
        <w:rPr>
          <w:rStyle w:val="VerbatimChar"/>
        </w:rPr>
        <w:t xml:space="preserve">parent_institution_ids</w:t>
      </w:r>
      <w:r>
        <w:t xml:space="preserve">, join to the institutions sheet of the registries workbook, and will obtain slightly different flows for the 31 jointly published incidents.</w:t>
      </w:r>
    </w:p>
    <w:p>
      <w:pPr>
        <w:pStyle w:val="BodyText"/>
      </w:pPr>
      <w:r>
        <w:t xml:space="preserve">Counting at the two levels gives different concentration figures: 8 parent institutions account for half of the 2,797 incidents for which we identify a reporting institution, while 10 published source identities do, because the Digital Forensic Research Lab and the Atlantic Council publish under separate labels and resolve to one parent. Every figure in D4.2 is computed at the parent level.</w:t>
      </w:r>
    </w:p>
    <w:p>
      <w:pPr>
        <w:pStyle w:val="BodyText"/>
      </w:pPr>
      <w:r>
        <w:t xml:space="preserve">Multi-valued columns use a semicolon followed by a space as the delimiter, so splitting on the semicolon alone leaves a leading space on every value after the first. Strip each item before counting or joining, in pandas with</w:t>
      </w:r>
      <w:r>
        <w:t xml:space="preserve"> </w:t>
      </w:r>
      <w:r>
        <w:rPr>
          <w:rStyle w:val="VerbatimChar"/>
        </w:rPr>
        <w:t xml:space="preserve">s.str.split(";").explode().str.strip()</w:t>
      </w:r>
      <w:r>
        <w:t xml:space="preserve">. Splitting without the strip produces duplicate keys that look like distinct values, and gives 101 parent institutions instead of 96, 513 NATO StratCom incidents instead of 515, and 108 DISARM techniques instead of 77. One column is not a delimited list:</w:t>
      </w:r>
      <w:r>
        <w:t xml:space="preserve"> </w:t>
      </w:r>
      <w:r>
        <w:rPr>
          <w:rStyle w:val="VerbatimChar"/>
        </w:rPr>
        <w:t xml:space="preserve">cited_sources</w:t>
      </w:r>
      <w:r>
        <w:t xml:space="preserve"> </w:t>
      </w:r>
      <w:r>
        <w:t xml:space="preserve">is free text reproducing the citation as the source document gives it, and it contains commas and semicolons inside names and titles, so do not split it.</w:t>
      </w:r>
    </w:p>
    <w:p>
      <w:pPr>
        <w:pStyle w:val="BodyText"/>
      </w:pPr>
      <w:r>
        <w:t xml:space="preserve">In</w:t>
      </w:r>
      <w:r>
        <w:t xml:space="preserve"> </w:t>
      </w:r>
      <w:r>
        <w:rPr>
          <w:rStyle w:val="VerbatimChar"/>
        </w:rPr>
        <w:t xml:space="preserve">official_response</w:t>
      </w:r>
      <w:r>
        <w:t xml:space="preserve">,</w:t>
      </w:r>
      <w:r>
        <w:t xml:space="preserve"> </w:t>
      </w:r>
      <w:r>
        <w:rPr>
          <w:rStyle w:val="VerbatimChar"/>
        </w:rPr>
        <w:t xml:space="preserve">international_response</w:t>
      </w:r>
      <w:r>
        <w:t xml:space="preserve">,</w:t>
      </w:r>
      <w:r>
        <w:t xml:space="preserve"> </w:t>
      </w:r>
      <w:r>
        <w:rPr>
          <w:rStyle w:val="VerbatimChar"/>
        </w:rPr>
        <w:t xml:space="preserve">evidence_of_impact</w:t>
      </w:r>
      <w:r>
        <w:t xml:space="preserve"> </w:t>
      </w:r>
      <w:r>
        <w:t xml:space="preserve">and</w:t>
      </w:r>
      <w:r>
        <w:t xml:space="preserve"> </w:t>
      </w:r>
      <w:r>
        <w:rPr>
          <w:rStyle w:val="VerbatimChar"/>
        </w:rPr>
        <w:t xml:space="preserve">evidence_of_coordination</w:t>
      </w:r>
      <w:r>
        <w:t xml:space="preserve"> </w:t>
      </w:r>
      <w:r>
        <w:t xml:space="preserve">the extraction model wrote None where it had read the passage and found no such thing. The v2.4 build normalised that value to an empty cell, which made it indistinguishable from a field that was never populated, and release v2.4.2 restored it as the controlled value</w:t>
      </w:r>
      <w:r>
        <w:t xml:space="preserve"> </w:t>
      </w:r>
      <w:r>
        <w:rPr>
          <w:rStyle w:val="VerbatimChar"/>
        </w:rPr>
        <w:t xml:space="preserve">None recorded</w:t>
      </w:r>
      <w:r>
        <w:t xml:space="preserve">, so that in these 4 columns an empty cell means only that the field was not populated. We use the two-word form because pandas reads a bare None as a missing value by default.</w:t>
      </w:r>
      <w:r>
        <w:t xml:space="preserve"> </w:t>
      </w:r>
      <w:r>
        <w:rPr>
          <w:rStyle w:val="VerbatimChar"/>
        </w:rPr>
        <w:t xml:space="preserve">None recorded</w:t>
      </w:r>
      <w:r>
        <w:t xml:space="preserve"> </w:t>
      </w:r>
      <w:r>
        <w:t xml:space="preserve">is a recorded absence and not a response, evidence or coordination: the expressions in Section 8 exclude it, and the reading loads every column as text with</w:t>
      </w:r>
      <w:r>
        <w:t xml:space="preserve"> </w:t>
      </w:r>
      <w:r>
        <w:rPr>
          <w:rStyle w:val="VerbatimChar"/>
        </w:rPr>
        <w:t xml:space="preserve">keep_default_na=False</w:t>
      </w:r>
      <w:r>
        <w:t xml:space="preserve">. Everywhere else an empty cell means the passage supplied no information.</w:t>
      </w:r>
    </w:p>
    <w:p>
      <w:pPr>
        <w:pStyle w:val="BodyText"/>
      </w:pPr>
      <w:r>
        <w:t xml:space="preserve">Every row was produced by the same extraction run, so 6 facts that earlier releases repeated in every row are stated here once. The extraction model was gpt-5.6-terra, run through the OpenAI batch interface on 13 August 2026. DISARM codes follow DISARM Red v1.6.1. Quotations were matched to the source text during extraction by exact or fuzzy matching, and the per-row outcome was not retained, so no record-level verification result exists in this release. No row carries a date on which an institution formed its judgement, because published documents do not disclose it.</w:t>
      </w:r>
    </w:p>
    <w:bookmarkEnd w:id="25"/>
    <w:bookmarkStart w:id="26" w:name="X79ee20afb37f1df935e1a0dc4622d76b0a77a72"/>
    <w:p>
      <w:pPr>
        <w:pStyle w:val="Heading1"/>
      </w:pPr>
      <w:r>
        <w:rPr>
          <w:bCs/>
          <w:b/>
        </w:rPr>
        <w:t xml:space="preserve">3. What the dataset measures</w:t>
      </w:r>
    </w:p>
    <w:p>
      <w:pPr>
        <w:pStyle w:val="FirstParagraph"/>
      </w:pPr>
      <w:r>
        <w:t xml:space="preserve">An incident enters this dataset only if 5 conditions hold in sequence: the manipulation must occur; some institution must detect it; that institution must judge the evidence sufficient to attribute it; it must then decide to publish the attribution instead of retaining it internally; and our corpus construction must retrieve the resulting document and extract its content correctly. A row is evidence that all 5 conditions held. The absence of a row is consistent with the failure of any one of them, and the dataset contains no information that would distinguish which, so observed counts are the product of an occurrence rate and a chain of conditional probabilities, none of which we observe separately.</w:t>
      </w:r>
    </w:p>
    <w:p>
      <w:pPr>
        <w:pStyle w:val="BodyText"/>
      </w:pPr>
      <w:r>
        <w:t xml:space="preserve">Two consequences follow for analysis. Comparisons that hold the observing institution constant are more defensible than comparisons across institutions, because a single institution’s detection and publication practices are at least approximately stable. Comparisons of composition are more defensible than comparisons of level, because the share of an institution’s own output devoted to one actor or one target does not depend on how much that institution publishes overall.</w:t>
      </w:r>
    </w:p>
    <w:p>
      <w:pPr>
        <w:pStyle w:val="BodyText"/>
      </w:pPr>
      <w:r>
        <w:t xml:space="preserve">Three quantities escape that difficulty because they are properties of the published record itself: the interval between occurrence and publication, the proportion of incidents described by more than one institution, and the proportion of rows that report an official response.</w:t>
      </w:r>
    </w:p>
    <w:p>
      <w:pPr>
        <w:pStyle w:val="BodyText"/>
      </w:pPr>
      <w:r>
        <w:t xml:space="preserve">Records nest within documents and documents within institutions, so rows are not independent observations. Cluster standard errors at the institution level, which is the outer level and absorbs the dependence shared across every document an institution publishes. Clustering at the document level alone is insufficient, since a single report contributing 40 incidents contributes 40 correlated observations, and one institution’s documents share more still. Where the analysis needs both levels, a hierarchical specification with documents nested inside institutions is the appropriate form.</w:t>
      </w:r>
    </w:p>
    <w:bookmarkEnd w:id="26"/>
    <w:bookmarkStart w:id="27" w:name="X4aa6fd01d2b86c263af1b617263b55881e72216"/>
    <w:p>
      <w:pPr>
        <w:pStyle w:val="Heading1"/>
      </w:pPr>
      <w:r>
        <w:rPr>
          <w:bCs/>
          <w:b/>
        </w:rPr>
        <w:t xml:space="preserve">4. Variables</w:t>
      </w:r>
    </w:p>
    <w:p>
      <w:pPr>
        <w:pStyle w:val="FirstParagraph"/>
      </w:pPr>
      <w:r>
        <w:t xml:space="preserve">The file carries 81 variables in 13 blocks. Variable names are lower case with underscores. Where a variable can hold more than one value, the values are separated by a semicolon and a space.</w:t>
      </w:r>
    </w:p>
    <w:p>
      <w:pPr>
        <w:pStyle w:val="BodyText"/>
      </w:pPr>
      <w:r>
        <w:t xml:space="preserve">The</w:t>
      </w:r>
      <w:r>
        <w:t xml:space="preserve"> </w:t>
      </w:r>
      <w:r>
        <w:rPr>
          <w:bCs/>
          <w:b/>
        </w:rPr>
        <w:t xml:space="preserve">populated</w:t>
      </w:r>
      <w:r>
        <w:t xml:space="preserve"> </w:t>
      </w:r>
      <w:r>
        <w:t xml:space="preserve">column gives the share of all 3,131 rows carrying a value. An empty cell records the silence of the source: we instruct the extraction model not to infer a plausible value, so an empty field means the document said nothing. In the 4 fields named in Section 2, a passage that was read and contains no such thing carries</w:t>
      </w:r>
      <w:r>
        <w:t xml:space="preserve"> </w:t>
      </w:r>
      <w:r>
        <w:rPr>
          <w:rStyle w:val="VerbatimChar"/>
        </w:rPr>
        <w:t xml:space="preserve">None recorded</w:t>
      </w:r>
      <w:r>
        <w:t xml:space="preserve">, and an empty cell there means only that the field was not populated.</w:t>
      </w:r>
    </w:p>
    <w:p>
      <w:pPr>
        <w:pStyle w:val="BodyText"/>
      </w:pPr>
      <w:r>
        <w:t xml:space="preserve">A small number of name fields contain a literal vertical bar as part of the recorded name, either separating an acronym from its expansion, as in</w:t>
      </w:r>
      <w:r>
        <w:t xml:space="preserve"> </w:t>
      </w:r>
      <w:r>
        <w:rPr>
          <w:rStyle w:val="VerbatimChar"/>
        </w:rPr>
        <w:t xml:space="preserve">MERICS | Mercator Institute for China Studies</w:t>
      </w:r>
      <w:r>
        <w:t xml:space="preserve">, or joining the two agencies behind a joint publication, as in</w:t>
      </w:r>
      <w:r>
        <w:t xml:space="preserve"> </w:t>
      </w:r>
      <w:r>
        <w:rPr>
          <w:rStyle w:val="VerbatimChar"/>
        </w:rPr>
        <w:t xml:space="preserve">MIVD | AIVD</w:t>
      </w:r>
      <w:r>
        <w:t xml:space="preserve">. These are 11 rows across 6 fields; the bar is part of the value, and we keep it because the label is the one the institution registry carries. Split on the semicolon and space only.</w:t>
      </w:r>
    </w:p>
    <w:p>
      <w:pPr>
        <w:pStyle w:val="BodyText"/>
      </w:pPr>
      <w:r>
        <w:t xml:space="preserve">The identifiers come first.</w:t>
      </w:r>
    </w:p>
    <w:p>
      <w:pPr>
        <w:pStyle w:val="Caption"/>
      </w:pPr>
      <w:r>
        <w:rPr>
          <w:iCs/>
          <w:i/>
        </w:rPr>
        <w:t xml:space="preserve">Table 3: Event identifiers.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id</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number every row from 1 to 3,131 in file order. The number is a convenience for the file and carries no meaning; cite incident_uid instead.</w:t>
            </w:r>
          </w:p>
        </w:tc>
      </w:tr>
      <w:tr>
        <w:tc>
          <w:tcPr>
            <w:tcW w:w="2430" w:type="dxa"/>
          </w:tcPr>
          <w:p>
            <w:pPr>
              <w:pStyle w:val="Compact"/>
              <w:spacing w:after="40" w:before="40"/>
              <w:jc w:val="left"/>
            </w:pPr>
            <w:r>
              <w:rPr>
                <w:rStyle w:val="VerbatimChar"/>
              </w:rPr>
              <w:t xml:space="preserve">incident_uid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assign each row a persistent identifier derived from its content, which remains stable if we re-extract the dataset, so that a record can be cited and later corrected.</w:t>
            </w:r>
          </w:p>
        </w:tc>
      </w:tr>
      <w:tr>
        <w:tc>
          <w:tcPr>
            <w:tcW w:w="2430" w:type="dxa"/>
          </w:tcPr>
          <w:p>
            <w:pPr>
              <w:pStyle w:val="Compact"/>
              <w:spacing w:after="40" w:before="40"/>
              <w:jc w:val="left"/>
            </w:pPr>
            <w:r>
              <w:rPr>
                <w:rStyle w:val="VerbatimChar"/>
              </w:rPr>
              <w:t xml:space="preserve">event_id</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give each distinct incident a number. Rows describing the same incident in different documents share it. Releases before v2.4.3 also carried it as event_cluster_id in the form EVT_ followed by the number padded to 5 digits.</w:t>
            </w:r>
          </w:p>
        </w:tc>
      </w:tr>
      <w:tr>
        <w:tc>
          <w:tcPr>
            <w:tcW w:w="2430" w:type="dxa"/>
          </w:tcPr>
          <w:p>
            <w:pPr>
              <w:pStyle w:val="Compact"/>
              <w:spacing w:after="40" w:before="40"/>
              <w:jc w:val="left"/>
            </w:pPr>
            <w:r>
              <w:rPr>
                <w:rStyle w:val="VerbatimChar"/>
              </w:rPr>
              <w:t xml:space="preserve">is_primary</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mark the single most complete row for each incident with 1. Filter on is_primary == 1 to count incidents; counting rows counts mentions in reports. The 102 rows carrying 0 are further descriptions of an incident already present, and each carries its own institution, document and quotation.</w:t>
            </w:r>
          </w:p>
        </w:tc>
      </w:tr>
      <w:tr>
        <w:tc>
          <w:tcPr>
            <w:tcW w:w="2430" w:type="dxa"/>
          </w:tcPr>
          <w:p>
            <w:pPr>
              <w:pStyle w:val="Compact"/>
              <w:spacing w:after="40" w:before="40"/>
              <w:jc w:val="left"/>
            </w:pPr>
            <w:r>
              <w:rPr>
                <w:rStyle w:val="VerbatimChar"/>
              </w:rPr>
              <w:t xml:space="preserve">n_source_docs</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number of distinct source documents describing this incident, which is not the same as the number of institutions.</w:t>
            </w:r>
          </w:p>
        </w:tc>
      </w:tr>
      <w:tr>
        <w:tc>
          <w:tcPr>
            <w:tcW w:w="2430" w:type="dxa"/>
          </w:tcPr>
          <w:p>
            <w:pPr>
              <w:pStyle w:val="Compact"/>
              <w:spacing w:after="40" w:before="40"/>
              <w:jc w:val="left"/>
            </w:pPr>
            <w:r>
              <w:rPr>
                <w:rStyle w:val="VerbatimChar"/>
              </w:rPr>
              <w:t xml:space="preserve">n_institutions</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number of distinct parent institutions describing this incident, counted at the level of document and parent, so that a jointly authored report contributes each of the institutions behind it.</w:t>
            </w:r>
          </w:p>
        </w:tc>
      </w:tr>
      <w:tr>
        <w:tc>
          <w:tcPr>
            <w:tcW w:w="2430" w:type="dxa"/>
          </w:tcPr>
          <w:p>
            <w:pPr>
              <w:pStyle w:val="Compact"/>
              <w:spacing w:after="40" w:before="40"/>
              <w:jc w:val="left"/>
            </w:pPr>
            <w:r>
              <w:rPr>
                <w:rStyle w:val="VerbatimChar"/>
              </w:rPr>
              <w:t xml:space="preserve">attribution_triple_complete</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the attributing institution, the attributed actor and the target are all present. Rows lacking one of the three cannot support relational analysis.</w:t>
            </w:r>
          </w:p>
        </w:tc>
      </w:tr>
    </w:tbl>
    <w:p>
      <w:pPr>
        <w:pStyle w:val="BodyText"/>
      </w:pPr>
      <w:r>
        <w:t xml:space="preserve">The next block records what the institution attributed.</w:t>
      </w:r>
    </w:p>
    <w:p>
      <w:pPr>
        <w:pStyle w:val="Caption"/>
      </w:pPr>
      <w:r>
        <w:rPr>
          <w:iCs/>
          <w:i/>
        </w:rPr>
        <w:t xml:space="preserve">Table 4: What the institution attributed.</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event_title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A short title for the incident, written during extraction from the source document.</w:t>
            </w:r>
          </w:p>
        </w:tc>
      </w:tr>
      <w:tr>
        <w:tc>
          <w:tcPr>
            <w:tcW w:w="2430" w:type="dxa"/>
          </w:tcPr>
          <w:p>
            <w:pPr>
              <w:pStyle w:val="Compact"/>
              <w:spacing w:after="40" w:before="40"/>
              <w:jc w:val="left"/>
            </w:pPr>
            <w:r>
              <w:rPr>
                <w:rStyle w:val="VerbatimChar"/>
              </w:rPr>
              <w:t xml:space="preserve">event_description</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A narrative description of the incident, drawn from the source document.</w:t>
            </w:r>
          </w:p>
        </w:tc>
      </w:tr>
      <w:tr>
        <w:tc>
          <w:tcPr>
            <w:tcW w:w="2430" w:type="dxa"/>
          </w:tcPr>
          <w:p>
            <w:pPr>
              <w:pStyle w:val="Compact"/>
              <w:spacing w:after="40" w:before="40"/>
              <w:jc w:val="left"/>
            </w:pPr>
            <w:r>
              <w:rPr>
                <w:rStyle w:val="VerbatimChar"/>
              </w:rPr>
              <w:t xml:space="preserve">event_type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99.7%</w:t>
            </w:r>
          </w:p>
        </w:tc>
        <w:tc>
          <w:tcPr>
            <w:tcW w:w="4680" w:type="dxa"/>
          </w:tcPr>
          <w:p>
            <w:pPr>
              <w:pStyle w:val="Compact"/>
              <w:spacing w:after="40" w:before="40"/>
              <w:jc w:val="left"/>
            </w:pPr>
            <w:r>
              <w:t xml:space="preserve">The type of event as characterised during extraction, from a controlled list of 11 values. Semicolon-delimited where an incident carries more than one.</w:t>
            </w:r>
          </w:p>
        </w:tc>
      </w:tr>
      <w:tr>
        <w:tc>
          <w:tcPr>
            <w:tcW w:w="2430" w:type="dxa"/>
          </w:tcPr>
          <w:p>
            <w:pPr>
              <w:pStyle w:val="Compact"/>
              <w:spacing w:after="40" w:before="40"/>
              <w:jc w:val="left"/>
            </w:pPr>
            <w:r>
              <w:rPr>
                <w:rStyle w:val="VerbatimChar"/>
              </w:rPr>
              <w:t xml:space="preserve">content_format</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88.5%</w:t>
            </w:r>
          </w:p>
        </w:tc>
        <w:tc>
          <w:tcPr>
            <w:tcW w:w="4680" w:type="dxa"/>
          </w:tcPr>
          <w:p>
            <w:pPr>
              <w:pStyle w:val="Compact"/>
              <w:spacing w:after="40" w:before="40"/>
              <w:jc w:val="left"/>
            </w:pPr>
            <w:r>
              <w:t xml:space="preserve">The format of the manipulated content, from a controlled list of 7 values. Semicolon-delimited.</w:t>
            </w:r>
          </w:p>
        </w:tc>
      </w:tr>
      <w:tr>
        <w:tc>
          <w:tcPr>
            <w:tcW w:w="2430" w:type="dxa"/>
          </w:tcPr>
          <w:p>
            <w:pPr>
              <w:pStyle w:val="Compact"/>
              <w:spacing w:after="40" w:before="40"/>
              <w:jc w:val="left"/>
            </w:pPr>
            <w:r>
              <w:rPr>
                <w:rStyle w:val="VerbatimChar"/>
              </w:rPr>
              <w:t xml:space="preserve">content_language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19.7%</w:t>
            </w:r>
          </w:p>
        </w:tc>
        <w:tc>
          <w:tcPr>
            <w:tcW w:w="4680" w:type="dxa"/>
          </w:tcPr>
          <w:p>
            <w:pPr>
              <w:pStyle w:val="Compact"/>
              <w:spacing w:after="40" w:before="40"/>
              <w:jc w:val="left"/>
            </w:pPr>
            <w:r>
              <w:t xml:space="preserve">The language of the manipulated content where the source identifies it. Populated for about a fifth of rows, which is a known gap in our coverage.</w:t>
            </w:r>
          </w:p>
        </w:tc>
      </w:tr>
      <w:tr>
        <w:tc>
          <w:tcPr>
            <w:tcW w:w="2430" w:type="dxa"/>
          </w:tcPr>
          <w:p>
            <w:pPr>
              <w:pStyle w:val="Compact"/>
              <w:spacing w:after="40" w:before="40"/>
              <w:jc w:val="left"/>
            </w:pPr>
            <w:r>
              <w:rPr>
                <w:rStyle w:val="VerbatimChar"/>
              </w:rPr>
              <w:t xml:space="preserve">primary_platform</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platform or channel on which the incident occurred. We enter Unknown where the source identifies none, so an empty value does not occur.</w:t>
            </w:r>
          </w:p>
        </w:tc>
      </w:tr>
      <w:tr>
        <w:tc>
          <w:tcPr>
            <w:tcW w:w="2430" w:type="dxa"/>
          </w:tcPr>
          <w:p>
            <w:pPr>
              <w:pStyle w:val="Compact"/>
              <w:spacing w:after="40" w:before="40"/>
              <w:jc w:val="left"/>
            </w:pPr>
            <w:r>
              <w:rPr>
                <w:rStyle w:val="VerbatimChar"/>
              </w:rPr>
              <w:t xml:space="preserve">manipulative_techniques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79.9%</w:t>
            </w:r>
          </w:p>
        </w:tc>
        <w:tc>
          <w:tcPr>
            <w:tcW w:w="4680" w:type="dxa"/>
          </w:tcPr>
          <w:p>
            <w:pPr>
              <w:pStyle w:val="Compact"/>
              <w:spacing w:after="40" w:before="40"/>
              <w:jc w:val="left"/>
            </w:pPr>
            <w:r>
              <w:t xml:space="preserve">The free-text technique description the source gave, before we mapped it to DISARM.</w:t>
            </w:r>
          </w:p>
        </w:tc>
      </w:tr>
      <w:tr>
        <w:tc>
          <w:tcPr>
            <w:tcW w:w="2430" w:type="dxa"/>
          </w:tcPr>
          <w:p>
            <w:pPr>
              <w:pStyle w:val="Compact"/>
              <w:spacing w:after="40" w:before="40"/>
              <w:jc w:val="left"/>
            </w:pPr>
            <w:r>
              <w:rPr>
                <w:rStyle w:val="VerbatimChar"/>
              </w:rPr>
              <w:t xml:space="preserve">observed_reach</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99.9%</w:t>
            </w:r>
          </w:p>
        </w:tc>
        <w:tc>
          <w:tcPr>
            <w:tcW w:w="4680" w:type="dxa"/>
          </w:tcPr>
          <w:p>
            <w:pPr>
              <w:pStyle w:val="Compact"/>
              <w:spacing w:after="40" w:before="40"/>
              <w:jc w:val="left"/>
            </w:pPr>
            <w:r>
              <w:t xml:space="preserve">Reach or engagement as the source characterised it: High, Moderate, Low, Minimal or Unknown. Not comparable across sources. Values: High, Low, Minimal, Moderate, Unknown.</w:t>
            </w:r>
          </w:p>
        </w:tc>
      </w:tr>
    </w:tbl>
    <w:p>
      <w:pPr>
        <w:pStyle w:val="BodyText"/>
      </w:pPr>
      <w:r>
        <w:t xml:space="preserve">Time follows, with a precision variable beside each date.</w:t>
      </w:r>
    </w:p>
    <w:p>
      <w:pPr>
        <w:pStyle w:val="Caption"/>
      </w:pPr>
      <w:r>
        <w:rPr>
          <w:iCs/>
          <w:i/>
        </w:rPr>
        <w:t xml:space="preserve">Table 5: Time.</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date_start</w:t>
            </w:r>
          </w:p>
        </w:tc>
        <w:tc>
          <w:tcPr>
            <w:tcW w:w="900" w:type="dxa"/>
          </w:tcPr>
          <w:p>
            <w:pPr>
              <w:pStyle w:val="Compact"/>
              <w:spacing w:after="40" w:before="40"/>
              <w:jc w:val="left"/>
            </w:pPr>
            <w:r>
              <w:t xml:space="preserve">date</w:t>
            </w:r>
          </w:p>
        </w:tc>
        <w:tc>
          <w:tcPr>
            <w:tcW w:w="990" w:type="dxa"/>
          </w:tcPr>
          <w:p>
            <w:pPr>
              <w:pStyle w:val="Compact"/>
              <w:spacing w:after="40" w:before="40"/>
              <w:jc w:val="left"/>
            </w:pPr>
            <w:r>
              <w:t xml:space="preserve">92.6%</w:t>
            </w:r>
          </w:p>
        </w:tc>
        <w:tc>
          <w:tcPr>
            <w:tcW w:w="4680" w:type="dxa"/>
          </w:tcPr>
          <w:p>
            <w:pPr>
              <w:pStyle w:val="Compact"/>
              <w:spacing w:after="40" w:before="40"/>
              <w:jc w:val="left"/>
            </w:pPr>
            <w:r>
              <w:t xml:space="preserve">The lower bound of the interval in which the incident occurred, as a full ISO date. We impute to the floor of the interval where the source stated less than a full date.</w:t>
            </w:r>
          </w:p>
        </w:tc>
      </w:tr>
      <w:tr>
        <w:tc>
          <w:tcPr>
            <w:tcW w:w="2430" w:type="dxa"/>
          </w:tcPr>
          <w:p>
            <w:pPr>
              <w:pStyle w:val="Compact"/>
              <w:spacing w:after="40" w:before="40"/>
              <w:jc w:val="left"/>
            </w:pPr>
            <w:r>
              <w:rPr>
                <w:rStyle w:val="VerbatimChar"/>
              </w:rPr>
              <w:t xml:space="preserve">date_end</w:t>
            </w:r>
          </w:p>
        </w:tc>
        <w:tc>
          <w:tcPr>
            <w:tcW w:w="900" w:type="dxa"/>
          </w:tcPr>
          <w:p>
            <w:pPr>
              <w:pStyle w:val="Compact"/>
              <w:spacing w:after="40" w:before="40"/>
              <w:jc w:val="left"/>
            </w:pPr>
            <w:r>
              <w:t xml:space="preserve">date</w:t>
            </w:r>
          </w:p>
        </w:tc>
        <w:tc>
          <w:tcPr>
            <w:tcW w:w="990" w:type="dxa"/>
          </w:tcPr>
          <w:p>
            <w:pPr>
              <w:pStyle w:val="Compact"/>
              <w:spacing w:after="40" w:before="40"/>
              <w:jc w:val="left"/>
            </w:pPr>
            <w:r>
              <w:t xml:space="preserve">93.0%</w:t>
            </w:r>
          </w:p>
        </w:tc>
        <w:tc>
          <w:tcPr>
            <w:tcW w:w="4680" w:type="dxa"/>
          </w:tcPr>
          <w:p>
            <w:pPr>
              <w:pStyle w:val="Compact"/>
              <w:spacing w:after="40" w:before="40"/>
              <w:jc w:val="left"/>
            </w:pPr>
            <w:r>
              <w:t xml:space="preserve">The upper bound of the interval, imputed to the ceiling where the source stated less than a full date.</w:t>
            </w:r>
          </w:p>
        </w:tc>
      </w:tr>
      <w:tr>
        <w:tc>
          <w:tcPr>
            <w:tcW w:w="2430" w:type="dxa"/>
          </w:tcPr>
          <w:p>
            <w:pPr>
              <w:pStyle w:val="Compact"/>
              <w:spacing w:after="40" w:before="40"/>
              <w:jc w:val="left"/>
            </w:pPr>
            <w:r>
              <w:rPr>
                <w:rStyle w:val="VerbatimChar"/>
              </w:rPr>
              <w:t xml:space="preserve">date_prec</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precision the source actually supported: 1 for a day, 3 for a month, 5 for a year, and -99 where no date is available. Always read date_start and date_end together with this variable.</w:t>
            </w:r>
          </w:p>
        </w:tc>
      </w:tr>
      <w:tr>
        <w:tc>
          <w:tcPr>
            <w:tcW w:w="2430" w:type="dxa"/>
          </w:tcPr>
          <w:p>
            <w:pPr>
              <w:pStyle w:val="Compact"/>
              <w:spacing w:after="40" w:before="40"/>
              <w:jc w:val="left"/>
            </w:pPr>
            <w:r>
              <w:rPr>
                <w:rStyle w:val="VerbatimChar"/>
              </w:rPr>
              <w:t xml:space="preserve">date_derived</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we imputed an interval bound that the source did not state.</w:t>
            </w:r>
          </w:p>
        </w:tc>
      </w:tr>
      <w:tr>
        <w:tc>
          <w:tcPr>
            <w:tcW w:w="2430" w:type="dxa"/>
          </w:tcPr>
          <w:p>
            <w:pPr>
              <w:pStyle w:val="Compact"/>
              <w:spacing w:after="40" w:before="40"/>
              <w:jc w:val="left"/>
            </w:pPr>
            <w:r>
              <w:rPr>
                <w:rStyle w:val="VerbatimChar"/>
              </w:rPr>
              <w:t xml:space="preserve">date_start_raw</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92.6%</w:t>
            </w:r>
          </w:p>
        </w:tc>
        <w:tc>
          <w:tcPr>
            <w:tcW w:w="4680" w:type="dxa"/>
          </w:tcPr>
          <w:p>
            <w:pPr>
              <w:pStyle w:val="Compact"/>
              <w:spacing w:after="40" w:before="40"/>
              <w:jc w:val="left"/>
            </w:pPr>
            <w:r>
              <w:t xml:space="preserve">The original start-date string from the source document, retained for audit.</w:t>
            </w:r>
          </w:p>
        </w:tc>
      </w:tr>
      <w:tr>
        <w:tc>
          <w:tcPr>
            <w:tcW w:w="2430" w:type="dxa"/>
          </w:tcPr>
          <w:p>
            <w:pPr>
              <w:pStyle w:val="Compact"/>
              <w:spacing w:after="40" w:before="40"/>
              <w:jc w:val="left"/>
            </w:pPr>
            <w:r>
              <w:rPr>
                <w:rStyle w:val="VerbatimChar"/>
              </w:rPr>
              <w:t xml:space="preserve">date_end_raw</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18.8%</w:t>
            </w:r>
          </w:p>
        </w:tc>
        <w:tc>
          <w:tcPr>
            <w:tcW w:w="4680" w:type="dxa"/>
          </w:tcPr>
          <w:p>
            <w:pPr>
              <w:pStyle w:val="Compact"/>
              <w:spacing w:after="40" w:before="40"/>
              <w:jc w:val="left"/>
            </w:pPr>
            <w:r>
              <w:t xml:space="preserve">The original end-date string from the source document, retained for audit.</w:t>
            </w:r>
          </w:p>
        </w:tc>
      </w:tr>
      <w:tr>
        <w:tc>
          <w:tcPr>
            <w:tcW w:w="2430" w:type="dxa"/>
          </w:tcPr>
          <w:p>
            <w:pPr>
              <w:pStyle w:val="Compact"/>
              <w:spacing w:after="40" w:before="40"/>
              <w:jc w:val="left"/>
            </w:pPr>
            <w:r>
              <w:rPr>
                <w:rStyle w:val="VerbatimChar"/>
              </w:rPr>
              <w:t xml:space="preserve">event_year</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92.6%</w:t>
            </w:r>
          </w:p>
        </w:tc>
        <w:tc>
          <w:tcPr>
            <w:tcW w:w="4680" w:type="dxa"/>
          </w:tcPr>
          <w:p>
            <w:pPr>
              <w:pStyle w:val="Compact"/>
              <w:spacing w:after="40" w:before="40"/>
              <w:jc w:val="left"/>
            </w:pPr>
            <w:r>
              <w:t xml:space="preserve">The year in which the incident occurred, derived from date_start.</w:t>
            </w:r>
          </w:p>
        </w:tc>
      </w:tr>
      <w:tr>
        <w:tc>
          <w:tcPr>
            <w:tcW w:w="2430" w:type="dxa"/>
          </w:tcPr>
          <w:p>
            <w:pPr>
              <w:pStyle w:val="Compact"/>
              <w:spacing w:after="40" w:before="40"/>
              <w:jc w:val="left"/>
            </w:pPr>
            <w:r>
              <w:rPr>
                <w:rStyle w:val="VerbatimChar"/>
              </w:rPr>
              <w:t xml:space="preserve">attribution_year</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99.9%</w:t>
            </w:r>
          </w:p>
        </w:tc>
        <w:tc>
          <w:tcPr>
            <w:tcW w:w="4680" w:type="dxa"/>
          </w:tcPr>
          <w:p>
            <w:pPr>
              <w:pStyle w:val="Compact"/>
              <w:spacing w:after="40" w:before="40"/>
              <w:jc w:val="left"/>
            </w:pPr>
            <w:r>
              <w:t xml:space="preserve">The publication year of the source document for this row.</w:t>
            </w:r>
          </w:p>
        </w:tc>
      </w:tr>
      <w:tr>
        <w:tc>
          <w:tcPr>
            <w:tcW w:w="2430" w:type="dxa"/>
          </w:tcPr>
          <w:p>
            <w:pPr>
              <w:pStyle w:val="Compact"/>
              <w:spacing w:after="40" w:before="40"/>
              <w:jc w:val="left"/>
            </w:pPr>
            <w:r>
              <w:rPr>
                <w:rStyle w:val="VerbatimChar"/>
              </w:rPr>
              <w:t xml:space="preserve">attribution_year_basis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How we determined attribution_year. Every row currently reads parsed_from_document_identifier or unavailable; replacement by verified document metadata is outstanding, and correction register item B-02 tracks it. Values: parsed_from_document_identifier, unavailable.</w:t>
            </w:r>
          </w:p>
        </w:tc>
      </w:tr>
      <w:tr>
        <w:tc>
          <w:tcPr>
            <w:tcW w:w="2430" w:type="dxa"/>
          </w:tcPr>
          <w:p>
            <w:pPr>
              <w:pStyle w:val="Compact"/>
              <w:spacing w:after="40" w:before="40"/>
              <w:jc w:val="left"/>
            </w:pPr>
            <w:r>
              <w:rPr>
                <w:rStyle w:val="VerbatimChar"/>
              </w:rPr>
              <w:t xml:space="preserve">first_publication_year</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99.9%</w:t>
            </w:r>
          </w:p>
        </w:tc>
        <w:tc>
          <w:tcPr>
            <w:tcW w:w="4680" w:type="dxa"/>
          </w:tcPr>
          <w:p>
            <w:pPr>
              <w:pStyle w:val="Compact"/>
              <w:spacing w:after="40" w:before="40"/>
              <w:jc w:val="left"/>
            </w:pPr>
            <w:r>
              <w:t xml:space="preserve">The earliest publication year across all documents describing the incident. This is the basis we use for measuring latency.</w:t>
            </w:r>
          </w:p>
        </w:tc>
      </w:tr>
      <w:tr>
        <w:tc>
          <w:tcPr>
            <w:tcW w:w="2430" w:type="dxa"/>
          </w:tcPr>
          <w:p>
            <w:pPr>
              <w:pStyle w:val="Compact"/>
              <w:spacing w:after="40" w:before="40"/>
              <w:jc w:val="left"/>
            </w:pPr>
            <w:r>
              <w:rPr>
                <w:rStyle w:val="VerbatimChar"/>
              </w:rPr>
              <w:t xml:space="preserve">entry_lag_years</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92.2%</w:t>
            </w:r>
          </w:p>
        </w:tc>
        <w:tc>
          <w:tcPr>
            <w:tcW w:w="4680" w:type="dxa"/>
          </w:tcPr>
          <w:p>
            <w:pPr>
              <w:pStyle w:val="Compact"/>
              <w:spacing w:after="40" w:before="40"/>
              <w:jc w:val="left"/>
            </w:pPr>
            <w:r>
              <w:t xml:space="preserve">The years between the incident occurring and its earliest known appearance in an institutional document. It records when the incident entered the public record; the date on which an institution formed its judgement is not recoverable.</w:t>
            </w:r>
          </w:p>
        </w:tc>
      </w:tr>
      <w:tr>
        <w:tc>
          <w:tcPr>
            <w:tcW w:w="2430" w:type="dxa"/>
          </w:tcPr>
          <w:p>
            <w:pPr>
              <w:pStyle w:val="Compact"/>
              <w:spacing w:after="40" w:before="40"/>
              <w:jc w:val="left"/>
            </w:pPr>
            <w:r>
              <w:rPr>
                <w:rStyle w:val="VerbatimChar"/>
              </w:rPr>
              <w:t xml:space="preserve">latency_status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Whether we computed the interval, could not compute it, or excluded it because the document metadata produced an impossible negative interval. The 5 rows reading excluded_negative_lag are the quarantined anomalies. Values: computed, excluded_negative_lag, not_computable.</w:t>
            </w:r>
          </w:p>
        </w:tc>
      </w:tr>
    </w:tbl>
    <w:p>
      <w:pPr>
        <w:pStyle w:val="BodyText"/>
      </w:pPr>
      <w:r>
        <w:t xml:space="preserve">The actor block records who the source held responsible.</w:t>
      </w:r>
    </w:p>
    <w:p>
      <w:pPr>
        <w:pStyle w:val="Caption"/>
      </w:pPr>
      <w:r>
        <w:rPr>
          <w:iCs/>
          <w:i/>
        </w:rPr>
        <w:t xml:space="preserve">Table 6: The attributed actor.</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actor_named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category of actor to which the source attributed the incident. We code the category, because event data needs the split between state and non-state actors and the type of non-state actor, and because coding by category leaves no personal name in a structured field. Section 6 gives the rule that assigns each value. Values: state_actor, state_linked_proxy, hacker_collective, commercial_firm, media_outlet, political_movement, civil_society_organisation, non_state_other, unspecified.</w:t>
            </w:r>
          </w:p>
        </w:tc>
      </w:tr>
      <w:tr>
        <w:tc>
          <w:tcPr>
            <w:tcW w:w="2430" w:type="dxa"/>
          </w:tcPr>
          <w:p>
            <w:pPr>
              <w:pStyle w:val="Compact"/>
              <w:spacing w:after="40" w:before="40"/>
              <w:jc w:val="left"/>
            </w:pPr>
            <w:r>
              <w:rPr>
                <w:rStyle w:val="VerbatimChar"/>
              </w:rPr>
              <w:t xml:space="preserve">actor_state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60.8%</w:t>
            </w:r>
          </w:p>
        </w:tc>
        <w:tc>
          <w:tcPr>
            <w:tcW w:w="4680" w:type="dxa"/>
          </w:tcPr>
          <w:p>
            <w:pPr>
              <w:pStyle w:val="Compact"/>
              <w:spacing w:after="40" w:before="40"/>
              <w:jc w:val="left"/>
            </w:pPr>
            <w:r>
              <w:t xml:space="preserve">The state to which the source attributes the actor, where the source identifies one.</w:t>
            </w:r>
          </w:p>
        </w:tc>
      </w:tr>
      <w:tr>
        <w:tc>
          <w:tcPr>
            <w:tcW w:w="2430" w:type="dxa"/>
          </w:tcPr>
          <w:p>
            <w:pPr>
              <w:pStyle w:val="Compact"/>
              <w:spacing w:after="40" w:before="40"/>
              <w:jc w:val="left"/>
            </w:pPr>
            <w:r>
              <w:rPr>
                <w:rStyle w:val="VerbatimChar"/>
              </w:rPr>
              <w:t xml:space="preserve">actor_type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85.8%</w:t>
            </w:r>
          </w:p>
        </w:tc>
        <w:tc>
          <w:tcPr>
            <w:tcW w:w="4680" w:type="dxa"/>
          </w:tcPr>
          <w:p>
            <w:pPr>
              <w:pStyle w:val="Compact"/>
              <w:spacing w:after="40" w:before="40"/>
              <w:jc w:val="left"/>
            </w:pPr>
            <w:r>
              <w:t xml:space="preserve">The kind of actor the source described. An official speaking in office is recorded as State, so this field holds no Individual value. Values: Diplomatic mission, Intelligence service, Named operation, Other, Proxy network, State, State media.</w:t>
            </w:r>
          </w:p>
        </w:tc>
      </w:tr>
      <w:tr>
        <w:tc>
          <w:tcPr>
            <w:tcW w:w="2430" w:type="dxa"/>
          </w:tcPr>
          <w:p>
            <w:pPr>
              <w:pStyle w:val="Compact"/>
              <w:spacing w:after="40" w:before="40"/>
              <w:jc w:val="left"/>
            </w:pPr>
            <w:r>
              <w:rPr>
                <w:rStyle w:val="VerbatimChar"/>
              </w:rPr>
              <w:t xml:space="preserve">observed_actors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93.1%</w:t>
            </w:r>
          </w:p>
        </w:tc>
        <w:tc>
          <w:tcPr>
            <w:tcW w:w="4680" w:type="dxa"/>
          </w:tcPr>
          <w:p>
            <w:pPr>
              <w:pStyle w:val="Compact"/>
              <w:spacing w:after="40" w:before="40"/>
              <w:jc w:val="left"/>
            </w:pPr>
            <w:r>
              <w:t xml:space="preserve">Actors the source reported as directly observed. Semicolon-delimited.</w:t>
            </w:r>
          </w:p>
        </w:tc>
      </w:tr>
      <w:tr>
        <w:tc>
          <w:tcPr>
            <w:tcW w:w="2430" w:type="dxa"/>
          </w:tcPr>
          <w:p>
            <w:pPr>
              <w:pStyle w:val="Compact"/>
              <w:spacing w:after="40" w:before="40"/>
              <w:jc w:val="left"/>
            </w:pPr>
            <w:r>
              <w:rPr>
                <w:rStyle w:val="VerbatimChar"/>
              </w:rPr>
              <w:t xml:space="preserve">suspected_actors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91.5%</w:t>
            </w:r>
          </w:p>
        </w:tc>
        <w:tc>
          <w:tcPr>
            <w:tcW w:w="4680" w:type="dxa"/>
          </w:tcPr>
          <w:p>
            <w:pPr>
              <w:pStyle w:val="Compact"/>
              <w:spacing w:after="40" w:before="40"/>
              <w:jc w:val="left"/>
            </w:pPr>
            <w:r>
              <w:t xml:space="preserve">Actors the source named as suspected but not established. Semicolon-delimited.</w:t>
            </w:r>
          </w:p>
        </w:tc>
      </w:tr>
      <w:tr>
        <w:tc>
          <w:tcPr>
            <w:tcW w:w="2430" w:type="dxa"/>
          </w:tcPr>
          <w:p>
            <w:pPr>
              <w:pStyle w:val="Compact"/>
              <w:spacing w:after="40" w:before="40"/>
              <w:jc w:val="left"/>
            </w:pPr>
            <w:r>
              <w:rPr>
                <w:rStyle w:val="VerbatimChar"/>
              </w:rPr>
              <w:t xml:space="preserve">source_confidence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confidence the source institution expressed in its own attribution: High, Medium, Low or Unknown. The institution expressed this confidence and we express none of our own, and Section 7 of D4.2 shows that it does not track the evidence the same document discloses. Values: High, Low, Medium, Unknown.</w:t>
            </w:r>
          </w:p>
        </w:tc>
      </w:tr>
      <w:tr>
        <w:tc>
          <w:tcPr>
            <w:tcW w:w="2430" w:type="dxa"/>
          </w:tcPr>
          <w:p>
            <w:pPr>
              <w:pStyle w:val="Compact"/>
              <w:spacing w:after="40" w:before="40"/>
              <w:jc w:val="left"/>
            </w:pPr>
            <w:r>
              <w:rPr>
                <w:rStyle w:val="VerbatimChar"/>
              </w:rPr>
              <w:t xml:space="preserve">evidence_of_coordination</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99.0%</w:t>
            </w:r>
          </w:p>
        </w:tc>
        <w:tc>
          <w:tcPr>
            <w:tcW w:w="4680" w:type="dxa"/>
          </w:tcPr>
          <w:p>
            <w:pPr>
              <w:pStyle w:val="Compact"/>
              <w:spacing w:after="40" w:before="40"/>
              <w:jc w:val="left"/>
            </w:pPr>
            <w:r>
              <w:t xml:space="preserve">The strength of coordination evidence the source disclosed: Strong, Moderate, Weak or Unknown, or</w:t>
            </w:r>
            <w:r>
              <w:t xml:space="preserve"> </w:t>
            </w:r>
            <w:r>
              <w:rPr>
                <w:rStyle w:val="VerbatimChar"/>
              </w:rPr>
              <w:t xml:space="preserve">None recorded</w:t>
            </w:r>
            <w:r>
              <w:t xml:space="preserve"> </w:t>
            </w:r>
            <w:r>
              <w:t xml:space="preserve">where the passage was read and discloses none. We derived this field during extraction and have not yet verified it against source text, so we ask that it not be used as the sole basis for a conceptual conclusion. Values: Moderate, Strong, Unknown, Weak, None recorded.</w:t>
            </w:r>
          </w:p>
        </w:tc>
      </w:tr>
    </w:tbl>
    <w:p>
      <w:pPr>
        <w:pStyle w:val="BodyText"/>
      </w:pPr>
      <w:r>
        <w:t xml:space="preserve">The target block records where the incident was aimed.</w:t>
      </w:r>
    </w:p>
    <w:p>
      <w:pPr>
        <w:pStyle w:val="Caption"/>
      </w:pPr>
      <w:r>
        <w:rPr>
          <w:iCs/>
          <w:i/>
        </w:rPr>
        <w:t xml:space="preserve">Table 7: Target.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target_information_space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92.6%</w:t>
            </w:r>
          </w:p>
        </w:tc>
        <w:tc>
          <w:tcPr>
            <w:tcW w:w="4680" w:type="dxa"/>
          </w:tcPr>
          <w:p>
            <w:pPr>
              <w:pStyle w:val="Compact"/>
              <w:spacing w:after="40" w:before="40"/>
              <w:jc w:val="left"/>
            </w:pPr>
            <w:r>
              <w:t xml:space="preserve">The information space the incident targeted. Use it together with analysis_include_target.</w:t>
            </w:r>
          </w:p>
        </w:tc>
      </w:tr>
      <w:tr>
        <w:tc>
          <w:tcPr>
            <w:tcW w:w="2430" w:type="dxa"/>
          </w:tcPr>
          <w:p>
            <w:pPr>
              <w:pStyle w:val="Compact"/>
              <w:spacing w:after="40" w:before="40"/>
              <w:jc w:val="left"/>
            </w:pPr>
            <w:r>
              <w:rPr>
                <w:rStyle w:val="VerbatimChar"/>
              </w:rPr>
              <w:t xml:space="preserve">subject_country</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3.7%</w:t>
            </w:r>
          </w:p>
        </w:tc>
        <w:tc>
          <w:tcPr>
            <w:tcW w:w="4680" w:type="dxa"/>
          </w:tcPr>
          <w:p>
            <w:pPr>
              <w:pStyle w:val="Compact"/>
              <w:spacing w:after="40" w:before="40"/>
              <w:jc w:val="left"/>
            </w:pPr>
            <w:r>
              <w:t xml:space="preserve">The country the manipulated content concerned, where this differs from the information space that was targeted. We separated the two in v2.0 because projects conflate them field-wide.</w:t>
            </w:r>
          </w:p>
        </w:tc>
      </w:tr>
      <w:tr>
        <w:tc>
          <w:tcPr>
            <w:tcW w:w="2430" w:type="dxa"/>
          </w:tcPr>
          <w:p>
            <w:pPr>
              <w:pStyle w:val="Compact"/>
              <w:spacing w:after="40" w:before="40"/>
              <w:jc w:val="left"/>
            </w:pPr>
            <w:r>
              <w:rPr>
                <w:rStyle w:val="VerbatimChar"/>
              </w:rPr>
              <w:t xml:space="preserve">affected_countries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37.6%</w:t>
            </w:r>
          </w:p>
        </w:tc>
        <w:tc>
          <w:tcPr>
            <w:tcW w:w="4680" w:type="dxa"/>
          </w:tcPr>
          <w:p>
            <w:pPr>
              <w:pStyle w:val="Compact"/>
              <w:spacing w:after="40" w:before="40"/>
              <w:jc w:val="left"/>
            </w:pPr>
            <w:r>
              <w:t xml:space="preserve">Further countries the source named as affected. Semicolon-delimited and sparsely populated.</w:t>
            </w:r>
          </w:p>
        </w:tc>
      </w:tr>
      <w:tr>
        <w:tc>
          <w:tcPr>
            <w:tcW w:w="2430" w:type="dxa"/>
          </w:tcPr>
          <w:p>
            <w:pPr>
              <w:pStyle w:val="Compact"/>
              <w:spacing w:after="40" w:before="40"/>
              <w:jc w:val="left"/>
            </w:pPr>
            <w:r>
              <w:rPr>
                <w:rStyle w:val="VerbatimChar"/>
              </w:rPr>
              <w:t xml:space="preserve">geographic_scope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scope the source ascribed: Local, National, Regional, EU-wide, Transnational or International. Values: EU-wide, International, Local, National, Regional, Transnational.</w:t>
            </w:r>
          </w:p>
        </w:tc>
      </w:tr>
      <w:tr>
        <w:tc>
          <w:tcPr>
            <w:tcW w:w="2430" w:type="dxa"/>
          </w:tcPr>
          <w:p>
            <w:pPr>
              <w:pStyle w:val="Compact"/>
              <w:spacing w:after="40" w:before="40"/>
              <w:jc w:val="left"/>
            </w:pPr>
            <w:r>
              <w:rPr>
                <w:rStyle w:val="VerbatimChar"/>
              </w:rPr>
              <w:t xml:space="preserve">target_field_status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assigned_default where the target is settled, and review_required where the target coincides with the attributed actor’s own state and we have not yet adjudicated the case against the source. The 117 rows reading review_required are the target review queue. Values: assigned_default, review_required.</w:t>
            </w:r>
          </w:p>
        </w:tc>
      </w:tr>
    </w:tbl>
    <w:p>
      <w:pPr>
        <w:pStyle w:val="BodyText"/>
      </w:pPr>
      <w:r>
        <w:t xml:space="preserve">The institution block records who published the attribution.</w:t>
      </w:r>
    </w:p>
    <w:p>
      <w:pPr>
        <w:pStyle w:val="Caption"/>
      </w:pPr>
      <w:r>
        <w:rPr>
          <w:iCs/>
          <w:i/>
        </w:rPr>
        <w:t xml:space="preserve">Table 8: The attributing institution.</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source_identity_id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registry identifier of the published source, in the form SRC-nnn. A jointly published report has one source identity and several parent institutions. The source_identities sheet of the registries workbook lists all 108 (Appendix B).</w:t>
            </w:r>
          </w:p>
        </w:tc>
      </w:tr>
      <w:tr>
        <w:tc>
          <w:tcPr>
            <w:tcW w:w="2430" w:type="dxa"/>
          </w:tcPr>
          <w:p>
            <w:pPr>
              <w:pStyle w:val="Compact"/>
              <w:spacing w:after="40" w:before="40"/>
              <w:jc w:val="left"/>
            </w:pPr>
            <w:r>
              <w:rPr>
                <w:rStyle w:val="VerbatimChar"/>
              </w:rPr>
              <w:t xml:space="preserve">source_identity</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publishing source exactly as we have canonicalised it, retaining joint publishing identities such as a report issued jointly by two agencies, so that provenance is preserved.</w:t>
            </w:r>
          </w:p>
        </w:tc>
      </w:tr>
      <w:tr>
        <w:tc>
          <w:tcPr>
            <w:tcW w:w="2430" w:type="dxa"/>
          </w:tcPr>
          <w:p>
            <w:pPr>
              <w:pStyle w:val="Compact"/>
              <w:spacing w:after="40" w:before="40"/>
              <w:jc w:val="left"/>
            </w:pPr>
            <w:r>
              <w:rPr>
                <w:rStyle w:val="VerbatimChar"/>
              </w:rPr>
              <w:t xml:space="preserve">is_joint_source</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the source label resolves to more than one institution.</w:t>
            </w:r>
          </w:p>
        </w:tc>
      </w:tr>
      <w:tr>
        <w:tc>
          <w:tcPr>
            <w:tcW w:w="2430" w:type="dxa"/>
          </w:tcPr>
          <w:p>
            <w:pPr>
              <w:pStyle w:val="Compact"/>
              <w:spacing w:after="40" w:before="40"/>
              <w:jc w:val="left"/>
            </w:pPr>
            <w:r>
              <w:rPr>
                <w:rStyle w:val="VerbatimChar"/>
              </w:rPr>
              <w:t xml:space="preserve">parent_institution_ids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registry identifiers of the parent institutions, in the form INST-nnn, semicolon-delimited and running parallel to parent_institutions. Use these, and not the source identity, for any analysis at the level of institutions. The institutions sheet of the registries workbook lists all 97 (Appendix A).</w:t>
            </w:r>
          </w:p>
        </w:tc>
      </w:tr>
      <w:tr>
        <w:tc>
          <w:tcPr>
            <w:tcW w:w="2430" w:type="dxa"/>
          </w:tcPr>
          <w:p>
            <w:pPr>
              <w:pStyle w:val="Compact"/>
              <w:spacing w:after="40" w:before="40"/>
              <w:jc w:val="left"/>
            </w:pPr>
            <w:r>
              <w:rPr>
                <w:rStyle w:val="VerbatimChar"/>
              </w:rPr>
              <w:t xml:space="preserve">parent_institutions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canonical institutions the source represents, semicolon-delimited. We split a label only where every part resolves to an institution we already know.</w:t>
            </w:r>
          </w:p>
        </w:tc>
      </w:tr>
      <w:tr>
        <w:tc>
          <w:tcPr>
            <w:tcW w:w="2430" w:type="dxa"/>
          </w:tcPr>
          <w:p>
            <w:pPr>
              <w:pStyle w:val="Compact"/>
              <w:spacing w:after="40" w:before="40"/>
              <w:jc w:val="left"/>
            </w:pPr>
            <w:r>
              <w:rPr>
                <w:rStyle w:val="VerbatimChar"/>
              </w:rPr>
              <w:t xml:space="preserve">institution_country</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89.5%</w:t>
            </w:r>
          </w:p>
        </w:tc>
        <w:tc>
          <w:tcPr>
            <w:tcW w:w="4680" w:type="dxa"/>
          </w:tcPr>
          <w:p>
            <w:pPr>
              <w:pStyle w:val="Compact"/>
              <w:spacing w:after="40" w:before="40"/>
              <w:jc w:val="left"/>
            </w:pPr>
            <w:r>
              <w:t xml:space="preserve">The jurisdiction of the parent institution, assigned once in the registry and propagated. Because this field holds a single value, explode parent_institution_ids and join to Appendix A when working with joint sources.</w:t>
            </w:r>
          </w:p>
        </w:tc>
      </w:tr>
      <w:tr>
        <w:tc>
          <w:tcPr>
            <w:tcW w:w="2430" w:type="dxa"/>
          </w:tcPr>
          <w:p>
            <w:pPr>
              <w:pStyle w:val="Compact"/>
              <w:spacing w:after="40" w:before="40"/>
              <w:jc w:val="left"/>
            </w:pPr>
            <w:r>
              <w:rPr>
                <w:rStyle w:val="VerbatimChar"/>
              </w:rPr>
              <w:t xml:space="preserve">institution_type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type of the parent institution, from the registry. Unmapped marks an institution we have not yet classified.</w:t>
            </w:r>
          </w:p>
        </w:tc>
      </w:tr>
      <w:tr>
        <w:tc>
          <w:tcPr>
            <w:tcW w:w="2430" w:type="dxa"/>
          </w:tcPr>
          <w:p>
            <w:pPr>
              <w:pStyle w:val="Compact"/>
              <w:spacing w:after="40" w:before="40"/>
              <w:jc w:val="left"/>
            </w:pPr>
            <w:r>
              <w:rPr>
                <w:rStyle w:val="VerbatimChar"/>
              </w:rPr>
              <w:t xml:space="preserve">institution_named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92.1%</w:t>
            </w:r>
          </w:p>
        </w:tc>
        <w:tc>
          <w:tcPr>
            <w:tcW w:w="4680" w:type="dxa"/>
          </w:tcPr>
          <w:p>
            <w:pPr>
              <w:pStyle w:val="Compact"/>
              <w:spacing w:after="40" w:before="40"/>
              <w:jc w:val="left"/>
            </w:pPr>
            <w:r>
              <w:t xml:space="preserve">The institution name exactly as extracted, before alias resolution, retained for audit.</w:t>
            </w:r>
          </w:p>
        </w:tc>
      </w:tr>
      <w:tr>
        <w:tc>
          <w:tcPr>
            <w:tcW w:w="2430" w:type="dxa"/>
          </w:tcPr>
          <w:p>
            <w:pPr>
              <w:pStyle w:val="Compact"/>
              <w:spacing w:after="40" w:before="40"/>
              <w:jc w:val="left"/>
            </w:pPr>
            <w:r>
              <w:rPr>
                <w:rStyle w:val="VerbatimChar"/>
              </w:rPr>
              <w:t xml:space="preserve">institution_coauthors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17 of 3,131 (less than 1%)</w:t>
            </w:r>
          </w:p>
        </w:tc>
        <w:tc>
          <w:tcPr>
            <w:tcW w:w="4680" w:type="dxa"/>
          </w:tcPr>
          <w:p>
            <w:pPr>
              <w:pStyle w:val="Compact"/>
              <w:spacing w:after="40" w:before="40"/>
              <w:jc w:val="left"/>
            </w:pPr>
            <w:r>
              <w:t xml:space="preserve">Co-publishing institutions where the document was jointly authored. Semicolon-delimited; values themselves may contain commas. Values: Cybersecurity and Infrastructure Security Agency, Federal Bureau of Investigation, Foreign, Commonwealth and Development Office; EEAS, Myth Detector, Second Investigation Department under the Ministry of National Defence.</w:t>
            </w:r>
          </w:p>
        </w:tc>
      </w:tr>
      <w:tr>
        <w:tc>
          <w:tcPr>
            <w:tcW w:w="2430" w:type="dxa"/>
          </w:tcPr>
          <w:p>
            <w:pPr>
              <w:pStyle w:val="Compact"/>
              <w:spacing w:after="40" w:before="40"/>
              <w:jc w:val="left"/>
            </w:pPr>
            <w:r>
              <w:rPr>
                <w:rStyle w:val="VerbatimChar"/>
              </w:rPr>
              <w:t xml:space="preserve">attributing_entity</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97.3%</w:t>
            </w:r>
          </w:p>
        </w:tc>
        <w:tc>
          <w:tcPr>
            <w:tcW w:w="4680" w:type="dxa"/>
          </w:tcPr>
          <w:p>
            <w:pPr>
              <w:pStyle w:val="Compact"/>
              <w:spacing w:after="40" w:before="40"/>
              <w:jc w:val="left"/>
            </w:pPr>
            <w:r>
              <w:t xml:space="preserve">The entity the document credits with the attribution, where that entity differs from the publisher.</w:t>
            </w:r>
          </w:p>
        </w:tc>
      </w:tr>
      <w:tr>
        <w:tc>
          <w:tcPr>
            <w:tcW w:w="2430" w:type="dxa"/>
          </w:tcPr>
          <w:p>
            <w:pPr>
              <w:pStyle w:val="Compact"/>
              <w:spacing w:after="40" w:before="40"/>
              <w:jc w:val="left"/>
            </w:pPr>
            <w:r>
              <w:rPr>
                <w:rStyle w:val="VerbatimChar"/>
              </w:rPr>
              <w:t xml:space="preserve">attributing_entity_canonical</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97.3%</w:t>
            </w:r>
          </w:p>
        </w:tc>
        <w:tc>
          <w:tcPr>
            <w:tcW w:w="4680" w:type="dxa"/>
          </w:tcPr>
          <w:p>
            <w:pPr>
              <w:pStyle w:val="Compact"/>
              <w:spacing w:after="40" w:before="40"/>
              <w:jc w:val="left"/>
            </w:pPr>
            <w:r>
              <w:t xml:space="preserve">The normalised form of attributing_entity.</w:t>
            </w:r>
          </w:p>
        </w:tc>
      </w:tr>
      <w:tr>
        <w:tc>
          <w:tcPr>
            <w:tcW w:w="2430" w:type="dxa"/>
          </w:tcPr>
          <w:p>
            <w:pPr>
              <w:pStyle w:val="Compact"/>
              <w:spacing w:after="40" w:before="40"/>
              <w:jc w:val="left"/>
            </w:pPr>
            <w:r>
              <w:rPr>
                <w:rStyle w:val="VerbatimChar"/>
              </w:rPr>
              <w:t xml:space="preserve">all_institutions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92.7%</w:t>
            </w:r>
          </w:p>
        </w:tc>
        <w:tc>
          <w:tcPr>
            <w:tcW w:w="4680" w:type="dxa"/>
          </w:tcPr>
          <w:p>
            <w:pPr>
              <w:pStyle w:val="Compact"/>
              <w:spacing w:after="40" w:before="40"/>
              <w:jc w:val="left"/>
            </w:pPr>
            <w:r>
              <w:t xml:space="preserve">Every canonical institution describing this incident across all documents, semicolon-delimited. Empty where we identify no institution.</w:t>
            </w:r>
          </w:p>
        </w:tc>
      </w:tr>
      <w:tr>
        <w:tc>
          <w:tcPr>
            <w:tcW w:w="2430" w:type="dxa"/>
          </w:tcPr>
          <w:p>
            <w:pPr>
              <w:pStyle w:val="Compact"/>
              <w:spacing w:after="40" w:before="40"/>
              <w:jc w:val="left"/>
            </w:pPr>
            <w:r>
              <w:rPr>
                <w:rStyle w:val="VerbatimChar"/>
              </w:rPr>
              <w:t xml:space="preserve">institution_resolution</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246 of 3,131 (7.9%)</w:t>
            </w:r>
          </w:p>
        </w:tc>
        <w:tc>
          <w:tcPr>
            <w:tcW w:w="4680" w:type="dxa"/>
          </w:tcPr>
          <w:p>
            <w:pPr>
              <w:pStyle w:val="Compact"/>
              <w:spacing w:after="40" w:before="40"/>
              <w:jc w:val="left"/>
            </w:pPr>
            <w:r>
              <w:t xml:space="preserve">Added at v2.4.2 and populated only on the 246 rows that carry a source document but no identified institution.</w:t>
            </w:r>
            <w:r>
              <w:t xml:space="preserve"> </w:t>
            </w:r>
            <w:r>
              <w:rPr>
                <w:rStyle w:val="VerbatimChar"/>
              </w:rPr>
              <w:t xml:space="preserve">resolvable_same_document</w:t>
            </w:r>
            <w:r>
              <w:t xml:space="preserve"> </w:t>
            </w:r>
            <w:r>
              <w:t xml:space="preserve">(162 rows): another row of the same source document names exactly one institution, so the institution can be filled in from the document, which this release does not do: the institution fields are row-level coded observations, and we do not impute them from other rows of the same document. The concentration figures follow from that rule.</w:t>
            </w:r>
            <w:r>
              <w:t xml:space="preserve"> </w:t>
            </w:r>
            <w:r>
              <w:rPr>
                <w:rStyle w:val="VerbatimChar"/>
              </w:rPr>
              <w:t xml:space="preserve">unresolved_multiple_institutions</w:t>
            </w:r>
            <w:r>
              <w:t xml:space="preserve"> </w:t>
            </w:r>
            <w:r>
              <w:t xml:space="preserve">(73 rows): other rows of the same document name more than one institution.</w:t>
            </w:r>
            <w:r>
              <w:t xml:space="preserve"> </w:t>
            </w:r>
            <w:r>
              <w:rPr>
                <w:rStyle w:val="VerbatimChar"/>
              </w:rPr>
              <w:t xml:space="preserve">unresolved_no_other_row</w:t>
            </w:r>
            <w:r>
              <w:t xml:space="preserve"> </w:t>
            </w:r>
            <w:r>
              <w:t xml:space="preserve">(11 rows): no other row of the document names an institution. Empty on every row that carries an institution.</w:t>
            </w:r>
          </w:p>
        </w:tc>
      </w:tr>
    </w:tbl>
    <w:p>
      <w:pPr>
        <w:pStyle w:val="BodyText"/>
      </w:pPr>
      <w:r>
        <w:t xml:space="preserve">The document block ties each row to its source.</w:t>
      </w:r>
    </w:p>
    <w:p>
      <w:pPr>
        <w:pStyle w:val="Caption"/>
      </w:pPr>
      <w:r>
        <w:rPr>
          <w:iCs/>
          <w:i/>
        </w:rPr>
        <w:t xml:space="preserve">Table 9: The source document.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source_doc_id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identifier of the source document, in the form INSTITUTION_YEAR_ShortTitle_Type. The documents sheet of the registries workbook lists all 534 (Appendix C).</w:t>
            </w:r>
          </w:p>
        </w:tc>
      </w:tr>
      <w:tr>
        <w:tc>
          <w:tcPr>
            <w:tcW w:w="2430" w:type="dxa"/>
          </w:tcPr>
          <w:p>
            <w:pPr>
              <w:pStyle w:val="Compact"/>
              <w:spacing w:after="40" w:before="40"/>
              <w:jc w:val="left"/>
            </w:pPr>
            <w:r>
              <w:rPr>
                <w:rStyle w:val="VerbatimChar"/>
              </w:rPr>
              <w:t xml:space="preserve">document_type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kind of document: Report, Brief, Briefing, Bulletin, Factsheet, Handbook, Booklet, ResearchPaper or MethodologyNote. Values: Booklet, Brief, Briefing, Bulletin, Factsheet, Handbook, MethodologyNote, Report, ResearchPaper.</w:t>
            </w:r>
          </w:p>
        </w:tc>
      </w:tr>
      <w:tr>
        <w:tc>
          <w:tcPr>
            <w:tcW w:w="2430" w:type="dxa"/>
          </w:tcPr>
          <w:p>
            <w:pPr>
              <w:pStyle w:val="Compact"/>
              <w:spacing w:after="40" w:before="40"/>
              <w:jc w:val="left"/>
            </w:pPr>
            <w:r>
              <w:rPr>
                <w:rStyle w:val="VerbatimChar"/>
              </w:rPr>
              <w:t xml:space="preserve">page_numbers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page or pages in the source document where the attribution appears.</w:t>
            </w:r>
          </w:p>
        </w:tc>
      </w:tr>
      <w:tr>
        <w:tc>
          <w:tcPr>
            <w:tcW w:w="2430" w:type="dxa"/>
          </w:tcPr>
          <w:p>
            <w:pPr>
              <w:pStyle w:val="Compact"/>
              <w:spacing w:after="40" w:before="40"/>
              <w:jc w:val="left"/>
            </w:pPr>
            <w:r>
              <w:rPr>
                <w:rStyle w:val="VerbatimChar"/>
              </w:rPr>
              <w:t xml:space="preserve">supporting_quote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verbatim span of source text that supports the attribution. The extraction protocol requires one contiguous span of 15 to 35 words, copied character for character, carrying the wording that establishes the attribution; a span may cross a sentence boundary where the attribution and the event description sit in different sentences, and 11.4% of them do. This is the audit trail for the row: any reader holding the document can check it.</w:t>
            </w:r>
          </w:p>
        </w:tc>
      </w:tr>
      <w:tr>
        <w:tc>
          <w:tcPr>
            <w:tcW w:w="2430" w:type="dxa"/>
          </w:tcPr>
          <w:p>
            <w:pPr>
              <w:pStyle w:val="Compact"/>
              <w:spacing w:after="40" w:before="40"/>
              <w:jc w:val="left"/>
            </w:pPr>
            <w:r>
              <w:rPr>
                <w:rStyle w:val="VerbatimChar"/>
              </w:rPr>
              <w:t xml:space="preserve">all_source_docs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Every source document identifier describing this incident, semicolon-delimited.</w:t>
            </w:r>
          </w:p>
        </w:tc>
      </w:tr>
      <w:tr>
        <w:tc>
          <w:tcPr>
            <w:tcW w:w="2430" w:type="dxa"/>
          </w:tcPr>
          <w:p>
            <w:pPr>
              <w:pStyle w:val="Compact"/>
              <w:spacing w:after="40" w:before="40"/>
              <w:jc w:val="left"/>
            </w:pPr>
            <w:r>
              <w:rPr>
                <w:rStyle w:val="VerbatimChar"/>
              </w:rPr>
              <w:t xml:space="preserve">cited_sources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99.0%</w:t>
            </w:r>
          </w:p>
        </w:tc>
        <w:tc>
          <w:tcPr>
            <w:tcW w:w="4680" w:type="dxa"/>
          </w:tcPr>
          <w:p>
            <w:pPr>
              <w:pStyle w:val="Compact"/>
              <w:spacing w:after="40" w:before="40"/>
              <w:jc w:val="left"/>
            </w:pPr>
            <w:r>
              <w:t xml:space="preserve">Further sources the document cited for this incident, reproduced as free text in the form the document gives them. The field contains commas and semicolons inside names and titles, so it is not a delimited list and must not be split.</w:t>
            </w:r>
          </w:p>
        </w:tc>
      </w:tr>
      <w:tr>
        <w:tc>
          <w:tcPr>
            <w:tcW w:w="2430" w:type="dxa"/>
          </w:tcPr>
          <w:p>
            <w:pPr>
              <w:pStyle w:val="Compact"/>
              <w:spacing w:after="40" w:before="40"/>
              <w:jc w:val="left"/>
            </w:pPr>
            <w:r>
              <w:rPr>
                <w:rStyle w:val="VerbatimChar"/>
              </w:rPr>
              <w:t xml:space="preserve">source_reported_verification</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What the source institution said about its own verification of the incident: Human-verified, Partially verified or Unverified. This describes that institution’s practice and says nothing about our validation. Values: Human-verified, Partially verified, Unverified.</w:t>
            </w:r>
          </w:p>
        </w:tc>
      </w:tr>
      <w:tr>
        <w:tc>
          <w:tcPr>
            <w:tcW w:w="2430" w:type="dxa"/>
          </w:tcPr>
          <w:p>
            <w:pPr>
              <w:pStyle w:val="Compact"/>
              <w:spacing w:after="40" w:before="40"/>
              <w:jc w:val="left"/>
            </w:pPr>
            <w:r>
              <w:rPr>
                <w:rStyle w:val="VerbatimChar"/>
              </w:rPr>
              <w:t xml:space="preserve">source_reported_verification_method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99.9%</w:t>
            </w:r>
          </w:p>
        </w:tc>
        <w:tc>
          <w:tcPr>
            <w:tcW w:w="4680" w:type="dxa"/>
          </w:tcPr>
          <w:p>
            <w:pPr>
              <w:pStyle w:val="Compact"/>
              <w:spacing w:after="40" w:before="40"/>
              <w:jc w:val="left"/>
            </w:pPr>
            <w:r>
              <w:t xml:space="preserve">The verification method the source institution described, again a statement the institution made about itself. Values: Cross-source triangulation, Cross-source triangulation, Institutional confirmation, Human expert review, Human expert review, Cross-source triangulation, Human expert review; Cross-source triangulation, Human expert review; Cross-source triangulation; Institutional confirmation, Human expert review; Institutional confirmation, Institutional confirmation, Media reporting only.</w:t>
            </w:r>
          </w:p>
        </w:tc>
      </w:tr>
    </w:tbl>
    <w:p>
      <w:pPr>
        <w:pStyle w:val="BodyText"/>
      </w:pPr>
      <w:r>
        <w:t xml:space="preserve">The technique block aligns each incident to DISARM.</w:t>
      </w:r>
    </w:p>
    <w:p>
      <w:pPr>
        <w:pStyle w:val="Caption"/>
      </w:pPr>
      <w:r>
        <w:rPr>
          <w:iCs/>
          <w:i/>
        </w:rPr>
        <w:t xml:space="preserve">Table 10: Technique coding.</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disarm_ttps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95.9%</w:t>
            </w:r>
          </w:p>
        </w:tc>
        <w:tc>
          <w:tcPr>
            <w:tcW w:w="4680" w:type="dxa"/>
          </w:tcPr>
          <w:p>
            <w:pPr>
              <w:pStyle w:val="Compact"/>
              <w:spacing w:after="40" w:before="40"/>
              <w:jc w:val="left"/>
            </w:pPr>
            <w:r>
              <w:t xml:space="preserve">DISARM technique codes and names, semicolon-delimited. We assigned them from analytical labels applied during extraction, and a pass coding each incident directly against the framework is outstanding, so treat the distribution as indicative of how institutions describe manipulation and not yet as a full technical coding.</w:t>
            </w:r>
          </w:p>
        </w:tc>
      </w:tr>
      <w:tr>
        <w:tc>
          <w:tcPr>
            <w:tcW w:w="2430" w:type="dxa"/>
          </w:tcPr>
          <w:p>
            <w:pPr>
              <w:pStyle w:val="Compact"/>
              <w:spacing w:after="40" w:before="40"/>
              <w:jc w:val="left"/>
            </w:pPr>
            <w:r>
              <w:rPr>
                <w:rStyle w:val="VerbatimChar"/>
              </w:rPr>
              <w:t xml:space="preserve">disarm_assignment</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95.9%</w:t>
            </w:r>
          </w:p>
        </w:tc>
        <w:tc>
          <w:tcPr>
            <w:tcW w:w="4680" w:type="dxa"/>
          </w:tcPr>
          <w:p>
            <w:pPr>
              <w:pStyle w:val="Compact"/>
              <w:spacing w:after="40" w:before="40"/>
              <w:jc w:val="left"/>
            </w:pPr>
            <w:r>
              <w:t xml:space="preserve">How we assigned the codes for this row: model, extraction pass or vocabulary mapping. Values: model, extraction pass, vocabulary mapping.</w:t>
            </w:r>
          </w:p>
        </w:tc>
      </w:tr>
      <w:tr>
        <w:tc>
          <w:tcPr>
            <w:tcW w:w="2430" w:type="dxa"/>
          </w:tcPr>
          <w:p>
            <w:pPr>
              <w:pStyle w:val="Compact"/>
              <w:spacing w:after="40" w:before="40"/>
              <w:jc w:val="left"/>
            </w:pPr>
            <w:r>
              <w:rPr>
                <w:rStyle w:val="VerbatimChar"/>
              </w:rPr>
              <w:t xml:space="preserve">disarm_basis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95.6%</w:t>
            </w:r>
          </w:p>
        </w:tc>
        <w:tc>
          <w:tcPr>
            <w:tcW w:w="4680" w:type="dxa"/>
          </w:tcPr>
          <w:p>
            <w:pPr>
              <w:pStyle w:val="Compact"/>
              <w:spacing w:after="40" w:before="40"/>
              <w:jc w:val="left"/>
            </w:pPr>
            <w:r>
              <w:t xml:space="preserve">The evidence on which the assignment rests, quoting the analytical label it came from.</w:t>
            </w:r>
          </w:p>
        </w:tc>
      </w:tr>
      <w:tr>
        <w:tc>
          <w:tcPr>
            <w:tcW w:w="2430" w:type="dxa"/>
          </w:tcPr>
          <w:p>
            <w:pPr>
              <w:pStyle w:val="Compact"/>
              <w:spacing w:after="40" w:before="40"/>
              <w:jc w:val="left"/>
            </w:pPr>
            <w:r>
              <w:rPr>
                <w:rStyle w:val="VerbatimChar"/>
              </w:rPr>
              <w:t xml:space="preserve">disarm_deprecated_codes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10.7%</w:t>
            </w:r>
          </w:p>
        </w:tc>
        <w:tc>
          <w:tcPr>
            <w:tcW w:w="4680" w:type="dxa"/>
          </w:tcPr>
          <w:p>
            <w:pPr>
              <w:pStyle w:val="Compact"/>
              <w:spacing w:after="40" w:before="40"/>
              <w:jc w:val="left"/>
            </w:pPr>
            <w:r>
              <w:t xml:space="preserve">Codes from the earlier 136-technique framework with their replacements, retained so that the original coding remains traceable. Values: T0090 [superseded -&gt; T0146 Account Asset + T0150.001 Newly Created Asset], T0099 [superseded -&gt; T0143.003 Impersonated Persona (+ T0097.2xx persona type; T0149.003 Lookalike Domain)].</w:t>
            </w:r>
          </w:p>
        </w:tc>
      </w:tr>
      <w:tr>
        <w:tc>
          <w:tcPr>
            <w:tcW w:w="2430" w:type="dxa"/>
          </w:tcPr>
          <w:p>
            <w:pPr>
              <w:pStyle w:val="Compact"/>
              <w:spacing w:after="40" w:before="40"/>
              <w:jc w:val="left"/>
            </w:pPr>
            <w:r>
              <w:rPr>
                <w:rStyle w:val="VerbatimChar"/>
              </w:rPr>
              <w:t xml:space="preserve">disarm_unverified_codes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1.6%</w:t>
            </w:r>
          </w:p>
        </w:tc>
        <w:tc>
          <w:tcPr>
            <w:tcW w:w="4680" w:type="dxa"/>
          </w:tcPr>
          <w:p>
            <w:pPr>
              <w:pStyle w:val="Compact"/>
              <w:spacing w:after="40" w:before="40"/>
              <w:jc w:val="left"/>
            </w:pPr>
            <w:r>
              <w:t xml:space="preserve">Codes that did not resolve against the DISARM master data.</w:t>
            </w:r>
          </w:p>
        </w:tc>
      </w:tr>
    </w:tbl>
    <w:p>
      <w:pPr>
        <w:pStyle w:val="BodyText"/>
      </w:pPr>
      <w:r>
        <w:t xml:space="preserve">The response block records what the source said followed.</w:t>
      </w:r>
    </w:p>
    <w:p>
      <w:pPr>
        <w:pStyle w:val="Caption"/>
      </w:pPr>
      <w:r>
        <w:rPr>
          <w:iCs/>
          <w:i/>
        </w:rPr>
        <w:t xml:space="preserve">Table 11: Response and impact.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official_response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93.7%</w:t>
            </w:r>
          </w:p>
        </w:tc>
        <w:tc>
          <w:tcPr>
            <w:tcW w:w="4680" w:type="dxa"/>
          </w:tcPr>
          <w:p>
            <w:pPr>
              <w:pStyle w:val="Compact"/>
              <w:spacing w:after="40" w:before="40"/>
              <w:jc w:val="left"/>
            </w:pPr>
            <w:r>
              <w:t xml:space="preserve">Any official response described in the source document.</w:t>
            </w:r>
            <w:r>
              <w:t xml:space="preserve"> </w:t>
            </w:r>
            <w:r>
              <w:rPr>
                <w:rStyle w:val="VerbatimChar"/>
              </w:rPr>
              <w:t xml:space="preserve">None recorded</w:t>
            </w:r>
            <w:r>
              <w:t xml:space="preserve"> </w:t>
            </w:r>
            <w:r>
              <w:t xml:space="preserve">(2,152 rows) means the passage was read and describes no response, which does not establish that no response occurred; an empty cell (197 rows) means the field was not populated. A response is recorded on 782 rows.</w:t>
            </w:r>
          </w:p>
        </w:tc>
      </w:tr>
      <w:tr>
        <w:tc>
          <w:tcPr>
            <w:tcW w:w="2430" w:type="dxa"/>
          </w:tcPr>
          <w:p>
            <w:pPr>
              <w:pStyle w:val="Compact"/>
              <w:spacing w:after="40" w:before="40"/>
              <w:jc w:val="left"/>
            </w:pPr>
            <w:r>
              <w:rPr>
                <w:rStyle w:val="VerbatimChar"/>
              </w:rPr>
              <w:t xml:space="preserve">international_response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95.1%</w:t>
            </w:r>
          </w:p>
        </w:tc>
        <w:tc>
          <w:tcPr>
            <w:tcW w:w="4680" w:type="dxa"/>
          </w:tcPr>
          <w:p>
            <w:pPr>
              <w:pStyle w:val="Compact"/>
              <w:spacing w:after="40" w:before="40"/>
              <w:jc w:val="left"/>
            </w:pPr>
            <w:r>
              <w:t xml:space="preserve">Any international response described in the source document, subject to the same caution;</w:t>
            </w:r>
            <w:r>
              <w:t xml:space="preserve"> </w:t>
            </w:r>
            <w:r>
              <w:rPr>
                <w:rStyle w:val="VerbatimChar"/>
              </w:rPr>
              <w:t xml:space="preserve">None recorded</w:t>
            </w:r>
            <w:r>
              <w:t xml:space="preserve"> </w:t>
            </w:r>
            <w:r>
              <w:t xml:space="preserve">on 2,740 rows and empty on 154. Values: Allied governments, EU institutions, EU institutions, Allied governments, EU institutions, NATO, EU institutions; Allied governments, NATO, NATO,Allied governments, None recorded.</w:t>
            </w:r>
          </w:p>
        </w:tc>
      </w:tr>
      <w:tr>
        <w:tc>
          <w:tcPr>
            <w:tcW w:w="2430" w:type="dxa"/>
          </w:tcPr>
          <w:p>
            <w:pPr>
              <w:pStyle w:val="Compact"/>
              <w:spacing w:after="40" w:before="40"/>
              <w:jc w:val="left"/>
            </w:pPr>
            <w:r>
              <w:rPr>
                <w:rStyle w:val="VerbatimChar"/>
              </w:rPr>
              <w:t xml:space="preserve">evidence_of_impact</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97.6%</w:t>
            </w:r>
          </w:p>
        </w:tc>
        <w:tc>
          <w:tcPr>
            <w:tcW w:w="4680" w:type="dxa"/>
          </w:tcPr>
          <w:p>
            <w:pPr>
              <w:pStyle w:val="Compact"/>
              <w:spacing w:after="40" w:before="40"/>
              <w:jc w:val="left"/>
            </w:pPr>
            <w:r>
              <w:t xml:space="preserve">Any evidence of impact described in the source document, subject to the same caution;</w:t>
            </w:r>
            <w:r>
              <w:t xml:space="preserve"> </w:t>
            </w:r>
            <w:r>
              <w:rPr>
                <w:rStyle w:val="VerbatimChar"/>
              </w:rPr>
              <w:t xml:space="preserve">None recorded</w:t>
            </w:r>
            <w:r>
              <w:t xml:space="preserve"> </w:t>
            </w:r>
            <w:r>
              <w:t xml:space="preserve">on 1,940 rows and empty on 76.</w:t>
            </w:r>
          </w:p>
        </w:tc>
      </w:tr>
    </w:tbl>
    <w:p>
      <w:pPr>
        <w:pStyle w:val="BodyText"/>
      </w:pPr>
      <w:r>
        <w:t xml:space="preserve">The corroboration block records independent description.</w:t>
      </w:r>
    </w:p>
    <w:p>
      <w:pPr>
        <w:pStyle w:val="Caption"/>
      </w:pPr>
      <w:r>
        <w:rPr>
          <w:iCs/>
          <w:i/>
        </w:rPr>
        <w:t xml:space="preserve">Table 12: Corroboration.</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corroborated</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more than one institution describes the incident, including cases in which institutions jointly author a single document. This is the broader of our two corroboration measures and it holds for 61 of 3,029 incidents (2.0%).</w:t>
            </w:r>
          </w:p>
        </w:tc>
      </w:tr>
      <w:tr>
        <w:tc>
          <w:tcPr>
            <w:tcW w:w="2430" w:type="dxa"/>
          </w:tcPr>
          <w:p>
            <w:pPr>
              <w:pStyle w:val="Compact"/>
              <w:spacing w:after="40" w:before="40"/>
              <w:jc w:val="left"/>
            </w:pPr>
            <w:r>
              <w:rPr>
                <w:rStyle w:val="VerbatimChar"/>
              </w:rPr>
              <w:t xml:space="preserve">corroborated_independent</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institutions describe the incident in separate documents with differing parent sets. This is the stricter measure, the one that bears on corroboration, and it holds for 30 of 3,029 incidents (less than 1%).</w:t>
            </w:r>
          </w:p>
        </w:tc>
      </w:tr>
    </w:tbl>
    <w:p>
      <w:pPr>
        <w:pStyle w:val="BodyText"/>
      </w:pPr>
      <w:r>
        <w:t xml:space="preserve">Two flags define the analysis populations.</w:t>
      </w:r>
    </w:p>
    <w:p>
      <w:pPr>
        <w:pStyle w:val="Caption"/>
      </w:pPr>
      <w:r>
        <w:rPr>
          <w:iCs/>
          <w:i/>
        </w:rPr>
        <w:t xml:space="preserve">Table 13: Analysis populations.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analysis_include_target</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the target assignment is settled. Filter on it for any analysis of target countries; it leaves 2,912 incidents.</w:t>
            </w:r>
          </w:p>
        </w:tc>
      </w:tr>
      <w:tr>
        <w:tc>
          <w:tcPr>
            <w:tcW w:w="2430" w:type="dxa"/>
          </w:tcPr>
          <w:p>
            <w:pPr>
              <w:pStyle w:val="Compact"/>
              <w:spacing w:after="40" w:before="40"/>
              <w:jc w:val="left"/>
            </w:pPr>
            <w:r>
              <w:rPr>
                <w:rStyle w:val="VerbatimChar"/>
              </w:rPr>
              <w:t xml:space="preserve">analysis_include_latency</w:t>
            </w:r>
          </w:p>
        </w:tc>
        <w:tc>
          <w:tcPr>
            <w:tcW w:w="900" w:type="dxa"/>
          </w:tcPr>
          <w:p>
            <w:pPr>
              <w:pStyle w:val="Compact"/>
              <w:spacing w:after="40" w:before="40"/>
              <w:jc w:val="left"/>
            </w:pPr>
            <w:r>
              <w:t xml:space="preserve">integer</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We set this to 1 where the row falls within the latency population, which comprises incidents occurring in 2010 or later for which we can compute an interval. It leaves 2,708 incidents.</w:t>
            </w:r>
          </w:p>
        </w:tc>
      </w:tr>
    </w:tbl>
    <w:p>
      <w:pPr>
        <w:pStyle w:val="BodyText"/>
      </w:pPr>
      <w:r>
        <w:t xml:space="preserve">The extraction block documents how each row was produced.</w:t>
      </w:r>
    </w:p>
    <w:p>
      <w:pPr>
        <w:pStyle w:val="Caption"/>
      </w:pPr>
      <w:r>
        <w:rPr>
          <w:iCs/>
          <w:i/>
        </w:rPr>
        <w:t xml:space="preserve">Table 14: Extraction record.</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reasoning_note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extraction-time note on how the pipeline construed the row.</w:t>
            </w:r>
          </w:p>
        </w:tc>
      </w:tr>
      <w:tr>
        <w:tc>
          <w:tcPr>
            <w:tcW w:w="2430" w:type="dxa"/>
          </w:tcPr>
          <w:p>
            <w:pPr>
              <w:pStyle w:val="Compact"/>
              <w:spacing w:after="40" w:before="40"/>
              <w:jc w:val="left"/>
            </w:pPr>
            <w:r>
              <w:rPr>
                <w:rStyle w:val="VerbatimChar"/>
              </w:rPr>
              <w:t xml:space="preserve">primary_uncertainties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uncertainties the pipeline flagged at extraction, semicolon-delimited.</w:t>
            </w:r>
          </w:p>
        </w:tc>
      </w:tr>
    </w:tbl>
    <w:p>
      <w:pPr>
        <w:pStyle w:val="BodyText"/>
      </w:pPr>
      <w:r>
        <w:rPr>
          <w:bCs/>
          <w:b/>
        </w:rPr>
        <w:t xml:space="preserve">These 7 variables record the extraction model’s own judgement. They are poorly calibrated, we exclude them from every analysis in D4.2, and they are not data for analysis.</w:t>
      </w:r>
      <w:r>
        <w:t xml:space="preserve"> </w:t>
      </w:r>
      <w:r>
        <w:t xml:space="preserve">We retain them because removing them would conceal part of what the pipeline produced, and their</w:t>
      </w:r>
      <w:r>
        <w:t xml:space="preserve"> </w:t>
      </w:r>
      <w:r>
        <w:rPr>
          <w:rStyle w:val="VerbatimChar"/>
        </w:rPr>
        <w:t xml:space="preserve">model_</w:t>
      </w:r>
      <w:r>
        <w:t xml:space="preserve"> </w:t>
      </w:r>
      <w:r>
        <w:t xml:space="preserve">prefix marks them.</w:t>
      </w:r>
    </w:p>
    <w:p>
      <w:pPr>
        <w:pStyle w:val="Caption"/>
      </w:pPr>
      <w:r>
        <w:rPr>
          <w:iCs/>
          <w:i/>
        </w:rPr>
        <w:t xml:space="preserve">Table 15: Model judgement, excluded from analysis.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430"/>
        <w:gridCol w:w="900"/>
        <w:gridCol w:w="990"/>
        <w:gridCol w:w="4680"/>
      </w:tblGrid>
      <w:tr>
        <w:trPr>
          <w:tblHeader w:val="true"/>
        </w:trPr>
        <w:tc>
          <w:tcPr>
            <w:tcW w:w="2430" w:type="dxa"/>
          </w:tcPr>
          <w:p>
            <w:pPr>
              <w:pStyle w:val="Compact"/>
              <w:spacing w:after="40" w:before="40"/>
              <w:jc w:val="left"/>
            </w:pPr>
            <w:r>
              <w:t xml:space="preserve">Variable</w:t>
            </w:r>
          </w:p>
        </w:tc>
        <w:tc>
          <w:tcPr>
            <w:tcW w:w="900" w:type="dxa"/>
          </w:tcPr>
          <w:p>
            <w:pPr>
              <w:pStyle w:val="Compact"/>
              <w:spacing w:after="40" w:before="40"/>
              <w:jc w:val="left"/>
            </w:pPr>
            <w:r>
              <w:t xml:space="preserve">Type</w:t>
            </w:r>
          </w:p>
        </w:tc>
        <w:tc>
          <w:tcPr>
            <w:tcW w:w="990" w:type="dxa"/>
          </w:tcPr>
          <w:p>
            <w:pPr>
              <w:pStyle w:val="Compact"/>
              <w:spacing w:after="40" w:before="40"/>
              <w:jc w:val="left"/>
            </w:pPr>
            <w:r>
              <w:t xml:space="preserve">Populated</w:t>
            </w:r>
          </w:p>
        </w:tc>
        <w:tc>
          <w:tcPr>
            <w:tcW w:w="4680" w:type="dxa"/>
          </w:tcPr>
          <w:p>
            <w:pPr>
              <w:pStyle w:val="Compact"/>
              <w:spacing w:after="40" w:before="40"/>
              <w:jc w:val="left"/>
            </w:pPr>
            <w:r>
              <w:t xml:space="preserve">Definition</w:t>
            </w:r>
          </w:p>
        </w:tc>
      </w:tr>
      <w:tr>
        <w:tc>
          <w:tcPr>
            <w:tcW w:w="2430" w:type="dxa"/>
          </w:tcPr>
          <w:p>
            <w:pPr>
              <w:pStyle w:val="Compact"/>
              <w:spacing w:after="40" w:before="40"/>
              <w:jc w:val="left"/>
            </w:pPr>
            <w:r>
              <w:rPr>
                <w:rStyle w:val="VerbatimChar"/>
              </w:rPr>
              <w:t xml:space="preserve">model_fimi_status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own classification of the incident. We retain it only to document what the pipeline produced. Section 6 of D4.2 shows that models differ by a factor of 4 on this judgement, and the 80-item test in Section 2 of D4.2 uses this field as its reference label, so that test measures agreement between two model passes and does not measure accuracy against institutional judgement. Values: Confirmed FIMI, Indeterminate, Not FIMI, Possible/Borderline FIMI, Probable FIMI.</w:t>
            </w:r>
          </w:p>
        </w:tc>
      </w:tr>
      <w:tr>
        <w:tc>
          <w:tcPr>
            <w:tcW w:w="2430" w:type="dxa"/>
          </w:tcPr>
          <w:p>
            <w:pPr>
              <w:pStyle w:val="Compact"/>
              <w:spacing w:after="40" w:before="40"/>
              <w:jc w:val="left"/>
            </w:pPr>
            <w:r>
              <w:rPr>
                <w:rStyle w:val="VerbatimChar"/>
              </w:rPr>
              <w:t xml:space="preserve">model_intent_inference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inference about intent.</w:t>
            </w:r>
          </w:p>
        </w:tc>
      </w:tr>
      <w:tr>
        <w:tc>
          <w:tcPr>
            <w:tcW w:w="2430" w:type="dxa"/>
          </w:tcPr>
          <w:p>
            <w:pPr>
              <w:pStyle w:val="Compact"/>
              <w:spacing w:after="40" w:before="40"/>
              <w:jc w:val="left"/>
            </w:pPr>
            <w:r>
              <w:rPr>
                <w:rStyle w:val="VerbatimChar"/>
              </w:rPr>
              <w:t xml:space="preserve">model_intent_confidence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confidence in that inference. Values: High, Low, Medium.</w:t>
            </w:r>
          </w:p>
        </w:tc>
      </w:tr>
      <w:tr>
        <w:tc>
          <w:tcPr>
            <w:tcW w:w="2430" w:type="dxa"/>
          </w:tcPr>
          <w:p>
            <w:pPr>
              <w:pStyle w:val="Compact"/>
              <w:spacing w:after="40" w:before="40"/>
              <w:jc w:val="left"/>
            </w:pPr>
            <w:r>
              <w:rPr>
                <w:rStyle w:val="VerbatimChar"/>
              </w:rPr>
              <w:t xml:space="preserve">model_impact_confidence</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confidence in its impact assessment. Values: High, Low, Medium, Unknown.</w:t>
            </w:r>
          </w:p>
        </w:tc>
      </w:tr>
      <w:tr>
        <w:tc>
          <w:tcPr>
            <w:tcW w:w="2430" w:type="dxa"/>
          </w:tcPr>
          <w:p>
            <w:pPr>
              <w:pStyle w:val="Compact"/>
              <w:spacing w:after="40" w:before="40"/>
              <w:jc w:val="left"/>
            </w:pPr>
            <w:r>
              <w:rPr>
                <w:rStyle w:val="VerbatimChar"/>
              </w:rPr>
              <w:t xml:space="preserve">model_content_accuracy_status</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91.6%</w:t>
            </w:r>
          </w:p>
        </w:tc>
        <w:tc>
          <w:tcPr>
            <w:tcW w:w="4680" w:type="dxa"/>
          </w:tcPr>
          <w:p>
            <w:pPr>
              <w:pStyle w:val="Compact"/>
              <w:spacing w:after="40" w:before="40"/>
              <w:jc w:val="left"/>
            </w:pPr>
            <w:r>
              <w:t xml:space="preserve">The extraction model’s judgement of whether the content was accurate. Poorly calibrated. Values: Accurate, Disputed, False, Misleading, Mixed, Selective omission, Unknown.</w:t>
            </w:r>
          </w:p>
        </w:tc>
      </w:tr>
      <w:tr>
        <w:tc>
          <w:tcPr>
            <w:tcW w:w="2430" w:type="dxa"/>
          </w:tcPr>
          <w:p>
            <w:pPr>
              <w:pStyle w:val="Compact"/>
              <w:spacing w:after="40" w:before="40"/>
              <w:jc w:val="left"/>
            </w:pPr>
            <w:r>
              <w:rPr>
                <w:rStyle w:val="VerbatimChar"/>
              </w:rPr>
              <w:t xml:space="preserve">model_risk_of_misclassification</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own risk flag. Values: High, Low, Medium.</w:t>
            </w:r>
          </w:p>
        </w:tc>
      </w:tr>
      <w:tr>
        <w:tc>
          <w:tcPr>
            <w:tcW w:w="2430" w:type="dxa"/>
          </w:tcPr>
          <w:p>
            <w:pPr>
              <w:pStyle w:val="Compact"/>
              <w:spacing w:after="40" w:before="40"/>
              <w:jc w:val="left"/>
            </w:pPr>
            <w:r>
              <w:rPr>
                <w:rStyle w:val="VerbatimChar"/>
              </w:rPr>
              <w:t xml:space="preserve">model_reassessment_recommended</w:t>
            </w:r>
          </w:p>
        </w:tc>
        <w:tc>
          <w:tcPr>
            <w:tcW w:w="900" w:type="dxa"/>
          </w:tcPr>
          <w:p>
            <w:pPr>
              <w:pStyle w:val="Compact"/>
              <w:spacing w:after="40" w:before="40"/>
              <w:jc w:val="left"/>
            </w:pPr>
            <w:r>
              <w:t xml:space="preserve">string</w:t>
            </w:r>
          </w:p>
        </w:tc>
        <w:tc>
          <w:tcPr>
            <w:tcW w:w="990" w:type="dxa"/>
          </w:tcPr>
          <w:p>
            <w:pPr>
              <w:pStyle w:val="Compact"/>
              <w:spacing w:after="40" w:before="40"/>
              <w:jc w:val="left"/>
            </w:pPr>
            <w:r>
              <w:t xml:space="preserve">100.0%</w:t>
            </w:r>
          </w:p>
        </w:tc>
        <w:tc>
          <w:tcPr>
            <w:tcW w:w="4680" w:type="dxa"/>
          </w:tcPr>
          <w:p>
            <w:pPr>
              <w:pStyle w:val="Compact"/>
              <w:spacing w:after="40" w:before="40"/>
              <w:jc w:val="left"/>
            </w:pPr>
            <w:r>
              <w:t xml:space="preserve">The extraction model’s own recommendation. Non-informative in practice. Values: No, Yes.</w:t>
            </w:r>
          </w:p>
        </w:tc>
      </w:tr>
    </w:tbl>
    <w:bookmarkEnd w:id="27"/>
    <w:bookmarkStart w:id="28" w:name="X3f4897fad0f264e346cd433ea056bccfc9f759e"/>
    <w:p>
      <w:pPr>
        <w:pStyle w:val="Heading1"/>
      </w:pPr>
      <w:r>
        <w:rPr>
          <w:bCs/>
          <w:b/>
        </w:rPr>
        <w:t xml:space="preserve">5. How we collected and built the data</w:t>
      </w:r>
    </w:p>
    <w:p>
      <w:pPr>
        <w:pStyle w:val="FirstParagraph"/>
      </w:pPr>
      <w:r>
        <w:t xml:space="preserve">We built the corpus in 5 stages. We compiled the institutions identified in earlier DE-CONSPIRATOR deliverables into an initial registry; consortium partners and the advisory board nominated further institutions in their own jurisdictions; we assessed each institution for relevance on a 3-point scale and flagged whether it publishes attributions or only commentary; we built publication inventories for institutions above the threshold and retrieved 690 files; and we deduplicated by content hash and screened for machine-readable text, submitting 680 files to extraction. Of those, 534 yielded at least one attributed incident, and no document entered the corpus without human confirmation.</w:t>
      </w:r>
    </w:p>
    <w:p>
      <w:pPr>
        <w:pStyle w:val="BodyText"/>
      </w:pPr>
      <w:r>
        <w:t xml:space="preserve">The sample is purposive: experts in the field considered the selected institutions relevant, and we did not select them at random from a defined population, so we can assign no probability of inclusion to any document.</w:t>
      </w:r>
    </w:p>
    <w:p>
      <w:pPr>
        <w:pStyle w:val="BodyText"/>
      </w:pPr>
      <w:r>
        <w:t xml:space="preserve">We segmented documents into passages, and a language model read each passage under instructions to identify attributed incidents and populate the schema fields. Across the corpus we processed 34,746 pages in approximately 5 hours at a cost of USD 38.69.</w:t>
      </w:r>
    </w:p>
    <w:p>
      <w:pPr>
        <w:pStyle w:val="BodyText"/>
      </w:pPr>
      <w:r>
        <w:t xml:space="preserve">Four provisions of the instruction set determine what a reader can check the data against. Every row must carry a verbatim span of 15 to 35 contiguous words from the passage supporting the attribution, copied character for character and not normalised, and we discard a row without one. We leave empty the fields for which the passage supplies no information. We record actors as the source names them, including where that name is vague. We record dates at the precision the source states, with</w:t>
      </w:r>
      <w:r>
        <w:t xml:space="preserve"> </w:t>
      </w:r>
      <w:r>
        <w:rPr>
          <w:rStyle w:val="VerbatimChar"/>
        </w:rPr>
        <w:t xml:space="preserve">date_prec</w:t>
      </w:r>
      <w:r>
        <w:t xml:space="preserve"> </w:t>
      </w:r>
      <w:r>
        <w:t xml:space="preserve">recording that precision.</w:t>
      </w:r>
    </w:p>
    <w:p>
      <w:pPr>
        <w:pStyle w:val="BodyText"/>
      </w:pPr>
      <w:r>
        <w:t xml:space="preserve">We applied 4 operations to the extraction output, and each is reversible because we retain the original values. We normalised institution names in 6 passes, reaching 97 canonical parent institutions from 212 extracted strings, and the aliases sheet of the registries workbook publishes the mapping from every extracted string to its source identity and parent institutions (Appendix F). We linked duplicate incident descriptions conservatively, so that every row begins as its own incident and merges only when a rule fires. We attempted to resolve actor names and abandoned the attempt, because 783 of the 1,272 extracted actor strings appear exactly once and the long tail could not be resolved adequately, so release v2.4 codes the actor by category instead, as Section 6 sets out. We revised field names so that the model’s own judgements carry a</w:t>
      </w:r>
      <w:r>
        <w:t xml:space="preserve"> </w:t>
      </w:r>
      <w:r>
        <w:rPr>
          <w:rStyle w:val="VerbatimChar"/>
        </w:rPr>
        <w:t xml:space="preserve">model_</w:t>
      </w:r>
      <w:r>
        <w:t xml:space="preserve"> </w:t>
      </w:r>
      <w:r>
        <w:t xml:space="preserve">prefix and the source’s verification claims are not mistaken for ours.</w:t>
      </w:r>
    </w:p>
    <w:p>
      <w:pPr>
        <w:pStyle w:val="BodyText"/>
      </w:pPr>
      <w:r>
        <w:t xml:space="preserve">Quotation matching is mechanical and covered the whole dataset at a pipeline rate of 98.9%, and we did not retain the outcome per row, so</w:t>
      </w:r>
      <w:r>
        <w:t xml:space="preserve"> </w:t>
      </w:r>
      <w:r>
        <w:rPr>
          <w:rStyle w:val="VerbatimChar"/>
        </w:rPr>
        <w:t xml:space="preserve">quote_verification</w:t>
      </w:r>
      <w:r>
        <w:t xml:space="preserve"> </w:t>
      </w:r>
      <w:r>
        <w:t xml:space="preserve">reports that no record-level result is available in this release.</w:t>
      </w:r>
    </w:p>
    <w:p>
      <w:pPr>
        <w:pStyle w:val="BodyText"/>
      </w:pPr>
      <w:r>
        <w:t xml:space="preserve">Whether the structured fields correctly represent the quoted material requires human reading. We assessed 60 rows, 20 from each of 3 strata defined by the model’s own classification. A language model of the same class as the extractor performed the adjudication, and human ratification is outstanding, so the figures are a machine-assisted triage and not an accuracy statistic.</w:t>
      </w:r>
      <w:r>
        <w:t xml:space="preserve"> </w:t>
      </w:r>
      <w:r>
        <w:rPr>
          <w:bCs/>
          <w:b/>
        </w:rPr>
        <w:t xml:space="preserve">No accuracy figure should be cited from this dataset at present.</w:t>
      </w:r>
    </w:p>
    <w:p>
      <w:pPr>
        <w:pStyle w:val="BodyText"/>
      </w:pPr>
      <w:r>
        <w:t xml:space="preserve">Two models reading the same 79 passages agreed on which incidents those passages contained in only 23 cases, so analyses that depend on counts of incidents are more fragile than analyses that depend on the attributes of incidents.</w:t>
      </w:r>
    </w:p>
    <w:bookmarkEnd w:id="28"/>
    <w:bookmarkStart w:id="29" w:name="Xe15a5a476d2b26e8f8beb0ced5f214bc450a656"/>
    <w:p>
      <w:pPr>
        <w:pStyle w:val="Heading1"/>
      </w:pPr>
      <w:r>
        <w:rPr>
          <w:bCs/>
          <w:b/>
        </w:rPr>
        <w:t xml:space="preserve">6. Additional variable information</w:t>
      </w:r>
    </w:p>
    <w:p>
      <w:pPr>
        <w:pStyle w:val="FirstParagraph"/>
      </w:pPr>
      <w:r>
        <w:rPr>
          <w:rStyle w:val="VerbatimChar"/>
        </w:rPr>
        <w:t xml:space="preserve">date_start</w:t>
      </w:r>
      <w:r>
        <w:t xml:space="preserve"> </w:t>
      </w:r>
      <w:r>
        <w:t xml:space="preserve">and</w:t>
      </w:r>
      <w:r>
        <w:t xml:space="preserve"> </w:t>
      </w:r>
      <w:r>
        <w:rPr>
          <w:rStyle w:val="VerbatimChar"/>
        </w:rPr>
        <w:t xml:space="preserve">date_end</w:t>
      </w:r>
      <w:r>
        <w:t xml:space="preserve"> </w:t>
      </w:r>
      <w:r>
        <w:t xml:space="preserve">are always full ISO dates, and</w:t>
      </w:r>
      <w:r>
        <w:t xml:space="preserve"> </w:t>
      </w:r>
      <w:r>
        <w:rPr>
          <w:rStyle w:val="VerbatimChar"/>
        </w:rPr>
        <w:t xml:space="preserve">date_prec</w:t>
      </w:r>
      <w:r>
        <w:t xml:space="preserve"> </w:t>
      </w:r>
      <w:r>
        <w:t xml:space="preserve">records what the source actually supported. A source stating only a year yields</w:t>
      </w:r>
      <w:r>
        <w:t xml:space="preserve"> </w:t>
      </w:r>
      <w:r>
        <w:rPr>
          <w:rStyle w:val="VerbatimChar"/>
        </w:rPr>
        <w:t xml:space="preserve">date_start</w:t>
      </w:r>
      <w:r>
        <w:t xml:space="preserve"> </w:t>
      </w:r>
      <w:r>
        <w:t xml:space="preserve">on 1 January and</w:t>
      </w:r>
      <w:r>
        <w:t xml:space="preserve"> </w:t>
      </w:r>
      <w:r>
        <w:rPr>
          <w:rStyle w:val="VerbatimChar"/>
        </w:rPr>
        <w:t xml:space="preserve">date_end</w:t>
      </w:r>
      <w:r>
        <w:t xml:space="preserve"> </w:t>
      </w:r>
      <w:r>
        <w:t xml:space="preserve">on 31 December of that year, with</w:t>
      </w:r>
      <w:r>
        <w:t xml:space="preserve"> </w:t>
      </w:r>
      <w:r>
        <w:rPr>
          <w:rStyle w:val="VerbatimChar"/>
        </w:rPr>
        <w:t xml:space="preserve">date_prec = 5</w:t>
      </w:r>
      <w:r>
        <w:t xml:space="preserve"> </w:t>
      </w:r>
      <w:r>
        <w:t xml:space="preserve">and</w:t>
      </w:r>
      <w:r>
        <w:t xml:space="preserve"> </w:t>
      </w:r>
      <w:r>
        <w:rPr>
          <w:rStyle w:val="VerbatimChar"/>
        </w:rPr>
        <w:t xml:space="preserve">date_derived = 1</w:t>
      </w:r>
      <w:r>
        <w:t xml:space="preserve">. Never read the two dates without the precision variable: a month-level statement expanded to an interval looks identical to a day-level statement that happened to span the same days.</w:t>
      </w:r>
    </w:p>
    <w:p>
      <w:pPr>
        <w:pStyle w:val="Caption"/>
      </w:pPr>
      <w:r>
        <w:rPr>
          <w:iCs/>
          <w:i/>
        </w:rPr>
        <w:t xml:space="preserve">Table 16: Date precision, counted over all 3,131 rows. Over the 3,029 incidents the distribution is 1,343 year-level, 785 month-level, 673 day-level and 228 without a date.</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true"/>
        </w:trPr>
        <w:tc>
          <w:tcPr/>
          <w:p>
            <w:pPr>
              <w:pStyle w:val="Compact"/>
              <w:spacing w:after="40" w:before="40"/>
              <w:jc w:val="left"/>
            </w:pPr>
            <w:r>
              <w:rPr>
                <w:rStyle w:val="VerbatimChar"/>
              </w:rPr>
              <w:t xml:space="preserve">date_prec</w:t>
            </w:r>
          </w:p>
        </w:tc>
        <w:tc>
          <w:tcPr/>
          <w:p>
            <w:pPr>
              <w:pStyle w:val="Compact"/>
              <w:spacing w:after="40" w:before="40"/>
              <w:jc w:val="left"/>
            </w:pPr>
            <w:r>
              <w:t xml:space="preserve">The source stated</w:t>
            </w:r>
          </w:p>
        </w:tc>
        <w:tc>
          <w:tcPr/>
          <w:p>
            <w:pPr>
              <w:pStyle w:val="Compact"/>
              <w:spacing w:after="40" w:before="40"/>
              <w:jc w:val="left"/>
            </w:pPr>
            <w:r>
              <w:t xml:space="preserve">Rows</w:t>
            </w:r>
          </w:p>
        </w:tc>
      </w:tr>
      <w:tr>
        <w:tc>
          <w:tcPr/>
          <w:p>
            <w:pPr>
              <w:pStyle w:val="Compact"/>
              <w:spacing w:after="40" w:before="40"/>
              <w:jc w:val="left"/>
            </w:pPr>
            <w:r>
              <w:t xml:space="preserve">1</w:t>
            </w:r>
          </w:p>
        </w:tc>
        <w:tc>
          <w:tcPr/>
          <w:p>
            <w:pPr>
              <w:pStyle w:val="Compact"/>
              <w:spacing w:after="40" w:before="40"/>
              <w:jc w:val="left"/>
            </w:pPr>
            <w:r>
              <w:t xml:space="preserve">a day</w:t>
            </w:r>
          </w:p>
        </w:tc>
        <w:tc>
          <w:tcPr/>
          <w:p>
            <w:pPr>
              <w:pStyle w:val="Compact"/>
              <w:spacing w:after="40" w:before="40"/>
              <w:jc w:val="left"/>
            </w:pPr>
            <w:r>
              <w:t xml:space="preserve">687</w:t>
            </w:r>
          </w:p>
        </w:tc>
      </w:tr>
      <w:tr>
        <w:tc>
          <w:tcPr/>
          <w:p>
            <w:pPr>
              <w:pStyle w:val="Compact"/>
              <w:spacing w:after="40" w:before="40"/>
              <w:jc w:val="left"/>
            </w:pPr>
            <w:r>
              <w:t xml:space="preserve">3</w:t>
            </w:r>
          </w:p>
        </w:tc>
        <w:tc>
          <w:tcPr/>
          <w:p>
            <w:pPr>
              <w:pStyle w:val="Compact"/>
              <w:spacing w:after="40" w:before="40"/>
              <w:jc w:val="left"/>
            </w:pPr>
            <w:r>
              <w:t xml:space="preserve">a month</w:t>
            </w:r>
          </w:p>
        </w:tc>
        <w:tc>
          <w:tcPr/>
          <w:p>
            <w:pPr>
              <w:pStyle w:val="Compact"/>
              <w:spacing w:after="40" w:before="40"/>
              <w:jc w:val="left"/>
            </w:pPr>
            <w:r>
              <w:t xml:space="preserve">814</w:t>
            </w:r>
          </w:p>
        </w:tc>
      </w:tr>
      <w:tr>
        <w:tc>
          <w:tcPr/>
          <w:p>
            <w:pPr>
              <w:pStyle w:val="Compact"/>
              <w:spacing w:after="40" w:before="40"/>
              <w:jc w:val="left"/>
            </w:pPr>
            <w:r>
              <w:t xml:space="preserve">5</w:t>
            </w:r>
          </w:p>
        </w:tc>
        <w:tc>
          <w:tcPr/>
          <w:p>
            <w:pPr>
              <w:pStyle w:val="Compact"/>
              <w:spacing w:after="40" w:before="40"/>
              <w:jc w:val="left"/>
            </w:pPr>
            <w:r>
              <w:t xml:space="preserve">a year</w:t>
            </w:r>
          </w:p>
        </w:tc>
        <w:tc>
          <w:tcPr/>
          <w:p>
            <w:pPr>
              <w:pStyle w:val="Compact"/>
              <w:spacing w:after="40" w:before="40"/>
              <w:jc w:val="left"/>
            </w:pPr>
            <w:r>
              <w:t xml:space="preserve">1,398</w:t>
            </w:r>
          </w:p>
        </w:tc>
      </w:tr>
      <w:tr>
        <w:tc>
          <w:tcPr/>
          <w:p>
            <w:pPr>
              <w:pStyle w:val="Compact"/>
              <w:spacing w:after="40" w:before="40"/>
              <w:jc w:val="left"/>
            </w:pPr>
            <w:r>
              <w:t xml:space="preserve">-99</w:t>
            </w:r>
          </w:p>
        </w:tc>
        <w:tc>
          <w:tcPr/>
          <w:p>
            <w:pPr>
              <w:pStyle w:val="Compact"/>
              <w:spacing w:after="40" w:before="40"/>
              <w:jc w:val="left"/>
            </w:pPr>
            <w:r>
              <w:t xml:space="preserve">no date</w:t>
            </w:r>
          </w:p>
        </w:tc>
        <w:tc>
          <w:tcPr/>
          <w:p>
            <w:pPr>
              <w:pStyle w:val="Compact"/>
              <w:spacing w:after="40" w:before="40"/>
              <w:jc w:val="left"/>
            </w:pPr>
            <w:r>
              <w:t xml:space="preserve">232</w:t>
            </w:r>
          </w:p>
        </w:tc>
      </w:tr>
    </w:tbl>
    <w:p>
      <w:pPr>
        <w:pStyle w:val="BodyText"/>
      </w:pPr>
      <w:r>
        <w:rPr>
          <w:rStyle w:val="VerbatimChar"/>
        </w:rPr>
        <w:t xml:space="preserve">entry_lag_years</w:t>
      </w:r>
      <w:r>
        <w:t xml:space="preserve"> </w:t>
      </w:r>
      <w:r>
        <w:t xml:space="preserve">is the difference between</w:t>
      </w:r>
      <w:r>
        <w:t xml:space="preserve"> </w:t>
      </w:r>
      <w:r>
        <w:rPr>
          <w:rStyle w:val="VerbatimChar"/>
        </w:rPr>
        <w:t xml:space="preserve">event_year</w:t>
      </w:r>
      <w:r>
        <w:t xml:space="preserve"> </w:t>
      </w:r>
      <w:r>
        <w:t xml:space="preserve">and</w:t>
      </w:r>
      <w:r>
        <w:t xml:space="preserve"> </w:t>
      </w:r>
      <w:r>
        <w:rPr>
          <w:rStyle w:val="VerbatimChar"/>
        </w:rPr>
        <w:t xml:space="preserve">first_publication_year</w:t>
      </w:r>
      <w:r>
        <w:t xml:space="preserve">. It measures the interval between an incident occurring and its earliest appearance in the public institutional record. It does not measure how long attribution took, because the date on which an institution formed its judgement cannot be recovered from published documents; no field can record that date.</w:t>
      </w:r>
    </w:p>
    <w:p>
      <w:pPr>
        <w:pStyle w:val="BodyText"/>
      </w:pPr>
      <w:r>
        <w:t xml:space="preserve">We derive publication year by parsing the document identifier, because verified document metadata is not yet available. Five rows produce an impossible negative interval and carry</w:t>
      </w:r>
      <w:r>
        <w:t xml:space="preserve"> </w:t>
      </w:r>
      <w:r>
        <w:rPr>
          <w:rStyle w:val="VerbatimChar"/>
        </w:rPr>
        <w:t xml:space="preserve">latency_status = "excluded_negative_lag"</w:t>
      </w:r>
      <w:r>
        <w:t xml:space="preserve">.</w:t>
      </w:r>
      <w:r>
        <w:t xml:space="preserve"> </w:t>
      </w:r>
      <w:r>
        <w:rPr>
          <w:bCs/>
          <w:b/>
        </w:rPr>
        <w:t xml:space="preserve">The latency figures are provisional until we can supply verified publication dates</w:t>
      </w:r>
      <w:r>
        <w:t xml:space="preserve">, and Section 7 states this as a condition on use.</w:t>
      </w:r>
    </w:p>
    <w:p>
      <w:pPr>
        <w:pStyle w:val="BodyText"/>
      </w:pPr>
      <w:r>
        <w:rPr>
          <w:rStyle w:val="VerbatimChar"/>
        </w:rPr>
        <w:t xml:space="preserve">corroborated_independent</w:t>
      </w:r>
      <w:r>
        <w:t xml:space="preserve"> </w:t>
      </w:r>
      <w:r>
        <w:t xml:space="preserve">counts the distinct independent parent institutions that describe an incident in separate documents. It is the measure that bears on corroboration, because two institutions that co-author a single report assert something together and do not observe it separately. It holds for 30 of 3,029 incidents, which is less than 1%.</w:t>
      </w:r>
    </w:p>
    <w:p>
      <w:pPr>
        <w:pStyle w:val="BodyText"/>
      </w:pPr>
      <w:r>
        <w:rPr>
          <w:rStyle w:val="VerbatimChar"/>
        </w:rPr>
        <w:t xml:space="preserve">corroborated</w:t>
      </w:r>
      <w:r>
        <w:t xml:space="preserve"> </w:t>
      </w:r>
      <w:r>
        <w:t xml:space="preserve">additionally counts joint authorship, and holds for 61 of 3,029 incidents (2.0%). We provide it so that users who prefer the wider definition can apply it.</w:t>
      </w:r>
    </w:p>
    <w:p>
      <w:pPr>
        <w:pStyle w:val="BodyText"/>
      </w:pPr>
      <w:r>
        <w:t xml:space="preserve">Because more than 99% of incidents rest on a single institutional account, capture-recapture methods, which estimate unobserved events from the overlap between independent observers, are not available for this dataset.</w:t>
      </w:r>
    </w:p>
    <w:p>
      <w:pPr>
        <w:pStyle w:val="BodyText"/>
      </w:pPr>
      <w:r>
        <w:rPr>
          <w:rStyle w:val="VerbatimChar"/>
        </w:rPr>
        <w:t xml:space="preserve">institution_country</w:t>
      </w:r>
      <w:r>
        <w:t xml:space="preserve"> </w:t>
      </w:r>
      <w:r>
        <w:t xml:space="preserve">and</w:t>
      </w:r>
      <w:r>
        <w:t xml:space="preserve"> </w:t>
      </w:r>
      <w:r>
        <w:rPr>
          <w:rStyle w:val="VerbatimChar"/>
        </w:rPr>
        <w:t xml:space="preserve">institution_type</w:t>
      </w:r>
      <w:r>
        <w:t xml:space="preserve"> </w:t>
      </w:r>
      <w:r>
        <w:t xml:space="preserve">are properties of the source identity. We assign both once, in the institution and source identity registries (Appendices A and B), and propagate them to every row of that identity, so a row never carries a value that another row of the same identity lacks.</w:t>
      </w:r>
      <w:r>
        <w:t xml:space="preserve"> </w:t>
      </w:r>
      <w:r>
        <w:rPr>
          <w:rStyle w:val="VerbatimChar"/>
        </w:rPr>
        <w:t xml:space="preserve">institution_country</w:t>
      </w:r>
      <w:r>
        <w:t xml:space="preserve"> </w:t>
      </w:r>
      <w:r>
        <w:t xml:space="preserve">is the jurisdiction of the parent institution; joint identities whose parents sit in different jurisdictions carry Multinational, as do bodies without a single national jurisdiction. Where the registry records no jurisdiction the row is empty, which is the case for 42 of the 97 parent institutions and 35 of the 108 source identities.</w:t>
      </w:r>
      <w:r>
        <w:t xml:space="preserve"> </w:t>
      </w:r>
      <w:r>
        <w:rPr>
          <w:rStyle w:val="VerbatimChar"/>
        </w:rPr>
        <w:t xml:space="preserve">institution_type</w:t>
      </w:r>
      <w:r>
        <w:t xml:space="preserve"> </w:t>
      </w:r>
      <w:r>
        <w:t xml:space="preserve">holds one of 13 labels assigned by hand to 48 of the 108 source identities from the institution’s formal status: a national intelligence or security service, a government ministry or agency, a parliamentary body, an EU body, a NATO body, the joint EU and NATO centre, a civil-society or research organisation, a civil-society consortium, an EDMO hub, or a commercial research firm. The remaining 60 identities, holding 397 incidents, carry Unmapped, which records that we have not yet assigned a type. D4.2 collapses the 13 labels into the 6 groups listed in Appendix G for its figures by institution type, and every one of those figures reproduces from the released field through that table.</w:t>
      </w:r>
    </w:p>
    <w:p>
      <w:pPr>
        <w:pStyle w:val="BodyText"/>
      </w:pPr>
      <w:r>
        <w:t xml:space="preserve">We resolved every technique code against the master data published by the DISARM Foundation, which assigns each of 391 techniques to one of 16 tactics and each tactic to one of 4 phases. All 77 codes appearing in the corpus resolved cleanly across 12,518 technique mentions, and rows carry a mean of 4.30 codes.</w:t>
      </w:r>
    </w:p>
    <w:p>
      <w:pPr>
        <w:pStyle w:val="BodyText"/>
      </w:pPr>
      <w:r>
        <w:t xml:space="preserve">We assigned the codes from analytical labels applied during extraction, and a second pass assigning techniques directly per incident is specified and costed and remains outstanding. Until it is complete, the technique distribution indicates how institutions describe manipulation and is not a full technical coding.</w:t>
      </w:r>
    </w:p>
    <w:p>
      <w:pPr>
        <w:pStyle w:val="BodyText"/>
      </w:pPr>
      <w:r>
        <w:t xml:space="preserve">Section 3 of the deliverable classifies each recorded actor type on a disclosure axis. That mapping is a project judgement with no external standard behind it, and we publish it here so that a reader holding the released file can regenerate every figure in that section.</w:t>
      </w:r>
    </w:p>
    <w:p>
      <w:pPr>
        <w:pStyle w:val="Caption"/>
      </w:pPr>
      <w:r>
        <w:rPr>
          <w:iCs/>
          <w:i/>
        </w:rPr>
        <w:t xml:space="preserve">Table 17: The disclosure mapping.</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true"/>
        </w:trPr>
        <w:tc>
          <w:tcPr/>
          <w:p>
            <w:pPr>
              <w:pStyle w:val="Compact"/>
              <w:spacing w:after="40" w:before="40"/>
              <w:jc w:val="left"/>
            </w:pPr>
            <w:r>
              <w:rPr>
                <w:rStyle w:val="VerbatimChar"/>
              </w:rPr>
              <w:t xml:space="preserve">actor_type</w:t>
            </w:r>
          </w:p>
        </w:tc>
        <w:tc>
          <w:tcPr/>
          <w:p>
            <w:pPr>
              <w:pStyle w:val="Compact"/>
              <w:spacing w:after="40" w:before="40"/>
              <w:jc w:val="left"/>
            </w:pPr>
            <w:r>
              <w:t xml:space="preserve">Disclosure axis</w:t>
            </w:r>
          </w:p>
        </w:tc>
        <w:tc>
          <w:tcPr/>
          <w:p>
            <w:pPr>
              <w:pStyle w:val="Compact"/>
              <w:spacing w:after="40" w:before="40"/>
              <w:jc w:val="left"/>
            </w:pPr>
            <w:r>
              <w:t xml:space="preserve">Incidents</w:t>
            </w:r>
          </w:p>
        </w:tc>
      </w:tr>
      <w:tr>
        <w:tc>
          <w:tcPr/>
          <w:p>
            <w:pPr>
              <w:pStyle w:val="Compact"/>
              <w:spacing w:after="40" w:before="40"/>
              <w:jc w:val="left"/>
            </w:pPr>
            <w:r>
              <w:t xml:space="preserve">State, including officials acting in office</w:t>
            </w:r>
          </w:p>
        </w:tc>
        <w:tc>
          <w:tcPr/>
          <w:p>
            <w:pPr>
              <w:pStyle w:val="Compact"/>
              <w:spacing w:after="40" w:before="40"/>
              <w:jc w:val="left"/>
            </w:pPr>
            <w:r>
              <w:t xml:space="preserve">Openly attributable</w:t>
            </w:r>
          </w:p>
        </w:tc>
        <w:tc>
          <w:tcPr/>
          <w:p>
            <w:pPr>
              <w:pStyle w:val="Compact"/>
              <w:spacing w:after="40" w:before="40"/>
              <w:jc w:val="left"/>
            </w:pPr>
            <w:r>
              <w:t xml:space="preserve">725</w:t>
            </w:r>
          </w:p>
        </w:tc>
      </w:tr>
      <w:tr>
        <w:tc>
          <w:tcPr/>
          <w:p>
            <w:pPr>
              <w:pStyle w:val="Compact"/>
              <w:spacing w:after="40" w:before="40"/>
              <w:jc w:val="left"/>
            </w:pPr>
            <w:r>
              <w:t xml:space="preserve">State media</w:t>
            </w:r>
          </w:p>
        </w:tc>
        <w:tc>
          <w:tcPr/>
          <w:p>
            <w:pPr>
              <w:pStyle w:val="Compact"/>
              <w:spacing w:after="40" w:before="40"/>
              <w:jc w:val="left"/>
            </w:pPr>
            <w:r>
              <w:t xml:space="preserve">Openly attributable</w:t>
            </w:r>
          </w:p>
        </w:tc>
        <w:tc>
          <w:tcPr/>
          <w:p>
            <w:pPr>
              <w:pStyle w:val="Compact"/>
              <w:spacing w:after="40" w:before="40"/>
              <w:jc w:val="left"/>
            </w:pPr>
            <w:r>
              <w:t xml:space="preserve">277</w:t>
            </w:r>
          </w:p>
        </w:tc>
      </w:tr>
      <w:tr>
        <w:tc>
          <w:tcPr/>
          <w:p>
            <w:pPr>
              <w:pStyle w:val="Compact"/>
              <w:spacing w:after="40" w:before="40"/>
              <w:jc w:val="left"/>
            </w:pPr>
            <w:r>
              <w:t xml:space="preserve">Diplomatic mission</w:t>
            </w:r>
          </w:p>
        </w:tc>
        <w:tc>
          <w:tcPr/>
          <w:p>
            <w:pPr>
              <w:pStyle w:val="Compact"/>
              <w:spacing w:after="40" w:before="40"/>
              <w:jc w:val="left"/>
            </w:pPr>
            <w:r>
              <w:t xml:space="preserve">Openly attributable</w:t>
            </w:r>
          </w:p>
        </w:tc>
        <w:tc>
          <w:tcPr/>
          <w:p>
            <w:pPr>
              <w:pStyle w:val="Compact"/>
              <w:spacing w:after="40" w:before="40"/>
              <w:jc w:val="left"/>
            </w:pPr>
            <w:r>
              <w:t xml:space="preserve">69</w:t>
            </w:r>
          </w:p>
        </w:tc>
      </w:tr>
      <w:tr>
        <w:tc>
          <w:tcPr/>
          <w:p>
            <w:pPr>
              <w:pStyle w:val="Compact"/>
              <w:spacing w:after="40" w:before="40"/>
              <w:jc w:val="left"/>
            </w:pPr>
            <w:r>
              <w:t xml:space="preserve">Named operation</w:t>
            </w:r>
          </w:p>
        </w:tc>
        <w:tc>
          <w:tcPr/>
          <w:p>
            <w:pPr>
              <w:pStyle w:val="Compact"/>
              <w:spacing w:after="40" w:before="40"/>
              <w:jc w:val="left"/>
            </w:pPr>
            <w:r>
              <w:t xml:space="preserve">Concealed or artificially amplified</w:t>
            </w:r>
          </w:p>
        </w:tc>
        <w:tc>
          <w:tcPr/>
          <w:p>
            <w:pPr>
              <w:pStyle w:val="Compact"/>
              <w:spacing w:after="40" w:before="40"/>
              <w:jc w:val="left"/>
            </w:pPr>
            <w:r>
              <w:t xml:space="preserve">303</w:t>
            </w:r>
          </w:p>
        </w:tc>
      </w:tr>
      <w:tr>
        <w:tc>
          <w:tcPr/>
          <w:p>
            <w:pPr>
              <w:pStyle w:val="Compact"/>
              <w:spacing w:after="40" w:before="40"/>
              <w:jc w:val="left"/>
            </w:pPr>
            <w:r>
              <w:t xml:space="preserve">Proxy network</w:t>
            </w:r>
          </w:p>
        </w:tc>
        <w:tc>
          <w:tcPr/>
          <w:p>
            <w:pPr>
              <w:pStyle w:val="Compact"/>
              <w:spacing w:after="40" w:before="40"/>
              <w:jc w:val="left"/>
            </w:pPr>
            <w:r>
              <w:t xml:space="preserve">Concealed or artificially amplified</w:t>
            </w:r>
          </w:p>
        </w:tc>
        <w:tc>
          <w:tcPr/>
          <w:p>
            <w:pPr>
              <w:pStyle w:val="Compact"/>
              <w:spacing w:after="40" w:before="40"/>
              <w:jc w:val="left"/>
            </w:pPr>
            <w:r>
              <w:t xml:space="preserve">161</w:t>
            </w:r>
          </w:p>
        </w:tc>
      </w:tr>
      <w:tr>
        <w:tc>
          <w:tcPr/>
          <w:p>
            <w:pPr>
              <w:pStyle w:val="Compact"/>
              <w:spacing w:after="40" w:before="40"/>
              <w:jc w:val="left"/>
            </w:pPr>
            <w:r>
              <w:t xml:space="preserve">Intelligence service</w:t>
            </w:r>
          </w:p>
        </w:tc>
        <w:tc>
          <w:tcPr/>
          <w:p>
            <w:pPr>
              <w:pStyle w:val="Compact"/>
              <w:spacing w:after="40" w:before="40"/>
              <w:jc w:val="left"/>
            </w:pPr>
            <w:r>
              <w:t xml:space="preserve">Concealed or artificially amplified</w:t>
            </w:r>
          </w:p>
        </w:tc>
        <w:tc>
          <w:tcPr/>
          <w:p>
            <w:pPr>
              <w:pStyle w:val="Compact"/>
              <w:spacing w:after="40" w:before="40"/>
              <w:jc w:val="left"/>
            </w:pPr>
            <w:r>
              <w:t xml:space="preserve">65</w:t>
            </w:r>
          </w:p>
        </w:tc>
      </w:tr>
      <w:tr>
        <w:tc>
          <w:tcPr/>
          <w:p>
            <w:pPr>
              <w:pStyle w:val="Compact"/>
              <w:spacing w:after="40" w:before="40"/>
              <w:jc w:val="left"/>
            </w:pPr>
            <w:r>
              <w:t xml:space="preserve">Other</w:t>
            </w:r>
          </w:p>
        </w:tc>
        <w:tc>
          <w:tcPr/>
          <w:p>
            <w:pPr>
              <w:pStyle w:val="Compact"/>
              <w:spacing w:after="40" w:before="40"/>
              <w:jc w:val="left"/>
            </w:pPr>
            <w:r>
              <w:t xml:space="preserve">Not classified</w:t>
            </w:r>
          </w:p>
        </w:tc>
        <w:tc>
          <w:tcPr/>
          <w:p>
            <w:pPr>
              <w:pStyle w:val="Compact"/>
              <w:spacing w:after="40" w:before="40"/>
              <w:jc w:val="left"/>
            </w:pPr>
            <w:r>
              <w:t xml:space="preserve">1,003</w:t>
            </w:r>
          </w:p>
        </w:tc>
      </w:tr>
    </w:tbl>
    <w:p>
      <w:pPr>
        <w:pStyle w:val="BodyText"/>
      </w:pPr>
      <w:r>
        <w:t xml:space="preserve">Applied to the 1,600 incidents carrying a specific actor type, the mapping gives 1,071 openly attributable (66.9%) against 529 concealed (33.1%). Combined with</w:t>
      </w:r>
      <w:r>
        <w:t xml:space="preserve"> </w:t>
      </w:r>
      <w:r>
        <w:rPr>
          <w:rStyle w:val="VerbatimChar"/>
        </w:rPr>
        <w:t xml:space="preserve">evidence_of_coordination</w:t>
      </w:r>
      <w:r>
        <w:t xml:space="preserve"> </w:t>
      </w:r>
      <w:r>
        <w:t xml:space="preserve">read as absent where it is Weak, Unknown or empty, it gives 518 incidents (17.1% of 3,029) attributed to an openly identifiable actor without strong reported coordination evidence, of which 332 carry</w:t>
      </w:r>
      <w:r>
        <w:t xml:space="preserve"> </w:t>
      </w:r>
      <w:r>
        <w:rPr>
          <w:rStyle w:val="VerbatimChar"/>
        </w:rPr>
        <w:t xml:space="preserve">source_confidence = "High"</w:t>
      </w:r>
      <w:r>
        <w:t xml:space="preserve">.</w:t>
      </w:r>
    </w:p>
    <w:p>
      <w:pPr>
        <w:pStyle w:val="BodyText"/>
      </w:pPr>
      <w:r>
        <w:t xml:space="preserve">We code the actor by category. Extraction preserved 1,272 distinct actor strings, of which 783 appear exactly once, and a single mention gives no internal evidence for deciding whether two spellings denote the same actor. Merging that tail by string similarity failed in the data audit of release v2.0, held with the repository record, so we abandoned name resolution.</w:t>
      </w:r>
    </w:p>
    <w:p>
      <w:pPr>
        <w:pStyle w:val="BodyText"/>
      </w:pPr>
      <w:r>
        <w:t xml:space="preserve">ACLED and UCDP distinguish the type of actor and maintain a curated registry of named actors; this release distinguishes the type and holds no registry. For this record the analytical weight falls on the line between state and non-state actors, and the line between a presidency, a foreign ministry and a state broadcaster carries less. Coding by category also removes every personal name from the structured fields of the released file.</w:t>
      </w:r>
    </w:p>
    <w:p>
      <w:pPr>
        <w:pStyle w:val="BodyText"/>
      </w:pPr>
      <w:r>
        <w:t xml:space="preserve">We assign</w:t>
      </w:r>
      <w:r>
        <w:t xml:space="preserve"> </w:t>
      </w:r>
      <w:r>
        <w:rPr>
          <w:rStyle w:val="VerbatimChar"/>
        </w:rPr>
        <w:t xml:space="preserve">actor_named</w:t>
      </w:r>
      <w:r>
        <w:t xml:space="preserve"> </w:t>
      </w:r>
      <w:r>
        <w:t xml:space="preserve">in this order, and the first rule that fires decides the value.</w:t>
      </w:r>
    </w:p>
    <w:p>
      <w:pPr>
        <w:pStyle w:val="Caption"/>
      </w:pPr>
      <w:r>
        <w:rPr>
          <w:iCs/>
          <w:i/>
        </w:rPr>
        <w:t xml:space="preserve">Table 18: The rule that assigns each actor category.</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true"/>
        </w:trPr>
        <w:tc>
          <w:tcPr/>
          <w:p>
            <w:pPr>
              <w:pStyle w:val="Compact"/>
              <w:spacing w:after="40" w:before="40"/>
              <w:jc w:val="left"/>
            </w:pPr>
            <w:r>
              <w:t xml:space="preserve">Order</w:t>
            </w:r>
          </w:p>
        </w:tc>
        <w:tc>
          <w:tcPr/>
          <w:p>
            <w:pPr>
              <w:pStyle w:val="Compact"/>
              <w:spacing w:after="40" w:before="40"/>
              <w:jc w:val="left"/>
            </w:pPr>
            <w:r>
              <w:t xml:space="preserve">Rule</w:t>
            </w:r>
          </w:p>
        </w:tc>
        <w:tc>
          <w:tcPr/>
          <w:p>
            <w:pPr>
              <w:pStyle w:val="Compact"/>
              <w:spacing w:after="40" w:before="40"/>
              <w:jc w:val="left"/>
            </w:pPr>
            <w:r>
              <w:t xml:space="preserve">Value</w:t>
            </w:r>
          </w:p>
        </w:tc>
      </w:tr>
      <w:tr>
        <w:tc>
          <w:tcPr/>
          <w:p>
            <w:pPr>
              <w:pStyle w:val="Compact"/>
              <w:spacing w:after="40" w:before="40"/>
              <w:jc w:val="left"/>
            </w:pPr>
            <w:r>
              <w:t xml:space="preserve">1</w:t>
            </w:r>
          </w:p>
        </w:tc>
        <w:tc>
          <w:tcPr/>
          <w:p>
            <w:pPr>
              <w:pStyle w:val="Compact"/>
              <w:spacing w:after="40" w:before="40"/>
              <w:jc w:val="left"/>
            </w:pPr>
            <w:r>
              <w:t xml:space="preserve">The source recorded no actor.</w:t>
            </w:r>
          </w:p>
        </w:tc>
        <w:tc>
          <w:tcPr/>
          <w:p>
            <w:pPr>
              <w:pStyle w:val="Compact"/>
              <w:spacing w:after="40" w:before="40"/>
              <w:jc w:val="left"/>
            </w:pPr>
            <w:r>
              <w:rPr>
                <w:rStyle w:val="VerbatimChar"/>
              </w:rPr>
              <w:t xml:space="preserve">unspecified</w:t>
            </w:r>
          </w:p>
        </w:tc>
      </w:tr>
      <w:tr>
        <w:tc>
          <w:tcPr/>
          <w:p>
            <w:pPr>
              <w:pStyle w:val="Compact"/>
              <w:spacing w:after="40" w:before="40"/>
              <w:jc w:val="left"/>
            </w:pPr>
            <w:r>
              <w:t xml:space="preserve">2</w:t>
            </w:r>
          </w:p>
        </w:tc>
        <w:tc>
          <w:tcPr/>
          <w:p>
            <w:pPr>
              <w:pStyle w:val="Compact"/>
              <w:spacing w:after="40" w:before="40"/>
              <w:jc w:val="left"/>
            </w:pPr>
            <w:r>
              <w:rPr>
                <w:rStyle w:val="VerbatimChar"/>
              </w:rPr>
              <w:t xml:space="preserve">actor_type</w:t>
            </w:r>
            <w:r>
              <w:t xml:space="preserve"> </w:t>
            </w:r>
            <w:r>
              <w:t xml:space="preserve">is State, State media, Diplomatic mission, Intelligence service or Individual.</w:t>
            </w:r>
          </w:p>
        </w:tc>
        <w:tc>
          <w:tcPr/>
          <w:p>
            <w:pPr>
              <w:pStyle w:val="Compact"/>
              <w:spacing w:after="40" w:before="40"/>
              <w:jc w:val="left"/>
            </w:pPr>
            <w:r>
              <w:rPr>
                <w:rStyle w:val="VerbatimChar"/>
              </w:rPr>
              <w:t xml:space="preserve">state_actor</w:t>
            </w:r>
          </w:p>
        </w:tc>
      </w:tr>
      <w:tr>
        <w:tc>
          <w:tcPr/>
          <w:p>
            <w:pPr>
              <w:pStyle w:val="Compact"/>
              <w:spacing w:after="40" w:before="40"/>
              <w:jc w:val="left"/>
            </w:pPr>
            <w:r>
              <w:t xml:space="preserve">3</w:t>
            </w:r>
          </w:p>
        </w:tc>
        <w:tc>
          <w:tcPr/>
          <w:p>
            <w:pPr>
              <w:pStyle w:val="Compact"/>
              <w:spacing w:after="40" w:before="40"/>
              <w:jc w:val="left"/>
            </w:pPr>
            <w:r>
              <w:rPr>
                <w:rStyle w:val="VerbatimChar"/>
              </w:rPr>
              <w:t xml:space="preserve">actor_type</w:t>
            </w:r>
            <w:r>
              <w:t xml:space="preserve"> </w:t>
            </w:r>
            <w:r>
              <w:t xml:space="preserve">is Proxy network or Named operation.</w:t>
            </w:r>
          </w:p>
        </w:tc>
        <w:tc>
          <w:tcPr/>
          <w:p>
            <w:pPr>
              <w:pStyle w:val="Compact"/>
              <w:spacing w:after="40" w:before="40"/>
              <w:jc w:val="left"/>
            </w:pPr>
            <w:r>
              <w:rPr>
                <w:rStyle w:val="VerbatimChar"/>
              </w:rPr>
              <w:t xml:space="preserve">state_linked_proxy</w:t>
            </w:r>
          </w:p>
        </w:tc>
      </w:tr>
      <w:tr>
        <w:tc>
          <w:tcPr/>
          <w:p>
            <w:pPr>
              <w:pStyle w:val="Compact"/>
              <w:spacing w:after="40" w:before="40"/>
              <w:jc w:val="left"/>
            </w:pPr>
            <w:r>
              <w:t xml:space="preserve">4</w:t>
            </w:r>
          </w:p>
        </w:tc>
        <w:tc>
          <w:tcPr/>
          <w:p>
            <w:pPr>
              <w:pStyle w:val="Compact"/>
              <w:spacing w:after="40" w:before="40"/>
              <w:jc w:val="left"/>
            </w:pPr>
            <w:r>
              <w:t xml:space="preserve">The actor string names a person and the source attributes a state.</w:t>
            </w:r>
          </w:p>
        </w:tc>
        <w:tc>
          <w:tcPr/>
          <w:p>
            <w:pPr>
              <w:pStyle w:val="Compact"/>
              <w:spacing w:after="40" w:before="40"/>
              <w:jc w:val="left"/>
            </w:pPr>
            <w:r>
              <w:rPr>
                <w:rStyle w:val="VerbatimChar"/>
              </w:rPr>
              <w:t xml:space="preserve">state_actor</w:t>
            </w:r>
          </w:p>
        </w:tc>
      </w:tr>
      <w:tr>
        <w:tc>
          <w:tcPr/>
          <w:p>
            <w:pPr>
              <w:pStyle w:val="Compact"/>
              <w:spacing w:after="40" w:before="40"/>
              <w:jc w:val="left"/>
            </w:pPr>
            <w:r>
              <w:t xml:space="preserve">5</w:t>
            </w:r>
          </w:p>
        </w:tc>
        <w:tc>
          <w:tcPr/>
          <w:p>
            <w:pPr>
              <w:pStyle w:val="Compact"/>
              <w:spacing w:after="40" w:before="40"/>
              <w:jc w:val="left"/>
            </w:pPr>
            <w:r>
              <w:t xml:space="preserve">The string carries a hacking marker, such as an APT designation or a named intrusion set.</w:t>
            </w:r>
          </w:p>
        </w:tc>
        <w:tc>
          <w:tcPr/>
          <w:p>
            <w:pPr>
              <w:pStyle w:val="Compact"/>
              <w:spacing w:after="40" w:before="40"/>
              <w:jc w:val="left"/>
            </w:pPr>
            <w:r>
              <w:rPr>
                <w:rStyle w:val="VerbatimChar"/>
              </w:rPr>
              <w:t xml:space="preserve">hacker_collective</w:t>
            </w:r>
          </w:p>
        </w:tc>
      </w:tr>
      <w:tr>
        <w:tc>
          <w:tcPr/>
          <w:p>
            <w:pPr>
              <w:pStyle w:val="Compact"/>
              <w:spacing w:after="40" w:before="40"/>
              <w:jc w:val="left"/>
            </w:pPr>
            <w:r>
              <w:t xml:space="preserve">6</w:t>
            </w:r>
          </w:p>
        </w:tc>
        <w:tc>
          <w:tcPr/>
          <w:p>
            <w:pPr>
              <w:pStyle w:val="Compact"/>
              <w:spacing w:after="40" w:before="40"/>
              <w:jc w:val="left"/>
            </w:pPr>
            <w:r>
              <w:t xml:space="preserve">The string names a known proxy, troll farm or inauthentic network.</w:t>
            </w:r>
          </w:p>
        </w:tc>
        <w:tc>
          <w:tcPr/>
          <w:p>
            <w:pPr>
              <w:pStyle w:val="Compact"/>
              <w:spacing w:after="40" w:before="40"/>
              <w:jc w:val="left"/>
            </w:pPr>
            <w:r>
              <w:rPr>
                <w:rStyle w:val="VerbatimChar"/>
              </w:rPr>
              <w:t xml:space="preserve">state_linked_proxy</w:t>
            </w:r>
          </w:p>
        </w:tc>
      </w:tr>
      <w:tr>
        <w:tc>
          <w:tcPr/>
          <w:p>
            <w:pPr>
              <w:pStyle w:val="Compact"/>
              <w:spacing w:after="40" w:before="40"/>
              <w:jc w:val="left"/>
            </w:pPr>
            <w:r>
              <w:t xml:space="preserve">7</w:t>
            </w:r>
          </w:p>
        </w:tc>
        <w:tc>
          <w:tcPr/>
          <w:p>
            <w:pPr>
              <w:pStyle w:val="Compact"/>
              <w:spacing w:after="40" w:before="40"/>
              <w:jc w:val="left"/>
            </w:pPr>
            <w:r>
              <w:t xml:space="preserve">The string carries a company marker and no state-organ marker.</w:t>
            </w:r>
          </w:p>
        </w:tc>
        <w:tc>
          <w:tcPr/>
          <w:p>
            <w:pPr>
              <w:pStyle w:val="Compact"/>
              <w:spacing w:after="40" w:before="40"/>
              <w:jc w:val="left"/>
            </w:pPr>
            <w:r>
              <w:rPr>
                <w:rStyle w:val="VerbatimChar"/>
              </w:rPr>
              <w:t xml:space="preserve">commercial_firm</w:t>
            </w:r>
          </w:p>
        </w:tc>
      </w:tr>
      <w:tr>
        <w:tc>
          <w:tcPr/>
          <w:p>
            <w:pPr>
              <w:pStyle w:val="Compact"/>
              <w:spacing w:after="40" w:before="40"/>
              <w:jc w:val="left"/>
            </w:pPr>
            <w:r>
              <w:t xml:space="preserve">8</w:t>
            </w:r>
          </w:p>
        </w:tc>
        <w:tc>
          <w:tcPr/>
          <w:p>
            <w:pPr>
              <w:pStyle w:val="Compact"/>
              <w:spacing w:after="40" w:before="40"/>
              <w:jc w:val="left"/>
            </w:pPr>
            <w:r>
              <w:t xml:space="preserve">The string names a party, militia or movement and no state organ.</w:t>
            </w:r>
          </w:p>
        </w:tc>
        <w:tc>
          <w:tcPr/>
          <w:p>
            <w:pPr>
              <w:pStyle w:val="Compact"/>
              <w:spacing w:after="40" w:before="40"/>
              <w:jc w:val="left"/>
            </w:pPr>
            <w:r>
              <w:rPr>
                <w:rStyle w:val="VerbatimChar"/>
              </w:rPr>
              <w:t xml:space="preserve">political_movement</w:t>
            </w:r>
          </w:p>
        </w:tc>
      </w:tr>
      <w:tr>
        <w:tc>
          <w:tcPr/>
          <w:p>
            <w:pPr>
              <w:pStyle w:val="Compact"/>
              <w:spacing w:after="40" w:before="40"/>
              <w:jc w:val="left"/>
            </w:pPr>
            <w:r>
              <w:t xml:space="preserve">9</w:t>
            </w:r>
          </w:p>
        </w:tc>
        <w:tc>
          <w:tcPr/>
          <w:p>
            <w:pPr>
              <w:pStyle w:val="Compact"/>
              <w:spacing w:after="40" w:before="40"/>
              <w:jc w:val="left"/>
            </w:pPr>
            <w:r>
              <w:t xml:space="preserve">The string names a foundation, institute or association and no state organ.</w:t>
            </w:r>
          </w:p>
        </w:tc>
        <w:tc>
          <w:tcPr/>
          <w:p>
            <w:pPr>
              <w:pStyle w:val="Compact"/>
              <w:spacing w:after="40" w:before="40"/>
              <w:jc w:val="left"/>
            </w:pPr>
            <w:r>
              <w:rPr>
                <w:rStyle w:val="VerbatimChar"/>
              </w:rPr>
              <w:t xml:space="preserve">civil_society_organisation</w:t>
            </w:r>
          </w:p>
        </w:tc>
      </w:tr>
      <w:tr>
        <w:tc>
          <w:tcPr/>
          <w:p>
            <w:pPr>
              <w:pStyle w:val="Compact"/>
              <w:spacing w:after="40" w:before="40"/>
              <w:jc w:val="left"/>
            </w:pPr>
            <w:r>
              <w:t xml:space="preserve">10</w:t>
            </w:r>
          </w:p>
        </w:tc>
        <w:tc>
          <w:tcPr/>
          <w:p>
            <w:pPr>
              <w:pStyle w:val="Compact"/>
              <w:spacing w:after="40" w:before="40"/>
              <w:jc w:val="left"/>
            </w:pPr>
            <w:r>
              <w:t xml:space="preserve">The string names a state organ, a state broadcaster or a bare demonym.</w:t>
            </w:r>
          </w:p>
        </w:tc>
        <w:tc>
          <w:tcPr/>
          <w:p>
            <w:pPr>
              <w:pStyle w:val="Compact"/>
              <w:spacing w:after="40" w:before="40"/>
              <w:jc w:val="left"/>
            </w:pPr>
            <w:r>
              <w:rPr>
                <w:rStyle w:val="VerbatimChar"/>
              </w:rPr>
              <w:t xml:space="preserve">state_actor</w:t>
            </w:r>
          </w:p>
        </w:tc>
      </w:tr>
      <w:tr>
        <w:tc>
          <w:tcPr/>
          <w:p>
            <w:pPr>
              <w:pStyle w:val="Compact"/>
              <w:spacing w:after="40" w:before="40"/>
              <w:jc w:val="left"/>
            </w:pPr>
            <w:r>
              <w:t xml:space="preserve">11</w:t>
            </w:r>
          </w:p>
        </w:tc>
        <w:tc>
          <w:tcPr/>
          <w:p>
            <w:pPr>
              <w:pStyle w:val="Compact"/>
              <w:spacing w:after="40" w:before="40"/>
              <w:jc w:val="left"/>
            </w:pPr>
            <w:r>
              <w:t xml:space="preserve">The string names a media outlet.</w:t>
            </w:r>
          </w:p>
        </w:tc>
        <w:tc>
          <w:tcPr/>
          <w:p>
            <w:pPr>
              <w:pStyle w:val="Compact"/>
              <w:spacing w:after="40" w:before="40"/>
              <w:jc w:val="left"/>
            </w:pPr>
            <w:r>
              <w:rPr>
                <w:rStyle w:val="VerbatimChar"/>
              </w:rPr>
              <w:t xml:space="preserve">media_outlet</w:t>
            </w:r>
          </w:p>
        </w:tc>
      </w:tr>
      <w:tr>
        <w:tc>
          <w:tcPr/>
          <w:p>
            <w:pPr>
              <w:pStyle w:val="Compact"/>
              <w:spacing w:after="40" w:before="40"/>
              <w:jc w:val="left"/>
            </w:pPr>
            <w:r>
              <w:t xml:space="preserve">12</w:t>
            </w:r>
          </w:p>
        </w:tc>
        <w:tc>
          <w:tcPr/>
          <w:p>
            <w:pPr>
              <w:pStyle w:val="Compact"/>
              <w:spacing w:after="40" w:before="40"/>
              <w:jc w:val="left"/>
            </w:pPr>
            <w:r>
              <w:t xml:space="preserve">The string names a person and the source attributes no state.</w:t>
            </w:r>
          </w:p>
        </w:tc>
        <w:tc>
          <w:tcPr/>
          <w:p>
            <w:pPr>
              <w:pStyle w:val="Compact"/>
              <w:spacing w:after="40" w:before="40"/>
              <w:jc w:val="left"/>
            </w:pPr>
            <w:r>
              <w:rPr>
                <w:rStyle w:val="VerbatimChar"/>
              </w:rPr>
              <w:t xml:space="preserve">state_actor</w:t>
            </w:r>
          </w:p>
        </w:tc>
      </w:tr>
      <w:tr>
        <w:tc>
          <w:tcPr/>
          <w:p>
            <w:pPr>
              <w:pStyle w:val="Compact"/>
              <w:spacing w:after="40" w:before="40"/>
              <w:jc w:val="left"/>
            </w:pPr>
            <w:r>
              <w:t xml:space="preserve">13</w:t>
            </w:r>
          </w:p>
        </w:tc>
        <w:tc>
          <w:tcPr/>
          <w:p>
            <w:pPr>
              <w:pStyle w:val="Compact"/>
              <w:spacing w:after="40" w:before="40"/>
              <w:jc w:val="left"/>
            </w:pPr>
            <w:r>
              <w:t xml:space="preserve">None of the above.</w:t>
            </w:r>
          </w:p>
        </w:tc>
        <w:tc>
          <w:tcPr/>
          <w:p>
            <w:pPr>
              <w:pStyle w:val="Compact"/>
              <w:spacing w:after="40" w:before="40"/>
              <w:jc w:val="left"/>
            </w:pPr>
            <w:r>
              <w:rPr>
                <w:rStyle w:val="VerbatimChar"/>
              </w:rPr>
              <w:t xml:space="preserve">non_state_other</w:t>
            </w:r>
          </w:p>
        </w:tc>
      </w:tr>
    </w:tbl>
    <w:p>
      <w:pPr>
        <w:pStyle w:val="BodyText"/>
      </w:pPr>
      <w:r>
        <w:t xml:space="preserve">Rules 4 and 12 rest on a judgement. Every individual named as an actor in this corpus is a head of state, a minister, a legislator, a diplomat or a ministry spokesperson, and each was named for something said or done in office, so we code them as state actors. An analyst who treats a named official as speaking personally will obtain a different split, and Section 6 of D4.2 records the same caveat.</w:t>
      </w:r>
    </w:p>
    <w:p>
      <w:pPr>
        <w:pStyle w:val="BodyText"/>
      </w:pPr>
      <w:r>
        <w:t xml:space="preserve">Over the 3,029 incidents the coding gives 1,685 state actors, 512 state-linked proxies, 226 other non-state actors, 62 hacker collectives, 58 political movements, 23 civil-society organisations, 22 media outlets, 15 commercial firms and 426 incidents with no characterised actor. Of the 2,603 incidents carrying a characterised actor, 1,685 (64.7%) are state actors and 918 (35.3%) are not.</w:t>
      </w:r>
    </w:p>
    <w:p>
      <w:pPr>
        <w:pStyle w:val="BodyText"/>
      </w:pPr>
      <w:r>
        <w:t xml:space="preserve">Two fields become redundant under this coding and release v2.4 retires them:</w:t>
      </w:r>
      <w:r>
        <w:t xml:space="preserve"> </w:t>
      </w:r>
      <w:r>
        <w:rPr>
          <w:rStyle w:val="VerbatimChar"/>
        </w:rPr>
        <w:t xml:space="preserve">actor_canonical</w:t>
      </w:r>
      <w:r>
        <w:t xml:space="preserve"> </w:t>
      </w:r>
      <w:r>
        <w:t xml:space="preserve">and</w:t>
      </w:r>
      <w:r>
        <w:t xml:space="preserve"> </w:t>
      </w:r>
      <w:r>
        <w:rPr>
          <w:rStyle w:val="VerbatimChar"/>
        </w:rPr>
        <w:t xml:space="preserve">actor_resolution_status</w:t>
      </w:r>
      <w:r>
        <w:t xml:space="preserve">. An analyst can compare state with non-state actors and can distinguish types of non-state actor, and cannot count incidents per named actor entity. Section 10 of D4.2 records a curated actor registry as further work.</w:t>
      </w:r>
    </w:p>
    <w:p>
      <w:pPr>
        <w:pStyle w:val="BodyText"/>
      </w:pPr>
      <w:r>
        <w:rPr>
          <w:rStyle w:val="VerbatimChar"/>
        </w:rPr>
        <w:t xml:space="preserve">source_confidence</w:t>
      </w:r>
      <w:r>
        <w:t xml:space="preserve"> </w:t>
      </w:r>
      <w:r>
        <w:t xml:space="preserve">records what the institution said about its own certainty, and</w:t>
      </w:r>
      <w:r>
        <w:t xml:space="preserve"> </w:t>
      </w:r>
      <w:r>
        <w:rPr>
          <w:rStyle w:val="VerbatimChar"/>
        </w:rPr>
        <w:t xml:space="preserve">evidence_of_coordination</w:t>
      </w:r>
      <w:r>
        <w:t xml:space="preserve"> </w:t>
      </w:r>
      <w:r>
        <w:t xml:space="preserve">records what the same document disclosed. We record the two independently, and they do not track one another: institutions frequently make attributions at high confidence while reporting weak coordination evidence, and 1,133 of 3,029 incidents (37.4%) carry weak coordination evidence (724), an explicit</w:t>
      </w:r>
      <w:r>
        <w:t xml:space="preserve"> </w:t>
      </w:r>
      <w:r>
        <w:rPr>
          <w:rStyle w:val="VerbatimChar"/>
        </w:rPr>
        <w:t xml:space="preserve">None recorded</w:t>
      </w:r>
      <w:r>
        <w:t xml:space="preserve"> </w:t>
      </w:r>
      <w:r>
        <w:t xml:space="preserve">(345), Unknown (39) or an unpopulated field (25). A confidence statement therefore does not indicate evidentiary strength.</w:t>
      </w:r>
    </w:p>
    <w:bookmarkEnd w:id="29"/>
    <w:bookmarkStart w:id="30" w:name="Xd6e2a28b540f60d683cac247f80283003c60b1c"/>
    <w:p>
      <w:pPr>
        <w:pStyle w:val="Heading1"/>
      </w:pPr>
      <w:r>
        <w:rPr>
          <w:bCs/>
          <w:b/>
        </w:rPr>
        <w:t xml:space="preserve">7. Limitations</w:t>
      </w:r>
    </w:p>
    <w:p>
      <w:pPr>
        <w:pStyle w:val="FirstParagraph"/>
      </w:pPr>
      <w:r>
        <w:t xml:space="preserve">The dataset inherits institutional error. Where an institution attributed wrongly, the dataset reproduces the error faithfully and contains no field that would reveal it.</w:t>
      </w:r>
    </w:p>
    <w:p>
      <w:pPr>
        <w:pStyle w:val="BodyText"/>
      </w:pPr>
      <w:r>
        <w:t xml:space="preserve">Coverage is purposive and shaped by publication. No inclusion probability can be assigned, institutions publishing only as web pages are under-represented, and material in languages other than English is under-retrieved.</w:t>
      </w:r>
    </w:p>
    <w:p>
      <w:pPr>
        <w:pStyle w:val="BodyText"/>
      </w:pPr>
      <w:r>
        <w:t xml:space="preserve">Incident boundaries depend on the reader. Two independent readings of the same passages agreed on which incidents they contained in 23 of 79 cases, so counts are more fragile than attributes.</w:t>
      </w:r>
    </w:p>
    <w:p>
      <w:pPr>
        <w:pStyle w:val="BodyText"/>
      </w:pPr>
      <w:r>
        <w:t xml:space="preserve">Validation is preliminary, because the 60-row assessment awaits human ratification, and technique coding derives from analytical labels until the second DISARM pass is complete. The model’s own classifications remain in the file under the</w:t>
      </w:r>
      <w:r>
        <w:t xml:space="preserve"> </w:t>
      </w:r>
      <w:r>
        <w:rPr>
          <w:rStyle w:val="VerbatimChar"/>
        </w:rPr>
        <w:t xml:space="preserve">model_</w:t>
      </w:r>
      <w:r>
        <w:t xml:space="preserve"> </w:t>
      </w:r>
      <w:r>
        <w:t xml:space="preserve">prefix and are not data.</w:t>
      </w:r>
    </w:p>
    <w:p>
      <w:pPr>
        <w:pStyle w:val="BodyText"/>
      </w:pPr>
      <w:r>
        <w:t xml:space="preserve">The dataset contains non-European targets, which enter because European and allied institutions wrote about them; an analysis of the European information space should filter them out.</w:t>
      </w:r>
    </w:p>
    <w:p>
      <w:pPr>
        <w:pStyle w:val="BodyText"/>
      </w:pPr>
      <w:r>
        <w:t xml:space="preserve">Temporal comparability is limited. Several of the largest contributing institutions did not exist at the start of the series, so comparisons across the full period compare different observing systems as well as different years.</w:t>
      </w:r>
    </w:p>
    <w:p>
      <w:pPr>
        <w:pStyle w:val="BodyText"/>
      </w:pPr>
      <w:r>
        <w:t xml:space="preserve">The structured fields name no individual, with one exception: the citation fields record authorship as the source published it, so</w:t>
      </w:r>
      <w:r>
        <w:t xml:space="preserve"> </w:t>
      </w:r>
      <w:r>
        <w:rPr>
          <w:rStyle w:val="VerbatimChar"/>
        </w:rPr>
        <w:t xml:space="preserve">cited_sources</w:t>
      </w:r>
      <w:r>
        <w:t xml:space="preserve"> </w:t>
      </w:r>
      <w:r>
        <w:t xml:space="preserve">and the attributing-entity fields carry personal names where the source document does. The attributing-entity fields record the entity that made the attribution as the source names it, which in some rows is an office-holder speaking for the institution, such as a minister, an agency head or a spokesperson. The consortium agreed at its Istanbul General Assembly that office-holders named in that capacity remain, because the attribution is an act of the office and the source document already carries the name. Release v2.4 codes the actor by category, as Section 6 sets out, which removed every personal name from</w:t>
      </w:r>
      <w:r>
        <w:t xml:space="preserve"> </w:t>
      </w:r>
      <w:r>
        <w:rPr>
          <w:rStyle w:val="VerbatimChar"/>
        </w:rPr>
        <w:t xml:space="preserve">actor_named</w:t>
      </w:r>
      <w:r>
        <w:t xml:space="preserve"> </w:t>
      </w:r>
      <w:r>
        <w:t xml:space="preserve">and retired</w:t>
      </w:r>
      <w:r>
        <w:t xml:space="preserve"> </w:t>
      </w:r>
      <w:r>
        <w:rPr>
          <w:rStyle w:val="VerbatimChar"/>
        </w:rPr>
        <w:t xml:space="preserve">actor_canonical</w:t>
      </w:r>
      <w:r>
        <w:t xml:space="preserve"> </w:t>
      </w:r>
      <w:r>
        <w:t xml:space="preserve">and</w:t>
      </w:r>
      <w:r>
        <w:t xml:space="preserve"> </w:t>
      </w:r>
      <w:r>
        <w:rPr>
          <w:rStyle w:val="VerbatimChar"/>
        </w:rPr>
        <w:t xml:space="preserve">actor_resolution_status</w:t>
      </w:r>
      <w:r>
        <w:t xml:space="preserve">. Names do remain in the 4 free-text fields,</w:t>
      </w:r>
      <w:r>
        <w:t xml:space="preserve"> </w:t>
      </w:r>
      <w:r>
        <w:rPr>
          <w:rStyle w:val="VerbatimChar"/>
        </w:rPr>
        <w:t xml:space="preserve">event_title</w:t>
      </w:r>
      <w:r>
        <w:t xml:space="preserve">,</w:t>
      </w:r>
      <w:r>
        <w:t xml:space="preserve"> </w:t>
      </w:r>
      <w:r>
        <w:rPr>
          <w:rStyle w:val="VerbatimChar"/>
        </w:rPr>
        <w:t xml:space="preserve">event_description</w:t>
      </w:r>
      <w:r>
        <w:t xml:space="preserve">,</w:t>
      </w:r>
      <w:r>
        <w:t xml:space="preserve"> </w:t>
      </w:r>
      <w:r>
        <w:rPr>
          <w:rStyle w:val="VerbatimChar"/>
        </w:rPr>
        <w:t xml:space="preserve">supporting_quote</w:t>
      </w:r>
      <w:r>
        <w:t xml:space="preserve"> </w:t>
      </w:r>
      <w:r>
        <w:t xml:space="preserve">and</w:t>
      </w:r>
      <w:r>
        <w:t xml:space="preserve"> </w:t>
      </w:r>
      <w:r>
        <w:rPr>
          <w:rStyle w:val="VerbatimChar"/>
        </w:rPr>
        <w:t xml:space="preserve">reasoning_note</w:t>
      </w:r>
      <w:r>
        <w:t xml:space="preserve">. Only</w:t>
      </w:r>
      <w:r>
        <w:t xml:space="preserve"> </w:t>
      </w:r>
      <w:r>
        <w:rPr>
          <w:rStyle w:val="VerbatimChar"/>
        </w:rPr>
        <w:t xml:space="preserve">supporting_quote</w:t>
      </w:r>
      <w:r>
        <w:t xml:space="preserve"> </w:t>
      </w:r>
      <w:r>
        <w:t xml:space="preserve">is verbatim source text; the extraction pipeline writes the other 3 from the source material. We keep all 4 because the quotation is the audit trail. Every name in them originates in a document that is already public, and we added none that the sources do not contain. The correction route at Section 9 remains open to any named person or institution.</w:t>
      </w:r>
    </w:p>
    <w:p>
      <w:pPr>
        <w:pStyle w:val="BodyText"/>
      </w:pPr>
      <w:r>
        <w:t xml:space="preserve">Five items of the correction register remain open, and each is a condition on use. The latency figures are provisional, because we parse publication year from the document identifier while verified document metadata is unavailable, and 5 negative intervals are quarantined until that metadata exists (B-02). The public destinations for the dataset await the repository record and a dataset identifier, so every link in this package resolves inside the package and nowhere else yet (B-11). The five-record source verification that an internal reviewer requested still needs a route to the source documents, which the document register identifies but does not link (M-08, m-02). The portal’s interactive charts are mouse-driven and not keyboard navigable (m-03). The corrections sheet of the registries workbook carries all 47 items with their disposition (Appendix E).</w:t>
      </w:r>
    </w:p>
    <w:bookmarkEnd w:id="30"/>
    <w:bookmarkStart w:id="31" w:name="X9ec2c80a2b05e773a947396b250efc5b58672ec"/>
    <w:p>
      <w:pPr>
        <w:pStyle w:val="Heading1"/>
      </w:pPr>
      <w:r>
        <w:rPr>
          <w:bCs/>
          <w:b/>
        </w:rPr>
        <w:t xml:space="preserve">8. Reproducing the published figures</w:t>
      </w:r>
    </w:p>
    <w:p>
      <w:pPr>
        <w:pStyle w:val="FirstParagraph"/>
      </w:pPr>
      <w:r>
        <w:t xml:space="preserve">The principal quantities in D4.2 reproduce from this single file, and we list them so that a user can confirm that a working environment reads the file correctly before relying on it. Figure 8 of the report additionally requires the population denominators in Appendix H; the script make_figures.py in the supporting materials regenerates the 5 figures revised after the internal review (Figures 3, 5, 9, 10 and 13 of the report), and the remaining figures are drawn from the released fields by the procedures the report describes.</w:t>
      </w:r>
    </w:p>
    <w:p>
      <w:pPr>
        <w:pStyle w:val="BodyText"/>
      </w:pPr>
      <w:r>
        <w:t xml:space="preserve">In the third column,</w:t>
      </w:r>
      <w:r>
        <w:t xml:space="preserve"> </w:t>
      </w:r>
      <w:r>
        <w:rPr>
          <w:rStyle w:val="VerbatimChar"/>
        </w:rPr>
        <w:t xml:space="preserve">d</w:t>
      </w:r>
      <w:r>
        <w:t xml:space="preserve"> </w:t>
      </w:r>
      <w:r>
        <w:t xml:space="preserve">is the whole file read with</w:t>
      </w:r>
      <w:r>
        <w:t xml:space="preserve"> </w:t>
      </w:r>
      <w:r>
        <w:rPr>
          <w:rStyle w:val="VerbatimChar"/>
        </w:rPr>
        <w:t xml:space="preserve">pd.read_csv(path, dtype=str, keep_default_na=False)</w:t>
      </w:r>
      <w:r>
        <w:t xml:space="preserve">,</w:t>
      </w:r>
      <w:r>
        <w:t xml:space="preserve"> </w:t>
      </w:r>
      <w:r>
        <w:rPr>
          <w:rStyle w:val="VerbatimChar"/>
        </w:rPr>
        <w:t xml:space="preserve">u</w:t>
      </w:r>
      <w:r>
        <w:t xml:space="preserve"> </w:t>
      </w:r>
      <w:r>
        <w:t xml:space="preserve">is</w:t>
      </w:r>
      <w:r>
        <w:t xml:space="preserve"> </w:t>
      </w:r>
      <w:r>
        <w:rPr>
          <w:rStyle w:val="VerbatimChar"/>
        </w:rPr>
        <w:t xml:space="preserve">d[d.is_primary == "1"]</w:t>
      </w:r>
      <w:r>
        <w:t xml:space="preserve">, and</w:t>
      </w:r>
      <w:r>
        <w:t xml:space="preserve"> </w:t>
      </w:r>
      <w:r>
        <w:rPr>
          <w:rStyle w:val="VerbatimChar"/>
        </w:rPr>
        <w:t xml:space="preserve">lat</w:t>
      </w:r>
      <w:r>
        <w:t xml:space="preserve"> </w:t>
      </w:r>
      <w:r>
        <w:t xml:space="preserve">is</w:t>
      </w:r>
      <w:r>
        <w:t xml:space="preserve"> </w:t>
      </w:r>
      <w:r>
        <w:rPr>
          <w:rStyle w:val="VerbatimChar"/>
        </w:rPr>
        <w:t xml:space="preserve">u[u.analysis_include_latency == "1"]</w:t>
      </w:r>
      <w:r>
        <w:t xml:space="preserve">. The script reproduce_figures.py in the supporting materials runs every line of Table 19 and exits with an error if any value fails to reproduce. The frozen v2.3.3 manifest that Table 19 supersedes is held with the repository record.</w:t>
      </w:r>
    </w:p>
    <w:p>
      <w:pPr>
        <w:pStyle w:val="Caption"/>
      </w:pPr>
      <w:r>
        <w:rPr>
          <w:iCs/>
          <w:i/>
        </w:rPr>
        <w:t xml:space="preserve">Table 19: Every published figure, and the expression that reproduces it.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240"/>
        <w:gridCol w:w="1080"/>
        <w:gridCol w:w="4680"/>
      </w:tblGrid>
      <w:tr>
        <w:trPr>
          <w:tblHeader w:val="true"/>
        </w:trPr>
        <w:tc>
          <w:tcPr>
            <w:tcW w:w="3240" w:type="dxa"/>
          </w:tcPr>
          <w:p>
            <w:pPr>
              <w:pStyle w:val="Compact"/>
              <w:spacing w:after="40" w:before="40"/>
              <w:jc w:val="left"/>
            </w:pPr>
            <w:r>
              <w:t xml:space="preserve">Quantity</w:t>
            </w:r>
          </w:p>
        </w:tc>
        <w:tc>
          <w:tcPr>
            <w:tcW w:w="1080" w:type="dxa"/>
          </w:tcPr>
          <w:p>
            <w:pPr>
              <w:pStyle w:val="Compact"/>
              <w:spacing w:after="40" w:before="40"/>
              <w:jc w:val="left"/>
            </w:pPr>
            <w:r>
              <w:t xml:space="preserve">Value</w:t>
            </w:r>
          </w:p>
        </w:tc>
        <w:tc>
          <w:tcPr>
            <w:tcW w:w="4680" w:type="dxa"/>
          </w:tcPr>
          <w:p>
            <w:pPr>
              <w:pStyle w:val="Compact"/>
              <w:spacing w:after="40" w:before="40"/>
              <w:jc w:val="left"/>
            </w:pPr>
            <w:r>
              <w:t xml:space="preserve">How to reproduce it</w:t>
            </w:r>
          </w:p>
        </w:tc>
      </w:tr>
      <w:tr>
        <w:tc>
          <w:tcPr>
            <w:tcW w:w="3240" w:type="dxa"/>
          </w:tcPr>
          <w:p>
            <w:pPr>
              <w:pStyle w:val="Compact"/>
              <w:spacing w:after="40" w:before="40"/>
              <w:jc w:val="left"/>
            </w:pPr>
            <w:r>
              <w:t xml:space="preserve">Rows</w:t>
            </w:r>
          </w:p>
        </w:tc>
        <w:tc>
          <w:tcPr>
            <w:tcW w:w="1080" w:type="dxa"/>
          </w:tcPr>
          <w:p>
            <w:pPr>
              <w:pStyle w:val="Compact"/>
              <w:spacing w:after="40" w:before="40"/>
              <w:jc w:val="left"/>
            </w:pPr>
            <w:r>
              <w:t xml:space="preserve">3,131</w:t>
            </w:r>
          </w:p>
        </w:tc>
        <w:tc>
          <w:tcPr>
            <w:tcW w:w="4680" w:type="dxa"/>
          </w:tcPr>
          <w:p>
            <w:pPr>
              <w:pStyle w:val="Compact"/>
              <w:spacing w:after="40" w:before="40"/>
              <w:jc w:val="left"/>
            </w:pPr>
            <w:r>
              <w:rPr>
                <w:rStyle w:val="VerbatimChar"/>
              </w:rPr>
              <w:t xml:space="preserve">len(d)</w:t>
            </w:r>
          </w:p>
        </w:tc>
      </w:tr>
      <w:tr>
        <w:tc>
          <w:tcPr>
            <w:tcW w:w="3240" w:type="dxa"/>
          </w:tcPr>
          <w:p>
            <w:pPr>
              <w:pStyle w:val="Compact"/>
              <w:spacing w:after="40" w:before="40"/>
              <w:jc w:val="left"/>
            </w:pPr>
            <w:r>
              <w:t xml:space="preserve">Incidents</w:t>
            </w:r>
          </w:p>
        </w:tc>
        <w:tc>
          <w:tcPr>
            <w:tcW w:w="1080" w:type="dxa"/>
          </w:tcPr>
          <w:p>
            <w:pPr>
              <w:pStyle w:val="Compact"/>
              <w:spacing w:after="40" w:before="40"/>
              <w:jc w:val="left"/>
            </w:pPr>
            <w:r>
              <w:t xml:space="preserve">3,029</w:t>
            </w:r>
          </w:p>
        </w:tc>
        <w:tc>
          <w:tcPr>
            <w:tcW w:w="4680" w:type="dxa"/>
          </w:tcPr>
          <w:p>
            <w:pPr>
              <w:pStyle w:val="Compact"/>
              <w:spacing w:after="40" w:before="40"/>
              <w:jc w:val="left"/>
            </w:pPr>
            <w:r>
              <w:rPr>
                <w:rStyle w:val="VerbatimChar"/>
              </w:rPr>
              <w:t xml:space="preserve">d.is_primary.eq("1").sum()</w:t>
            </w:r>
          </w:p>
        </w:tc>
      </w:tr>
      <w:tr>
        <w:tc>
          <w:tcPr>
            <w:tcW w:w="3240" w:type="dxa"/>
          </w:tcPr>
          <w:p>
            <w:pPr>
              <w:pStyle w:val="Compact"/>
              <w:spacing w:after="40" w:before="40"/>
              <w:jc w:val="left"/>
            </w:pPr>
            <w:r>
              <w:t xml:space="preserve">Corroborated, strict</w:t>
            </w:r>
          </w:p>
        </w:tc>
        <w:tc>
          <w:tcPr>
            <w:tcW w:w="1080" w:type="dxa"/>
          </w:tcPr>
          <w:p>
            <w:pPr>
              <w:pStyle w:val="Compact"/>
              <w:spacing w:after="40" w:before="40"/>
              <w:jc w:val="left"/>
            </w:pPr>
            <w:r>
              <w:t xml:space="preserve">30</w:t>
            </w:r>
          </w:p>
        </w:tc>
        <w:tc>
          <w:tcPr>
            <w:tcW w:w="4680" w:type="dxa"/>
          </w:tcPr>
          <w:p>
            <w:pPr>
              <w:pStyle w:val="Compact"/>
              <w:spacing w:after="40" w:before="40"/>
              <w:jc w:val="left"/>
            </w:pPr>
            <w:r>
              <w:rPr>
                <w:rStyle w:val="VerbatimChar"/>
              </w:rPr>
              <w:t xml:space="preserve">u.corroborated_independent.eq("1").sum()</w:t>
            </w:r>
          </w:p>
        </w:tc>
      </w:tr>
      <w:tr>
        <w:tc>
          <w:tcPr>
            <w:tcW w:w="3240" w:type="dxa"/>
          </w:tcPr>
          <w:p>
            <w:pPr>
              <w:pStyle w:val="Compact"/>
              <w:spacing w:after="40" w:before="40"/>
              <w:jc w:val="left"/>
            </w:pPr>
            <w:r>
              <w:t xml:space="preserve">Corroborated, broad</w:t>
            </w:r>
          </w:p>
        </w:tc>
        <w:tc>
          <w:tcPr>
            <w:tcW w:w="1080" w:type="dxa"/>
          </w:tcPr>
          <w:p>
            <w:pPr>
              <w:pStyle w:val="Compact"/>
              <w:spacing w:after="40" w:before="40"/>
              <w:jc w:val="left"/>
            </w:pPr>
            <w:r>
              <w:t xml:space="preserve">61</w:t>
            </w:r>
          </w:p>
        </w:tc>
        <w:tc>
          <w:tcPr>
            <w:tcW w:w="4680" w:type="dxa"/>
          </w:tcPr>
          <w:p>
            <w:pPr>
              <w:pStyle w:val="Compact"/>
              <w:spacing w:after="40" w:before="40"/>
              <w:jc w:val="left"/>
            </w:pPr>
            <w:r>
              <w:rPr>
                <w:rStyle w:val="VerbatimChar"/>
              </w:rPr>
              <w:t xml:space="preserve">u.corroborated.eq("1").sum()</w:t>
            </w:r>
          </w:p>
        </w:tc>
      </w:tr>
      <w:tr>
        <w:tc>
          <w:tcPr>
            <w:tcW w:w="3240" w:type="dxa"/>
          </w:tcPr>
          <w:p>
            <w:pPr>
              <w:pStyle w:val="Compact"/>
              <w:spacing w:after="40" w:before="40"/>
              <w:jc w:val="left"/>
            </w:pPr>
            <w:r>
              <w:t xml:space="preserve">Latency population</w:t>
            </w:r>
          </w:p>
        </w:tc>
        <w:tc>
          <w:tcPr>
            <w:tcW w:w="1080" w:type="dxa"/>
          </w:tcPr>
          <w:p>
            <w:pPr>
              <w:pStyle w:val="Compact"/>
              <w:spacing w:after="40" w:before="40"/>
              <w:jc w:val="left"/>
            </w:pPr>
            <w:r>
              <w:t xml:space="preserve">2,708</w:t>
            </w:r>
          </w:p>
        </w:tc>
        <w:tc>
          <w:tcPr>
            <w:tcW w:w="4680" w:type="dxa"/>
          </w:tcPr>
          <w:p>
            <w:pPr>
              <w:pStyle w:val="Compact"/>
              <w:spacing w:after="40" w:before="40"/>
              <w:jc w:val="left"/>
            </w:pPr>
            <w:r>
              <w:rPr>
                <w:rStyle w:val="VerbatimChar"/>
              </w:rPr>
              <w:t xml:space="preserve">u.analysis_include_latency.eq("1").sum()</w:t>
            </w:r>
          </w:p>
        </w:tc>
      </w:tr>
      <w:tr>
        <w:tc>
          <w:tcPr>
            <w:tcW w:w="3240" w:type="dxa"/>
          </w:tcPr>
          <w:p>
            <w:pPr>
              <w:pStyle w:val="Compact"/>
              <w:spacing w:after="40" w:before="40"/>
              <w:jc w:val="left"/>
            </w:pPr>
            <w:r>
              <w:t xml:space="preserve">Median delay, years</w:t>
            </w:r>
          </w:p>
        </w:tc>
        <w:tc>
          <w:tcPr>
            <w:tcW w:w="1080" w:type="dxa"/>
          </w:tcPr>
          <w:p>
            <w:pPr>
              <w:pStyle w:val="Compact"/>
              <w:spacing w:after="40" w:before="40"/>
              <w:jc w:val="left"/>
            </w:pPr>
            <w:r>
              <w:t xml:space="preserve">1</w:t>
            </w:r>
          </w:p>
        </w:tc>
        <w:tc>
          <w:tcPr>
            <w:tcW w:w="4680" w:type="dxa"/>
          </w:tcPr>
          <w:p>
            <w:pPr>
              <w:pStyle w:val="Compact"/>
              <w:spacing w:after="40" w:before="40"/>
              <w:jc w:val="left"/>
            </w:pPr>
            <w:r>
              <w:rPr>
                <w:rStyle w:val="VerbatimChar"/>
              </w:rPr>
              <w:t xml:space="preserve">lat.entry_lag_years.astype(float).median()</w:t>
            </w:r>
          </w:p>
        </w:tc>
      </w:tr>
      <w:tr>
        <w:tc>
          <w:tcPr>
            <w:tcW w:w="3240" w:type="dxa"/>
          </w:tcPr>
          <w:p>
            <w:pPr>
              <w:pStyle w:val="Compact"/>
              <w:spacing w:after="40" w:before="40"/>
              <w:jc w:val="left"/>
            </w:pPr>
            <w:r>
              <w:t xml:space="preserve">Mean delay, years</w:t>
            </w:r>
          </w:p>
        </w:tc>
        <w:tc>
          <w:tcPr>
            <w:tcW w:w="1080" w:type="dxa"/>
          </w:tcPr>
          <w:p>
            <w:pPr>
              <w:pStyle w:val="Compact"/>
              <w:spacing w:after="40" w:before="40"/>
              <w:jc w:val="left"/>
            </w:pPr>
            <w:r>
              <w:t xml:space="preserve">2.13</w:t>
            </w:r>
          </w:p>
        </w:tc>
        <w:tc>
          <w:tcPr>
            <w:tcW w:w="4680" w:type="dxa"/>
          </w:tcPr>
          <w:p>
            <w:pPr>
              <w:pStyle w:val="Compact"/>
              <w:spacing w:after="40" w:before="40"/>
              <w:jc w:val="left"/>
            </w:pPr>
            <w:r>
              <w:rPr>
                <w:rStyle w:val="VerbatimChar"/>
              </w:rPr>
              <w:t xml:space="preserve">lat.entry_lag_years.astype(float).mean()</w:t>
            </w:r>
          </w:p>
        </w:tc>
      </w:tr>
      <w:tr>
        <w:tc>
          <w:tcPr>
            <w:tcW w:w="3240" w:type="dxa"/>
          </w:tcPr>
          <w:p>
            <w:pPr>
              <w:pStyle w:val="Compact"/>
              <w:spacing w:after="40" w:before="40"/>
              <w:jc w:val="left"/>
            </w:pPr>
            <w:r>
              <w:t xml:space="preserve">Reported in year of occurrence</w:t>
            </w:r>
          </w:p>
        </w:tc>
        <w:tc>
          <w:tcPr>
            <w:tcW w:w="1080" w:type="dxa"/>
          </w:tcPr>
          <w:p>
            <w:pPr>
              <w:pStyle w:val="Compact"/>
              <w:spacing w:after="40" w:before="40"/>
              <w:jc w:val="left"/>
            </w:pPr>
            <w:r>
              <w:t xml:space="preserve">646</w:t>
            </w:r>
          </w:p>
        </w:tc>
        <w:tc>
          <w:tcPr>
            <w:tcW w:w="4680" w:type="dxa"/>
          </w:tcPr>
          <w:p>
            <w:pPr>
              <w:pStyle w:val="Compact"/>
              <w:spacing w:after="40" w:before="40"/>
              <w:jc w:val="left"/>
            </w:pPr>
            <w:r>
              <w:rPr>
                <w:rStyle w:val="VerbatimChar"/>
              </w:rPr>
              <w:t xml:space="preserve">lat.entry_lag_years.astype(float).eq(0).sum()</w:t>
            </w:r>
          </w:p>
        </w:tc>
      </w:tr>
      <w:tr>
        <w:tc>
          <w:tcPr>
            <w:tcW w:w="3240" w:type="dxa"/>
          </w:tcPr>
          <w:p>
            <w:pPr>
              <w:pStyle w:val="Compact"/>
              <w:spacing w:after="40" w:before="40"/>
              <w:jc w:val="left"/>
            </w:pPr>
            <w:r>
              <w:t xml:space="preserve">Reported 3 or more years later</w:t>
            </w:r>
          </w:p>
        </w:tc>
        <w:tc>
          <w:tcPr>
            <w:tcW w:w="1080" w:type="dxa"/>
          </w:tcPr>
          <w:p>
            <w:pPr>
              <w:pStyle w:val="Compact"/>
              <w:spacing w:after="40" w:before="40"/>
              <w:jc w:val="left"/>
            </w:pPr>
            <w:r>
              <w:t xml:space="preserve">26.2%</w:t>
            </w:r>
          </w:p>
        </w:tc>
        <w:tc>
          <w:tcPr>
            <w:tcW w:w="4680" w:type="dxa"/>
          </w:tcPr>
          <w:p>
            <w:pPr>
              <w:pStyle w:val="Compact"/>
              <w:spacing w:after="40" w:before="40"/>
              <w:jc w:val="left"/>
            </w:pPr>
            <w:r>
              <w:rPr>
                <w:rStyle w:val="VerbatimChar"/>
              </w:rPr>
              <w:t xml:space="preserve">lat.entry_lag_years.astype(float).ge(3).mean()</w:t>
            </w:r>
          </w:p>
        </w:tc>
      </w:tr>
      <w:tr>
        <w:tc>
          <w:tcPr>
            <w:tcW w:w="3240" w:type="dxa"/>
          </w:tcPr>
          <w:p>
            <w:pPr>
              <w:pStyle w:val="Compact"/>
              <w:spacing w:after="40" w:before="40"/>
              <w:jc w:val="left"/>
            </w:pPr>
            <w:r>
              <w:t xml:space="preserve">Target analysis population</w:t>
            </w:r>
          </w:p>
        </w:tc>
        <w:tc>
          <w:tcPr>
            <w:tcW w:w="1080" w:type="dxa"/>
          </w:tcPr>
          <w:p>
            <w:pPr>
              <w:pStyle w:val="Compact"/>
              <w:spacing w:after="40" w:before="40"/>
              <w:jc w:val="left"/>
            </w:pPr>
            <w:r>
              <w:t xml:space="preserve">2,912</w:t>
            </w:r>
          </w:p>
        </w:tc>
        <w:tc>
          <w:tcPr>
            <w:tcW w:w="4680" w:type="dxa"/>
          </w:tcPr>
          <w:p>
            <w:pPr>
              <w:pStyle w:val="Compact"/>
              <w:spacing w:after="40" w:before="40"/>
              <w:jc w:val="left"/>
            </w:pPr>
            <w:r>
              <w:rPr>
                <w:rStyle w:val="VerbatimChar"/>
              </w:rPr>
              <w:t xml:space="preserve">u.analysis_include_target.eq("1").sum()</w:t>
            </w:r>
          </w:p>
        </w:tc>
      </w:tr>
      <w:tr>
        <w:tc>
          <w:tcPr>
            <w:tcW w:w="3240" w:type="dxa"/>
          </w:tcPr>
          <w:p>
            <w:pPr>
              <w:pStyle w:val="Compact"/>
              <w:spacing w:after="40" w:before="40"/>
              <w:jc w:val="left"/>
            </w:pPr>
            <w:r>
              <w:t xml:space="preserve">Target assignments excluded</w:t>
            </w:r>
          </w:p>
        </w:tc>
        <w:tc>
          <w:tcPr>
            <w:tcW w:w="1080" w:type="dxa"/>
          </w:tcPr>
          <w:p>
            <w:pPr>
              <w:pStyle w:val="Compact"/>
              <w:spacing w:after="40" w:before="40"/>
              <w:jc w:val="left"/>
            </w:pPr>
            <w:r>
              <w:t xml:space="preserve">117</w:t>
            </w:r>
          </w:p>
        </w:tc>
        <w:tc>
          <w:tcPr>
            <w:tcW w:w="4680" w:type="dxa"/>
          </w:tcPr>
          <w:p>
            <w:pPr>
              <w:pStyle w:val="Compact"/>
              <w:spacing w:after="40" w:before="40"/>
              <w:jc w:val="left"/>
            </w:pPr>
            <w:r>
              <w:rPr>
                <w:rStyle w:val="VerbatimChar"/>
              </w:rPr>
              <w:t xml:space="preserve">u.target_field_status.eq("review_required").sum()</w:t>
            </w:r>
          </w:p>
        </w:tc>
      </w:tr>
      <w:tr>
        <w:tc>
          <w:tcPr>
            <w:tcW w:w="3240" w:type="dxa"/>
          </w:tcPr>
          <w:p>
            <w:pPr>
              <w:pStyle w:val="Compact"/>
              <w:spacing w:after="40" w:before="40"/>
              <w:jc w:val="left"/>
            </w:pPr>
            <w:r>
              <w:t xml:space="preserve">Latency anomalies quarantined</w:t>
            </w:r>
          </w:p>
        </w:tc>
        <w:tc>
          <w:tcPr>
            <w:tcW w:w="1080" w:type="dxa"/>
          </w:tcPr>
          <w:p>
            <w:pPr>
              <w:pStyle w:val="Compact"/>
              <w:spacing w:after="40" w:before="40"/>
              <w:jc w:val="left"/>
            </w:pPr>
            <w:r>
              <w:t xml:space="preserve">5</w:t>
            </w:r>
          </w:p>
        </w:tc>
        <w:tc>
          <w:tcPr>
            <w:tcW w:w="4680" w:type="dxa"/>
          </w:tcPr>
          <w:p>
            <w:pPr>
              <w:pStyle w:val="Compact"/>
              <w:spacing w:after="40" w:before="40"/>
              <w:jc w:val="left"/>
            </w:pPr>
            <w:r>
              <w:rPr>
                <w:rStyle w:val="VerbatimChar"/>
              </w:rPr>
              <w:t xml:space="preserve">u.latency_status.eq("excluded_negative_lag").sum()</w:t>
            </w:r>
          </w:p>
        </w:tc>
      </w:tr>
      <w:tr>
        <w:tc>
          <w:tcPr>
            <w:tcW w:w="3240" w:type="dxa"/>
          </w:tcPr>
          <w:p>
            <w:pPr>
              <w:pStyle w:val="Compact"/>
              <w:spacing w:after="40" w:before="40"/>
              <w:jc w:val="left"/>
            </w:pPr>
            <w:r>
              <w:t xml:space="preserve">Official response recorded</w:t>
            </w:r>
          </w:p>
        </w:tc>
        <w:tc>
          <w:tcPr>
            <w:tcW w:w="1080" w:type="dxa"/>
          </w:tcPr>
          <w:p>
            <w:pPr>
              <w:pStyle w:val="Compact"/>
              <w:spacing w:after="40" w:before="40"/>
              <w:jc w:val="left"/>
            </w:pPr>
            <w:r>
              <w:t xml:space="preserve">24.8%</w:t>
            </w:r>
          </w:p>
        </w:tc>
        <w:tc>
          <w:tcPr>
            <w:tcW w:w="4680" w:type="dxa"/>
          </w:tcPr>
          <w:p>
            <w:pPr>
              <w:pStyle w:val="Compact"/>
              <w:spacing w:after="40" w:before="40"/>
              <w:jc w:val="left"/>
            </w:pPr>
            <w:r>
              <w:rPr>
                <w:rStyle w:val="VerbatimChar"/>
              </w:rPr>
              <w:t xml:space="preserve">(~u.official_response.isin(["", "None recorded"])).mean()</w:t>
            </w:r>
          </w:p>
        </w:tc>
      </w:tr>
      <w:tr>
        <w:tc>
          <w:tcPr>
            <w:tcW w:w="3240" w:type="dxa"/>
          </w:tcPr>
          <w:p>
            <w:pPr>
              <w:pStyle w:val="Compact"/>
              <w:spacing w:after="40" w:before="40"/>
              <w:jc w:val="left"/>
            </w:pPr>
            <w:r>
              <w:t xml:space="preserve">Official response explicitly absent</w:t>
            </w:r>
          </w:p>
        </w:tc>
        <w:tc>
          <w:tcPr>
            <w:tcW w:w="1080" w:type="dxa"/>
          </w:tcPr>
          <w:p>
            <w:pPr>
              <w:pStyle w:val="Compact"/>
              <w:spacing w:after="40" w:before="40"/>
              <w:jc w:val="left"/>
            </w:pPr>
            <w:r>
              <w:t xml:space="preserve">2,097</w:t>
            </w:r>
          </w:p>
        </w:tc>
        <w:tc>
          <w:tcPr>
            <w:tcW w:w="4680" w:type="dxa"/>
          </w:tcPr>
          <w:p>
            <w:pPr>
              <w:pStyle w:val="Compact"/>
              <w:spacing w:after="40" w:before="40"/>
              <w:jc w:val="left"/>
            </w:pPr>
            <w:r>
              <w:rPr>
                <w:rStyle w:val="VerbatimChar"/>
              </w:rPr>
              <w:t xml:space="preserve">u.official_response.eq("None recorded").sum()</w:t>
            </w:r>
          </w:p>
        </w:tc>
      </w:tr>
      <w:tr>
        <w:tc>
          <w:tcPr>
            <w:tcW w:w="3240" w:type="dxa"/>
          </w:tcPr>
          <w:p>
            <w:pPr>
              <w:pStyle w:val="Compact"/>
              <w:spacing w:after="40" w:before="40"/>
              <w:jc w:val="left"/>
            </w:pPr>
            <w:r>
              <w:t xml:space="preserve">International response recorded</w:t>
            </w:r>
          </w:p>
        </w:tc>
        <w:tc>
          <w:tcPr>
            <w:tcW w:w="1080" w:type="dxa"/>
          </w:tcPr>
          <w:p>
            <w:pPr>
              <w:pStyle w:val="Compact"/>
              <w:spacing w:after="40" w:before="40"/>
              <w:jc w:val="left"/>
            </w:pPr>
            <w:r>
              <w:t xml:space="preserve">7.6%</w:t>
            </w:r>
          </w:p>
        </w:tc>
        <w:tc>
          <w:tcPr>
            <w:tcW w:w="4680" w:type="dxa"/>
          </w:tcPr>
          <w:p>
            <w:pPr>
              <w:pStyle w:val="Compact"/>
              <w:spacing w:after="40" w:before="40"/>
              <w:jc w:val="left"/>
            </w:pPr>
            <w:r>
              <w:rPr>
                <w:rStyle w:val="VerbatimChar"/>
              </w:rPr>
              <w:t xml:space="preserve">(~u.international_response.isin(["", "None recorded"])).mean()</w:t>
            </w:r>
          </w:p>
        </w:tc>
      </w:tr>
      <w:tr>
        <w:tc>
          <w:tcPr>
            <w:tcW w:w="3240" w:type="dxa"/>
          </w:tcPr>
          <w:p>
            <w:pPr>
              <w:pStyle w:val="Compact"/>
              <w:spacing w:after="40" w:before="40"/>
              <w:jc w:val="left"/>
            </w:pPr>
            <w:r>
              <w:t xml:space="preserve">Evidence of impact recorded</w:t>
            </w:r>
          </w:p>
        </w:tc>
        <w:tc>
          <w:tcPr>
            <w:tcW w:w="1080" w:type="dxa"/>
          </w:tcPr>
          <w:p>
            <w:pPr>
              <w:pStyle w:val="Compact"/>
              <w:spacing w:after="40" w:before="40"/>
              <w:jc w:val="left"/>
            </w:pPr>
            <w:r>
              <w:t xml:space="preserve">35.6%</w:t>
            </w:r>
          </w:p>
        </w:tc>
        <w:tc>
          <w:tcPr>
            <w:tcW w:w="4680" w:type="dxa"/>
          </w:tcPr>
          <w:p>
            <w:pPr>
              <w:pStyle w:val="Compact"/>
              <w:spacing w:after="40" w:before="40"/>
              <w:jc w:val="left"/>
            </w:pPr>
            <w:r>
              <w:rPr>
                <w:rStyle w:val="VerbatimChar"/>
              </w:rPr>
              <w:t xml:space="preserve">(~u.evidence_of_impact.isin(["", "None recorded"])).mean()</w:t>
            </w:r>
          </w:p>
        </w:tc>
      </w:tr>
      <w:tr>
        <w:tc>
          <w:tcPr>
            <w:tcW w:w="3240" w:type="dxa"/>
          </w:tcPr>
          <w:p>
            <w:pPr>
              <w:pStyle w:val="Compact"/>
              <w:spacing w:after="40" w:before="40"/>
              <w:jc w:val="left"/>
            </w:pPr>
            <w:r>
              <w:t xml:space="preserve">Platform identified</w:t>
            </w:r>
          </w:p>
        </w:tc>
        <w:tc>
          <w:tcPr>
            <w:tcW w:w="1080" w:type="dxa"/>
          </w:tcPr>
          <w:p>
            <w:pPr>
              <w:pStyle w:val="Compact"/>
              <w:spacing w:after="40" w:before="40"/>
              <w:jc w:val="left"/>
            </w:pPr>
            <w:r>
              <w:t xml:space="preserve">1,975</w:t>
            </w:r>
          </w:p>
        </w:tc>
        <w:tc>
          <w:tcPr>
            <w:tcW w:w="4680" w:type="dxa"/>
          </w:tcPr>
          <w:p>
            <w:pPr>
              <w:pStyle w:val="Compact"/>
              <w:spacing w:after="40" w:before="40"/>
              <w:jc w:val="left"/>
            </w:pPr>
            <w:r>
              <w:rPr>
                <w:rStyle w:val="VerbatimChar"/>
              </w:rPr>
              <w:t xml:space="preserve">u.primary_platform.ne("Unknown").sum()</w:t>
            </w:r>
          </w:p>
        </w:tc>
      </w:tr>
      <w:tr>
        <w:tc>
          <w:tcPr>
            <w:tcW w:w="3240" w:type="dxa"/>
          </w:tcPr>
          <w:p>
            <w:pPr>
              <w:pStyle w:val="Compact"/>
              <w:spacing w:after="40" w:before="40"/>
              <w:jc w:val="left"/>
            </w:pPr>
            <w:r>
              <w:t xml:space="preserve">Weak, none, unknown or unrecorded coordination</w:t>
            </w:r>
          </w:p>
        </w:tc>
        <w:tc>
          <w:tcPr>
            <w:tcW w:w="1080" w:type="dxa"/>
          </w:tcPr>
          <w:p>
            <w:pPr>
              <w:pStyle w:val="Compact"/>
              <w:spacing w:after="40" w:before="40"/>
              <w:jc w:val="left"/>
            </w:pPr>
            <w:r>
              <w:t xml:space="preserve">1,133</w:t>
            </w:r>
          </w:p>
        </w:tc>
        <w:tc>
          <w:tcPr>
            <w:tcW w:w="4680" w:type="dxa"/>
          </w:tcPr>
          <w:p>
            <w:pPr>
              <w:pStyle w:val="Compact"/>
              <w:spacing w:after="40" w:before="40"/>
              <w:jc w:val="left"/>
            </w:pPr>
            <w:r>
              <w:rPr>
                <w:rStyle w:val="VerbatimChar"/>
              </w:rPr>
              <w:t xml:space="preserve">u.evidence_of_coordination.isin(["Weak", "None recorded", "Unknown", ""]).sum()</w:t>
            </w:r>
          </w:p>
        </w:tc>
      </w:tr>
      <w:tr>
        <w:tc>
          <w:tcPr>
            <w:tcW w:w="3240" w:type="dxa"/>
          </w:tcPr>
          <w:p>
            <w:pPr>
              <w:pStyle w:val="Compact"/>
              <w:spacing w:after="40" w:before="40"/>
              <w:jc w:val="left"/>
            </w:pPr>
            <w:r>
              <w:t xml:space="preserve">Incidents with a named institution</w:t>
            </w:r>
          </w:p>
        </w:tc>
        <w:tc>
          <w:tcPr>
            <w:tcW w:w="1080" w:type="dxa"/>
          </w:tcPr>
          <w:p>
            <w:pPr>
              <w:pStyle w:val="Compact"/>
              <w:spacing w:after="40" w:before="40"/>
              <w:jc w:val="left"/>
            </w:pPr>
            <w:r>
              <w:t xml:space="preserve">2,797</w:t>
            </w:r>
          </w:p>
        </w:tc>
        <w:tc>
          <w:tcPr>
            <w:tcW w:w="4680" w:type="dxa"/>
          </w:tcPr>
          <w:p>
            <w:pPr>
              <w:pStyle w:val="Compact"/>
              <w:spacing w:after="40" w:before="40"/>
              <w:jc w:val="left"/>
            </w:pPr>
            <w:r>
              <w:rPr>
                <w:rStyle w:val="VerbatimChar"/>
              </w:rPr>
              <w:t xml:space="preserve">u.parent_institutions.ne("").sum()</w:t>
            </w:r>
          </w:p>
        </w:tc>
      </w:tr>
      <w:tr>
        <w:tc>
          <w:tcPr>
            <w:tcW w:w="3240" w:type="dxa"/>
          </w:tcPr>
          <w:p>
            <w:pPr>
              <w:pStyle w:val="Compact"/>
              <w:spacing w:after="40" w:before="40"/>
              <w:jc w:val="left"/>
            </w:pPr>
            <w:r>
              <w:t xml:space="preserve">Incidents without a named institution</w:t>
            </w:r>
          </w:p>
        </w:tc>
        <w:tc>
          <w:tcPr>
            <w:tcW w:w="1080" w:type="dxa"/>
          </w:tcPr>
          <w:p>
            <w:pPr>
              <w:pStyle w:val="Compact"/>
              <w:spacing w:after="40" w:before="40"/>
              <w:jc w:val="left"/>
            </w:pPr>
            <w:r>
              <w:t xml:space="preserve">232</w:t>
            </w:r>
          </w:p>
        </w:tc>
        <w:tc>
          <w:tcPr>
            <w:tcW w:w="4680" w:type="dxa"/>
          </w:tcPr>
          <w:p>
            <w:pPr>
              <w:pStyle w:val="Compact"/>
              <w:spacing w:after="40" w:before="40"/>
              <w:jc w:val="left"/>
            </w:pPr>
            <w:r>
              <w:rPr>
                <w:rStyle w:val="VerbatimChar"/>
              </w:rPr>
              <w:t xml:space="preserve">u.parent_institutions.eq("").sum()</w:t>
            </w:r>
          </w:p>
        </w:tc>
      </w:tr>
      <w:tr>
        <w:tc>
          <w:tcPr>
            <w:tcW w:w="3240" w:type="dxa"/>
          </w:tcPr>
          <w:p>
            <w:pPr>
              <w:pStyle w:val="Compact"/>
              <w:spacing w:after="40" w:before="40"/>
              <w:jc w:val="left"/>
            </w:pPr>
            <w:r>
              <w:t xml:space="preserve">Parent institutions observed</w:t>
            </w:r>
          </w:p>
        </w:tc>
        <w:tc>
          <w:tcPr>
            <w:tcW w:w="1080" w:type="dxa"/>
          </w:tcPr>
          <w:p>
            <w:pPr>
              <w:pStyle w:val="Compact"/>
              <w:spacing w:after="40" w:before="40"/>
              <w:jc w:val="left"/>
            </w:pPr>
            <w:r>
              <w:t xml:space="preserve">96</w:t>
            </w:r>
          </w:p>
        </w:tc>
        <w:tc>
          <w:tcPr>
            <w:tcW w:w="4680" w:type="dxa"/>
          </w:tcPr>
          <w:p>
            <w:pPr>
              <w:pStyle w:val="Compact"/>
              <w:spacing w:after="40" w:before="40"/>
              <w:jc w:val="left"/>
            </w:pPr>
            <w:r>
              <w:rPr>
                <w:rStyle w:val="VerbatimChar"/>
              </w:rPr>
              <w:t xml:space="preserve">explode parent_institutions on ";" and strip</w:t>
            </w:r>
          </w:p>
        </w:tc>
      </w:tr>
      <w:tr>
        <w:tc>
          <w:tcPr>
            <w:tcW w:w="3240" w:type="dxa"/>
          </w:tcPr>
          <w:p>
            <w:pPr>
              <w:pStyle w:val="Compact"/>
              <w:spacing w:after="40" w:before="40"/>
              <w:jc w:val="left"/>
            </w:pPr>
            <w:r>
              <w:t xml:space="preserve">Parent institutions for half the named record</w:t>
            </w:r>
          </w:p>
        </w:tc>
        <w:tc>
          <w:tcPr>
            <w:tcW w:w="1080" w:type="dxa"/>
          </w:tcPr>
          <w:p>
            <w:pPr>
              <w:pStyle w:val="Compact"/>
              <w:spacing w:after="40" w:before="40"/>
              <w:jc w:val="left"/>
            </w:pPr>
            <w:r>
              <w:t xml:space="preserve">8</w:t>
            </w:r>
          </w:p>
        </w:tc>
        <w:tc>
          <w:tcPr>
            <w:tcW w:w="4680" w:type="dxa"/>
          </w:tcPr>
          <w:p>
            <w:pPr>
              <w:pStyle w:val="Compact"/>
              <w:spacing w:after="40" w:before="40"/>
              <w:jc w:val="left"/>
            </w:pPr>
            <w:r>
              <w:rPr>
                <w:rStyle w:val="VerbatimChar"/>
              </w:rPr>
              <w:t xml:space="preserve">cumulative share over the same explosion</w:t>
            </w:r>
          </w:p>
        </w:tc>
      </w:tr>
      <w:tr>
        <w:tc>
          <w:tcPr>
            <w:tcW w:w="3240" w:type="dxa"/>
          </w:tcPr>
          <w:p>
            <w:pPr>
              <w:pStyle w:val="Compact"/>
              <w:spacing w:after="40" w:before="40"/>
              <w:jc w:val="left"/>
            </w:pPr>
            <w:r>
              <w:t xml:space="preserve">Parent institutions for 80% of the named record</w:t>
            </w:r>
          </w:p>
        </w:tc>
        <w:tc>
          <w:tcPr>
            <w:tcW w:w="1080" w:type="dxa"/>
          </w:tcPr>
          <w:p>
            <w:pPr>
              <w:pStyle w:val="Compact"/>
              <w:spacing w:after="40" w:before="40"/>
              <w:jc w:val="left"/>
            </w:pPr>
            <w:r>
              <w:t xml:space="preserve">21</w:t>
            </w:r>
          </w:p>
        </w:tc>
        <w:tc>
          <w:tcPr>
            <w:tcW w:w="4680" w:type="dxa"/>
          </w:tcPr>
          <w:p>
            <w:pPr>
              <w:pStyle w:val="Compact"/>
              <w:spacing w:after="40" w:before="40"/>
              <w:jc w:val="left"/>
            </w:pPr>
            <w:r>
              <w:rPr>
                <w:rStyle w:val="VerbatimChar"/>
              </w:rPr>
              <w:t xml:space="preserve">cumulative share over the same explosion</w:t>
            </w:r>
          </w:p>
        </w:tc>
      </w:tr>
      <w:tr>
        <w:tc>
          <w:tcPr>
            <w:tcW w:w="3240" w:type="dxa"/>
          </w:tcPr>
          <w:p>
            <w:pPr>
              <w:pStyle w:val="Compact"/>
              <w:spacing w:after="40" w:before="40"/>
              <w:jc w:val="left"/>
            </w:pPr>
            <w:r>
              <w:t xml:space="preserve">NATO StratCom incidents</w:t>
            </w:r>
          </w:p>
        </w:tc>
        <w:tc>
          <w:tcPr>
            <w:tcW w:w="1080" w:type="dxa"/>
          </w:tcPr>
          <w:p>
            <w:pPr>
              <w:pStyle w:val="Compact"/>
              <w:spacing w:after="40" w:before="40"/>
              <w:jc w:val="left"/>
            </w:pPr>
            <w:r>
              <w:t xml:space="preserve">515</w:t>
            </w:r>
          </w:p>
        </w:tc>
        <w:tc>
          <w:tcPr>
            <w:tcW w:w="4680" w:type="dxa"/>
          </w:tcPr>
          <w:p>
            <w:pPr>
              <w:pStyle w:val="Compact"/>
              <w:spacing w:after="40" w:before="40"/>
              <w:jc w:val="left"/>
            </w:pPr>
            <w:r>
              <w:rPr>
                <w:rStyle w:val="VerbatimChar"/>
              </w:rPr>
              <w:t xml:space="preserve">count in the same explosion</w:t>
            </w:r>
          </w:p>
        </w:tc>
      </w:tr>
      <w:tr>
        <w:tc>
          <w:tcPr>
            <w:tcW w:w="3240" w:type="dxa"/>
          </w:tcPr>
          <w:p>
            <w:pPr>
              <w:pStyle w:val="Compact"/>
              <w:spacing w:after="40" w:before="40"/>
              <w:jc w:val="left"/>
            </w:pPr>
            <w:r>
              <w:t xml:space="preserve">State actors</w:t>
            </w:r>
          </w:p>
        </w:tc>
        <w:tc>
          <w:tcPr>
            <w:tcW w:w="1080" w:type="dxa"/>
          </w:tcPr>
          <w:p>
            <w:pPr>
              <w:pStyle w:val="Compact"/>
              <w:spacing w:after="40" w:before="40"/>
              <w:jc w:val="left"/>
            </w:pPr>
            <w:r>
              <w:t xml:space="preserve">1,685</w:t>
            </w:r>
          </w:p>
        </w:tc>
        <w:tc>
          <w:tcPr>
            <w:tcW w:w="4680" w:type="dxa"/>
          </w:tcPr>
          <w:p>
            <w:pPr>
              <w:pStyle w:val="Compact"/>
              <w:spacing w:after="40" w:before="40"/>
              <w:jc w:val="left"/>
            </w:pPr>
            <w:r>
              <w:rPr>
                <w:rStyle w:val="VerbatimChar"/>
              </w:rPr>
              <w:t xml:space="preserve">u.actor_named.eq("state_actor").sum()</w:t>
            </w:r>
          </w:p>
        </w:tc>
      </w:tr>
      <w:tr>
        <w:tc>
          <w:tcPr>
            <w:tcW w:w="3240" w:type="dxa"/>
          </w:tcPr>
          <w:p>
            <w:pPr>
              <w:pStyle w:val="Compact"/>
              <w:spacing w:after="40" w:before="40"/>
              <w:jc w:val="left"/>
            </w:pPr>
            <w:r>
              <w:t xml:space="preserve">Non-state actors</w:t>
            </w:r>
          </w:p>
        </w:tc>
        <w:tc>
          <w:tcPr>
            <w:tcW w:w="1080" w:type="dxa"/>
          </w:tcPr>
          <w:p>
            <w:pPr>
              <w:pStyle w:val="Compact"/>
              <w:spacing w:after="40" w:before="40"/>
              <w:jc w:val="left"/>
            </w:pPr>
            <w:r>
              <w:t xml:space="preserve">918</w:t>
            </w:r>
          </w:p>
        </w:tc>
        <w:tc>
          <w:tcPr>
            <w:tcW w:w="4680" w:type="dxa"/>
          </w:tcPr>
          <w:p>
            <w:pPr>
              <w:pStyle w:val="Compact"/>
              <w:spacing w:after="40" w:before="40"/>
              <w:jc w:val="left"/>
            </w:pPr>
            <w:r>
              <w:rPr>
                <w:rStyle w:val="VerbatimChar"/>
              </w:rPr>
              <w:t xml:space="preserve">(~u.actor_named.isin(["state_actor", "unspecified"])).sum()</w:t>
            </w:r>
          </w:p>
        </w:tc>
      </w:tr>
      <w:tr>
        <w:tc>
          <w:tcPr>
            <w:tcW w:w="3240" w:type="dxa"/>
          </w:tcPr>
          <w:p>
            <w:pPr>
              <w:pStyle w:val="Compact"/>
              <w:spacing w:after="40" w:before="40"/>
              <w:jc w:val="left"/>
            </w:pPr>
            <w:r>
              <w:t xml:space="preserve">Incidents with a characterised actor</w:t>
            </w:r>
          </w:p>
        </w:tc>
        <w:tc>
          <w:tcPr>
            <w:tcW w:w="1080" w:type="dxa"/>
          </w:tcPr>
          <w:p>
            <w:pPr>
              <w:pStyle w:val="Compact"/>
              <w:spacing w:after="40" w:before="40"/>
              <w:jc w:val="left"/>
            </w:pPr>
            <w:r>
              <w:t xml:space="preserve">2,603</w:t>
            </w:r>
          </w:p>
        </w:tc>
        <w:tc>
          <w:tcPr>
            <w:tcW w:w="4680" w:type="dxa"/>
          </w:tcPr>
          <w:p>
            <w:pPr>
              <w:pStyle w:val="Compact"/>
              <w:spacing w:after="40" w:before="40"/>
              <w:jc w:val="left"/>
            </w:pPr>
            <w:r>
              <w:rPr>
                <w:rStyle w:val="VerbatimChar"/>
              </w:rPr>
              <w:t xml:space="preserve">u.actor_named.ne("unspecified").sum()</w:t>
            </w:r>
          </w:p>
        </w:tc>
      </w:tr>
      <w:tr>
        <w:tc>
          <w:tcPr>
            <w:tcW w:w="3240" w:type="dxa"/>
          </w:tcPr>
          <w:p>
            <w:pPr>
              <w:pStyle w:val="Compact"/>
              <w:spacing w:after="40" w:before="40"/>
              <w:jc w:val="left"/>
            </w:pPr>
            <w:r>
              <w:t xml:space="preserve">Russia and China attributed</w:t>
            </w:r>
          </w:p>
        </w:tc>
        <w:tc>
          <w:tcPr>
            <w:tcW w:w="1080" w:type="dxa"/>
          </w:tcPr>
          <w:p>
            <w:pPr>
              <w:pStyle w:val="Compact"/>
              <w:spacing w:after="40" w:before="40"/>
              <w:jc w:val="left"/>
            </w:pPr>
            <w:r>
              <w:t xml:space="preserve">1,443; 223</w:t>
            </w:r>
          </w:p>
        </w:tc>
        <w:tc>
          <w:tcPr>
            <w:tcW w:w="4680" w:type="dxa"/>
          </w:tcPr>
          <w:p>
            <w:pPr>
              <w:pStyle w:val="Compact"/>
              <w:spacing w:after="40" w:before="40"/>
              <w:jc w:val="left"/>
            </w:pPr>
            <w:r>
              <w:rPr>
                <w:rStyle w:val="VerbatimChar"/>
              </w:rPr>
              <w:t xml:space="preserve">u.actor_state.value_counts()</w:t>
            </w:r>
          </w:p>
        </w:tc>
      </w:tr>
      <w:tr>
        <w:tc>
          <w:tcPr>
            <w:tcW w:w="3240" w:type="dxa"/>
          </w:tcPr>
          <w:p>
            <w:pPr>
              <w:pStyle w:val="Compact"/>
              <w:spacing w:after="40" w:before="40"/>
              <w:jc w:val="left"/>
            </w:pPr>
            <w:r>
              <w:t xml:space="preserve">DISARM techniques used</w:t>
            </w:r>
          </w:p>
        </w:tc>
        <w:tc>
          <w:tcPr>
            <w:tcW w:w="1080" w:type="dxa"/>
          </w:tcPr>
          <w:p>
            <w:pPr>
              <w:pStyle w:val="Compact"/>
              <w:spacing w:after="40" w:before="40"/>
              <w:jc w:val="left"/>
            </w:pPr>
            <w:r>
              <w:t xml:space="preserve">77 of 391</w:t>
            </w:r>
          </w:p>
        </w:tc>
        <w:tc>
          <w:tcPr>
            <w:tcW w:w="4680" w:type="dxa"/>
          </w:tcPr>
          <w:p>
            <w:pPr>
              <w:pStyle w:val="Compact"/>
              <w:spacing w:after="40" w:before="40"/>
              <w:jc w:val="left"/>
            </w:pPr>
            <w:r>
              <w:rPr>
                <w:rStyle w:val="VerbatimChar"/>
              </w:rPr>
              <w:t xml:space="preserve">unique T-codes in disarm_ttps</w:t>
            </w:r>
          </w:p>
        </w:tc>
      </w:tr>
      <w:tr>
        <w:tc>
          <w:tcPr>
            <w:tcW w:w="3240" w:type="dxa"/>
          </w:tcPr>
          <w:p>
            <w:pPr>
              <w:pStyle w:val="Compact"/>
              <w:spacing w:after="40" w:before="40"/>
              <w:jc w:val="left"/>
            </w:pPr>
            <w:r>
              <w:t xml:space="preserve">DISARM technique mentions</w:t>
            </w:r>
          </w:p>
        </w:tc>
        <w:tc>
          <w:tcPr>
            <w:tcW w:w="1080" w:type="dxa"/>
          </w:tcPr>
          <w:p>
            <w:pPr>
              <w:pStyle w:val="Compact"/>
              <w:spacing w:after="40" w:before="40"/>
              <w:jc w:val="left"/>
            </w:pPr>
            <w:r>
              <w:t xml:space="preserve">12,518</w:t>
            </w:r>
          </w:p>
        </w:tc>
        <w:tc>
          <w:tcPr>
            <w:tcW w:w="4680" w:type="dxa"/>
          </w:tcPr>
          <w:p>
            <w:pPr>
              <w:pStyle w:val="Compact"/>
              <w:spacing w:after="40" w:before="40"/>
              <w:jc w:val="left"/>
            </w:pPr>
            <w:r>
              <w:rPr>
                <w:rStyle w:val="VerbatimChar"/>
              </w:rPr>
              <w:t xml:space="preserve">total codes in disarm_ttps</w:t>
            </w:r>
          </w:p>
        </w:tc>
      </w:tr>
      <w:tr>
        <w:tc>
          <w:tcPr>
            <w:tcW w:w="3240" w:type="dxa"/>
          </w:tcPr>
          <w:p>
            <w:pPr>
              <w:pStyle w:val="Compact"/>
              <w:spacing w:after="40" w:before="40"/>
              <w:jc w:val="left"/>
            </w:pPr>
            <w:r>
              <w:t xml:space="preserve">Rows flagged in institution_resolution</w:t>
            </w:r>
          </w:p>
        </w:tc>
        <w:tc>
          <w:tcPr>
            <w:tcW w:w="1080" w:type="dxa"/>
          </w:tcPr>
          <w:p>
            <w:pPr>
              <w:pStyle w:val="Compact"/>
              <w:spacing w:after="40" w:before="40"/>
              <w:jc w:val="left"/>
            </w:pPr>
            <w:r>
              <w:t xml:space="preserve">246</w:t>
            </w:r>
          </w:p>
        </w:tc>
        <w:tc>
          <w:tcPr>
            <w:tcW w:w="4680" w:type="dxa"/>
          </w:tcPr>
          <w:p>
            <w:pPr>
              <w:pStyle w:val="Compact"/>
              <w:spacing w:after="40" w:before="40"/>
              <w:jc w:val="left"/>
            </w:pPr>
            <w:r>
              <w:rPr>
                <w:rStyle w:val="VerbatimChar"/>
              </w:rPr>
              <w:t xml:space="preserve">d.institution_resolution.ne("").sum()</w:t>
            </w:r>
          </w:p>
        </w:tc>
      </w:tr>
      <w:tr>
        <w:tc>
          <w:tcPr>
            <w:tcW w:w="3240" w:type="dxa"/>
          </w:tcPr>
          <w:p>
            <w:pPr>
              <w:pStyle w:val="Compact"/>
              <w:spacing w:after="40" w:before="40"/>
              <w:jc w:val="left"/>
            </w:pPr>
            <w:r>
              <w:t xml:space="preserve">Variables</w:t>
            </w:r>
          </w:p>
        </w:tc>
        <w:tc>
          <w:tcPr>
            <w:tcW w:w="1080" w:type="dxa"/>
          </w:tcPr>
          <w:p>
            <w:pPr>
              <w:pStyle w:val="Compact"/>
              <w:spacing w:after="40" w:before="40"/>
              <w:jc w:val="left"/>
            </w:pPr>
            <w:r>
              <w:t xml:space="preserve">81</w:t>
            </w:r>
          </w:p>
        </w:tc>
        <w:tc>
          <w:tcPr>
            <w:tcW w:w="4680" w:type="dxa"/>
          </w:tcPr>
          <w:p>
            <w:pPr>
              <w:pStyle w:val="Compact"/>
              <w:spacing w:after="40" w:before="40"/>
              <w:jc w:val="left"/>
            </w:pPr>
            <w:r>
              <w:rPr>
                <w:rStyle w:val="VerbatimChar"/>
              </w:rPr>
              <w:t xml:space="preserve">len(d.columns)</w:t>
            </w:r>
          </w:p>
        </w:tc>
      </w:tr>
    </w:tbl>
    <w:bookmarkEnd w:id="31"/>
    <w:bookmarkStart w:id="33" w:name="X4bc0d6d3637845053d971c2b836ea710697468d"/>
    <w:p>
      <w:pPr>
        <w:pStyle w:val="Heading1"/>
      </w:pPr>
      <w:r>
        <w:rPr>
          <w:bCs/>
          <w:b/>
        </w:rPr>
        <w:t xml:space="preserve">9. Versions, citation and licence</w:t>
      </w:r>
    </w:p>
    <w:p>
      <w:pPr>
        <w:pStyle w:val="FirstParagraph"/>
      </w:pPr>
      <w:r>
        <w:t xml:space="preserve">Table 20 records the release history of the dataset. Codebook versions (1.0 and 2.4 to 2.4.6, on the title page) and dataset releases (v2.0 to v2.4.3) are separate series, and the document-information table names the dataset release that each codebook version describes.</w:t>
      </w:r>
    </w:p>
    <w:p>
      <w:pPr>
        <w:pStyle w:val="Caption"/>
      </w:pPr>
      <w:r>
        <w:rPr>
          <w:iCs/>
          <w:i/>
        </w:rPr>
        <w:t xml:space="preserve">Table 20: Release history.</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Version</w:t>
            </w:r>
          </w:p>
        </w:tc>
        <w:tc>
          <w:tcPr/>
          <w:p>
            <w:pPr>
              <w:pStyle w:val="Compact"/>
              <w:spacing w:after="40" w:before="40"/>
              <w:jc w:val="left"/>
            </w:pPr>
            <w:r>
              <w:t xml:space="preserve">Changes</w:t>
            </w:r>
          </w:p>
        </w:tc>
      </w:tr>
      <w:tr>
        <w:tc>
          <w:tcPr/>
          <w:p>
            <w:pPr>
              <w:pStyle w:val="Compact"/>
              <w:spacing w:after="40" w:before="40"/>
              <w:jc w:val="left"/>
            </w:pPr>
            <w:r>
              <w:t xml:space="preserve">v2.0</w:t>
            </w:r>
          </w:p>
        </w:tc>
        <w:tc>
          <w:tcPr/>
          <w:p>
            <w:pPr>
              <w:pStyle w:val="Compact"/>
              <w:spacing w:after="40" w:before="40"/>
              <w:jc w:val="left"/>
            </w:pPr>
            <w:r>
              <w:t xml:space="preserve">Target field split into information space and subject; field-role registry; attribution triple; interoperability crosswalk.</w:t>
            </w:r>
          </w:p>
        </w:tc>
      </w:tr>
      <w:tr>
        <w:tc>
          <w:tcPr/>
          <w:p>
            <w:pPr>
              <w:pStyle w:val="Compact"/>
              <w:spacing w:after="40" w:before="40"/>
              <w:jc w:val="left"/>
            </w:pPr>
            <w:r>
              <w:t xml:space="preserve">v2.1</w:t>
            </w:r>
          </w:p>
        </w:tc>
        <w:tc>
          <w:tcPr/>
          <w:p>
            <w:pPr>
              <w:pStyle w:val="Compact"/>
              <w:spacing w:after="40" w:before="40"/>
              <w:jc w:val="left"/>
            </w:pPr>
            <w:r>
              <w:t xml:space="preserve">Corroboration recomputed on canonical institutions; latency rebuilt on earliest publication; 115 unresolved targets excluded; codebook completed; verification terminology separated.</w:t>
            </w:r>
          </w:p>
        </w:tc>
      </w:tr>
      <w:tr>
        <w:tc>
          <w:tcPr/>
          <w:p>
            <w:pPr>
              <w:pStyle w:val="Compact"/>
              <w:spacing w:after="40" w:before="40"/>
              <w:jc w:val="left"/>
            </w:pPr>
            <w:r>
              <w:t xml:space="preserve">v2.2</w:t>
            </w:r>
          </w:p>
        </w:tc>
        <w:tc>
          <w:tcPr/>
          <w:p>
            <w:pPr>
              <w:pStyle w:val="Compact"/>
              <w:spacing w:after="40" w:before="40"/>
              <w:jc w:val="left"/>
            </w:pPr>
            <w:r>
              <w:t xml:space="preserve">Institution registry with stable identifiers introduced; jurisdiction propagated per institution; latency population encoded in the build; project quote verification withdrawn as unsupported; two further target conflicts queued.</w:t>
            </w:r>
          </w:p>
        </w:tc>
      </w:tr>
      <w:tr>
        <w:tc>
          <w:tcPr/>
          <w:p>
            <w:pPr>
              <w:pStyle w:val="Compact"/>
              <w:spacing w:after="40" w:before="40"/>
              <w:jc w:val="left"/>
            </w:pPr>
            <w:r>
              <w:t xml:space="preserve">v2.3</w:t>
            </w:r>
          </w:p>
        </w:tc>
        <w:tc>
          <w:tcPr/>
          <w:p>
            <w:pPr>
              <w:pStyle w:val="Compact"/>
              <w:spacing w:after="40" w:before="40"/>
              <w:jc w:val="left"/>
            </w:pPr>
            <w:r>
              <w:t xml:space="preserve">Registry rebuilt from all rows; acronym linking and orthographic normalisation; parent-organisation rule adopted for corroboration; portable build; full SHA-256.</w:t>
            </w:r>
          </w:p>
        </w:tc>
      </w:tr>
      <w:tr>
        <w:tc>
          <w:tcPr/>
          <w:p>
            <w:pPr>
              <w:pStyle w:val="Compact"/>
              <w:spacing w:after="40" w:before="40"/>
              <w:jc w:val="left"/>
            </w:pPr>
            <w:r>
              <w:t xml:space="preserve">v2.3.1</w:t>
            </w:r>
          </w:p>
        </w:tc>
        <w:tc>
          <w:tcPr/>
          <w:p>
            <w:pPr>
              <w:pStyle w:val="Compact"/>
              <w:spacing w:after="40" w:before="40"/>
              <w:jc w:val="left"/>
            </w:pPr>
            <w:r>
              <w:t xml:space="preserve">Explicit equivalence classes for translations and undeclared acronyms; joint publications carry a parent set; strict and broad corroboration measures separated.</w:t>
            </w:r>
          </w:p>
        </w:tc>
      </w:tr>
      <w:tr>
        <w:tc>
          <w:tcPr/>
          <w:p>
            <w:pPr>
              <w:pStyle w:val="Compact"/>
              <w:spacing w:after="40" w:before="40"/>
              <w:jc w:val="left"/>
            </w:pPr>
            <w:r>
              <w:t xml:space="preserve">v2.3.2</w:t>
            </w:r>
          </w:p>
        </w:tc>
        <w:tc>
          <w:tcPr/>
          <w:p>
            <w:pPr>
              <w:pStyle w:val="Compact"/>
              <w:spacing w:after="40" w:before="40"/>
              <w:jc w:val="left"/>
            </w:pPr>
            <w:r>
              <w:t xml:space="preserve">Joint-source decomposition made consistent; resolver leakage closed with an invariant assertion; both measures computed at document-by-parent level.</w:t>
            </w:r>
          </w:p>
        </w:tc>
      </w:tr>
      <w:tr>
        <w:tc>
          <w:tcPr/>
          <w:p>
            <w:pPr>
              <w:pStyle w:val="Compact"/>
              <w:spacing w:after="40" w:before="40"/>
              <w:jc w:val="left"/>
            </w:pPr>
            <w:r>
              <w:t xml:space="preserve">v2.3.3</w:t>
            </w:r>
          </w:p>
        </w:tc>
        <w:tc>
          <w:tcPr/>
          <w:p>
            <w:pPr>
              <w:pStyle w:val="Compact"/>
              <w:spacing w:after="40" w:before="40"/>
              <w:jc w:val="left"/>
            </w:pPr>
            <w:r>
              <w:t xml:space="preserve">Source identity separated from canonical parent institution with two registries; four Lithuanian joint labels resolved; broad measure reaches 61 of 3,030 (2.0%) while the strict measure remains 30 of 3,030 (less than 1%).</w:t>
            </w:r>
          </w:p>
        </w:tc>
      </w:tr>
      <w:tr>
        <w:tc>
          <w:tcPr/>
          <w:p>
            <w:pPr>
              <w:pStyle w:val="Compact"/>
              <w:spacing w:after="40" w:before="40"/>
              <w:jc w:val="left"/>
            </w:pPr>
            <w:r>
              <w:t xml:space="preserve">v2.4</w:t>
            </w:r>
          </w:p>
        </w:tc>
        <w:tc>
          <w:tcPr/>
          <w:p>
            <w:pPr>
              <w:pStyle w:val="Compact"/>
              <w:spacing w:after="40" w:before="40"/>
              <w:jc w:val="left"/>
            </w:pPr>
            <w:r>
              <w:t xml:space="preserve">Eleven files consolidated into one flat file in UCDP form. Registries, document metadata and the long relations folded into the row or into this codebook. Variables renamed to lower case with underscores, multi-value fields given a single semicolon delimiter, and 10 superseded columns retired; the actor recode (codebook version 2.4.1) then rewrote actor_named and retired 2 more. No frozen headline figure changed.</w:t>
            </w:r>
          </w:p>
        </w:tc>
      </w:tr>
      <w:tr>
        <w:tc>
          <w:tcPr/>
          <w:p>
            <w:pPr>
              <w:pStyle w:val="Compact"/>
              <w:spacing w:after="40" w:before="40"/>
              <w:jc w:val="left"/>
            </w:pPr>
            <w:r>
              <w:t xml:space="preserve">v2.4.1</w:t>
            </w:r>
          </w:p>
        </w:tc>
        <w:tc>
          <w:tcPr/>
          <w:p>
            <w:pPr>
              <w:pStyle w:val="Compact"/>
              <w:spacing w:after="40" w:before="40"/>
              <w:jc w:val="left"/>
            </w:pPr>
            <w:r>
              <w:t xml:space="preserve">Row id 740 withdrawn, a year-level trend statement carrying no platform, format or language, which reduced the incident total to 3,029; 129 supporting quotations restored to their unnormalised form; the cited_sources field restored as free text after a delimiter conversion had split names and titles; the institution fields backfilled on 162 rows from other rows of the same source document.</w:t>
            </w:r>
          </w:p>
        </w:tc>
      </w:tr>
      <w:tr>
        <w:tc>
          <w:tcPr/>
          <w:p>
            <w:pPr>
              <w:pStyle w:val="Compact"/>
              <w:spacing w:after="40" w:before="40"/>
              <w:jc w:val="left"/>
            </w:pPr>
            <w:r>
              <w:t xml:space="preserve">v2.4.2</w:t>
            </w:r>
          </w:p>
        </w:tc>
        <w:tc>
          <w:tcPr/>
          <w:p>
            <w:pPr>
              <w:pStyle w:val="Compact"/>
              <w:spacing w:after="40" w:before="40"/>
              <w:jc w:val="left"/>
            </w:pPr>
            <w:r>
              <w:t xml:space="preserve">The v2.4.1 backfill reverted, so that the institution fields remain row-level coded observations and are not imputed from sibling rows of the same document; the outcome recorded instead as the flag institution_resolution, and the concentration figures return to the frozen values (2,797 named incidents, 8 parent institutions for half the record, 515 NATO StratCom incidents); the annotated value None restored as</w:t>
            </w:r>
            <w:r>
              <w:t xml:space="preserve"> </w:t>
            </w:r>
            <w:r>
              <w:rPr>
                <w:rStyle w:val="VerbatimChar"/>
              </w:rPr>
              <w:t xml:space="preserve">None recorded</w:t>
            </w:r>
            <w:r>
              <w:t xml:space="preserve"> </w:t>
            </w:r>
            <w:r>
              <w:t xml:space="preserve">in official_response, international_response, evidence_of_impact and evidence_of_coordination (7,186 cells); 88 variables.</w:t>
            </w:r>
          </w:p>
        </w:tc>
      </w:tr>
      <w:tr>
        <w:tc>
          <w:tcPr/>
          <w:p>
            <w:pPr>
              <w:pStyle w:val="Compact"/>
              <w:spacing w:after="40" w:before="40"/>
              <w:jc w:val="left"/>
            </w:pPr>
            <w:r>
              <w:t xml:space="preserve">v2.4.3</w:t>
            </w:r>
          </w:p>
        </w:tc>
        <w:tc>
          <w:tcPr/>
          <w:p>
            <w:pPr>
              <w:pStyle w:val="Compact"/>
              <w:spacing w:after="40" w:before="40"/>
              <w:jc w:val="left"/>
            </w:pPr>
            <w:r>
              <w:t xml:space="preserve">Submission release. Seven columns dropped: judgement_formed_date, which was empty by design, quote_match_method, quote_verification, disarm_version, extraction_method and extraction_date, which held one constant value each and are now stated in Section 2, and event_cluster_id, which repeated event_id in another form. No value in any remaining column changed; 81 variables.</w:t>
            </w:r>
          </w:p>
        </w:tc>
      </w:tr>
    </w:tbl>
    <w:p>
      <w:pPr>
        <w:pStyle w:val="BodyText"/>
      </w:pPr>
      <w:r>
        <w:t xml:space="preserve">Each release carries a digest. The SHA-256 of the frozen release v2.3.3, from which v2.4 was consolidated, is ef1ddf7f663fe4894c40b243e7acc85e8831093010e7aeac29d0a8b9290e1b3d; of DCFIMIEvent_v2_4.csv, 2c0c2b617e29f02e7d8720bbd80cf4abedc49ab14221a3fa082292067721b94c; of DCFIMIEvent_v2_4_1.csv, 552b97b1c656a2c4fe1fd24180073bca086c1521d83c3b692f24ccc1b9deed62; of DCFIMIEvent_v2_4_2.csv, fba82541de2f225a4edcc654ed327b4f7d94bf095406d0698c867bc5eccd95e3; and of the released file DCFIMIEvent_v2_4_3.csv, 737f23bea8fabfd312c5903730d2b9022be7e6cd9eaeb09a5ae30bcaa26fa649.</w:t>
      </w:r>
    </w:p>
    <w:p>
      <w:pPr>
        <w:pStyle w:val="BodyText"/>
      </w:pPr>
      <w:r>
        <w:t xml:space="preserve">Three releases corrected the consolidated file. Release v2.4.1 withdrew row id 740, a year-level statement carrying no platform, format or language, which had left the platform count reading 1,976 where 1,975 platforms were identified, and it restored 129 quotations and the</w:t>
      </w:r>
      <w:r>
        <w:t xml:space="preserve"> </w:t>
      </w:r>
      <w:r>
        <w:rPr>
          <w:rStyle w:val="VerbatimChar"/>
        </w:rPr>
        <w:t xml:space="preserve">cited_sources</w:t>
      </w:r>
      <w:r>
        <w:t xml:space="preserve"> </w:t>
      </w:r>
      <w:r>
        <w:t xml:space="preserve">field to the annotated text. Release v2.4.2 restored the</w:t>
      </w:r>
      <w:r>
        <w:t xml:space="preserve"> </w:t>
      </w:r>
      <w:r>
        <w:rPr>
          <w:rStyle w:val="VerbatimChar"/>
        </w:rPr>
        <w:t xml:space="preserve">None recorded</w:t>
      </w:r>
      <w:r>
        <w:t xml:space="preserve"> </w:t>
      </w:r>
      <w:r>
        <w:t xml:space="preserve">value described in Section 2 and reverted a backfill of the institution fields that v2.4.1 had applied to 162 rows from other rows of the same document; the institution fields are row-level coded observations, this release does not impute them from sibling rows, and the concentration figures therefore return to the values the deliverable froze. The column</w:t>
      </w:r>
      <w:r>
        <w:t xml:space="preserve"> </w:t>
      </w:r>
      <w:r>
        <w:rPr>
          <w:rStyle w:val="VerbatimChar"/>
        </w:rPr>
        <w:t xml:space="preserve">institution_resolution</w:t>
      </w:r>
      <w:r>
        <w:t xml:space="preserve"> </w:t>
      </w:r>
      <w:r>
        <w:t xml:space="preserve">records, for each of the 246 rows without an identified institution, whether the same source document names exactly one institution elsewhere. Release v2.4.3 dropped 7 columns: 6 that held one constant value in every row, stated once in Section 2, and</w:t>
      </w:r>
      <w:r>
        <w:t xml:space="preserve"> </w:t>
      </w:r>
      <w:r>
        <w:rPr>
          <w:rStyle w:val="VerbatimChar"/>
        </w:rPr>
        <w:t xml:space="preserve">event_cluster_id</w:t>
      </w:r>
      <w:r>
        <w:t xml:space="preserve">, which was</w:t>
      </w:r>
      <w:r>
        <w:t xml:space="preserve"> </w:t>
      </w:r>
      <w:r>
        <w:rPr>
          <w:rStyle w:val="VerbatimChar"/>
        </w:rPr>
        <w:t xml:space="preserve">event_id</w:t>
      </w:r>
      <w:r>
        <w:t xml:space="preserve"> </w:t>
      </w:r>
      <w:r>
        <w:t xml:space="preserve">written as EVT_ followed by the number padded to 5 digits.</w:t>
      </w:r>
    </w:p>
    <w:p>
      <w:pPr>
        <w:pStyle w:val="BodyText"/>
      </w:pPr>
      <w:r>
        <w:t xml:space="preserve">We retired 19 columns across the release: 10 at the v2.4 consolidation, because each duplicated another column or preserved a superseded intermediate; 2 at the actor recode,</w:t>
      </w:r>
      <w:r>
        <w:t xml:space="preserve"> </w:t>
      </w:r>
      <w:r>
        <w:rPr>
          <w:rStyle w:val="VerbatimChar"/>
        </w:rPr>
        <w:t xml:space="preserve">Actor_Canonical</w:t>
      </w:r>
      <w:r>
        <w:t xml:space="preserve"> </w:t>
      </w:r>
      <w:r>
        <w:t xml:space="preserve">and</w:t>
      </w:r>
      <w:r>
        <w:t xml:space="preserve"> </w:t>
      </w:r>
      <w:r>
        <w:rPr>
          <w:rStyle w:val="VerbatimChar"/>
        </w:rPr>
        <w:t xml:space="preserve">Actor_Resolution_Status</w:t>
      </w:r>
      <w:r>
        <w:t xml:space="preserve">, because the actor category made them redundant; and 7 at v2.4.3, because each was empty or constant. Nothing analytically distinct was removed, and every audit trail the design promises is still present.</w:t>
      </w:r>
    </w:p>
    <w:p>
      <w:pPr>
        <w:pStyle w:val="Caption"/>
      </w:pPr>
      <w:r>
        <w:rPr>
          <w:iCs/>
          <w:i/>
        </w:rPr>
        <w:t xml:space="preserve">Table 21: Columns retired from v2.4 to v2.4.3.</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true"/>
        </w:trPr>
        <w:tc>
          <w:tcPr/>
          <w:p>
            <w:pPr>
              <w:pStyle w:val="Compact"/>
              <w:spacing w:after="40" w:before="40"/>
              <w:jc w:val="left"/>
            </w:pPr>
            <w:r>
              <w:t xml:space="preserve">Retired column</w:t>
            </w:r>
          </w:p>
        </w:tc>
        <w:tc>
          <w:tcPr/>
          <w:p>
            <w:pPr>
              <w:pStyle w:val="Compact"/>
              <w:spacing w:after="40" w:before="40"/>
              <w:jc w:val="left"/>
            </w:pPr>
            <w:r>
              <w:t xml:space="preserve">Why</w:t>
            </w:r>
          </w:p>
        </w:tc>
      </w:tr>
      <w:tr>
        <w:tc>
          <w:tcPr/>
          <w:p>
            <w:pPr>
              <w:pStyle w:val="Compact"/>
              <w:spacing w:after="40" w:before="40"/>
              <w:jc w:val="left"/>
            </w:pPr>
            <w:r>
              <w:rPr>
                <w:rStyle w:val="VerbatimChar"/>
              </w:rPr>
              <w:t xml:space="preserve">Institution</w:t>
            </w:r>
          </w:p>
        </w:tc>
        <w:tc>
          <w:tcPr/>
          <w:p>
            <w:pPr>
              <w:pStyle w:val="Compact"/>
              <w:spacing w:after="40" w:before="40"/>
              <w:jc w:val="left"/>
            </w:pPr>
            <w:r>
              <w:t xml:space="preserve">Superseded by source_identity, which resolves the same names across all rows.</w:t>
            </w:r>
          </w:p>
        </w:tc>
      </w:tr>
      <w:tr>
        <w:tc>
          <w:tcPr/>
          <w:p>
            <w:pPr>
              <w:pStyle w:val="Compact"/>
              <w:spacing w:after="40" w:before="40"/>
              <w:jc w:val="left"/>
            </w:pPr>
            <w:r>
              <w:rPr>
                <w:rStyle w:val="VerbatimChar"/>
              </w:rPr>
              <w:t xml:space="preserve">Institution_Display</w:t>
            </w:r>
          </w:p>
        </w:tc>
        <w:tc>
          <w:tcPr/>
          <w:p>
            <w:pPr>
              <w:pStyle w:val="Compact"/>
              <w:spacing w:after="40" w:before="40"/>
              <w:jc w:val="left"/>
            </w:pPr>
            <w:r>
              <w:t xml:space="preserve">Renamed to source_identity.</w:t>
            </w:r>
          </w:p>
        </w:tc>
      </w:tr>
      <w:tr>
        <w:tc>
          <w:tcPr/>
          <w:p>
            <w:pPr>
              <w:pStyle w:val="Compact"/>
              <w:spacing w:after="40" w:before="40"/>
              <w:jc w:val="left"/>
            </w:pPr>
            <w:r>
              <w:rPr>
                <w:rStyle w:val="VerbatimChar"/>
              </w:rPr>
              <w:t xml:space="preserve">Institution_ID</w:t>
            </w:r>
          </w:p>
        </w:tc>
        <w:tc>
          <w:tcPr/>
          <w:p>
            <w:pPr>
              <w:pStyle w:val="Compact"/>
              <w:spacing w:after="40" w:before="40"/>
              <w:jc w:val="left"/>
            </w:pPr>
            <w:r>
              <w:t xml:space="preserve">Identical to source_identity_id in every row.</w:t>
            </w:r>
          </w:p>
        </w:tc>
      </w:tr>
      <w:tr>
        <w:tc>
          <w:tcPr/>
          <w:p>
            <w:pPr>
              <w:pStyle w:val="Compact"/>
              <w:spacing w:after="40" w:before="40"/>
              <w:jc w:val="left"/>
            </w:pPr>
            <w:r>
              <w:rPr>
                <w:rStyle w:val="VerbatimChar"/>
              </w:rPr>
              <w:t xml:space="preserve">Primary_Country</w:t>
            </w:r>
          </w:p>
        </w:tc>
        <w:tc>
          <w:tcPr/>
          <w:p>
            <w:pPr>
              <w:pStyle w:val="Compact"/>
              <w:spacing w:after="40" w:before="40"/>
              <w:jc w:val="left"/>
            </w:pPr>
            <w:r>
              <w:t xml:space="preserve">Identical to target_information_space in every row.</w:t>
            </w:r>
          </w:p>
        </w:tc>
      </w:tr>
      <w:tr>
        <w:tc>
          <w:tcPr/>
          <w:p>
            <w:pPr>
              <w:pStyle w:val="Compact"/>
              <w:spacing w:after="40" w:before="40"/>
              <w:jc w:val="left"/>
            </w:pPr>
            <w:r>
              <w:rPr>
                <w:rStyle w:val="VerbatimChar"/>
              </w:rPr>
              <w:t xml:space="preserve">Start_Date, End_Date</w:t>
            </w:r>
          </w:p>
        </w:tc>
        <w:tc>
          <w:tcPr/>
          <w:p>
            <w:pPr>
              <w:pStyle w:val="Compact"/>
              <w:spacing w:after="40" w:before="40"/>
              <w:jc w:val="left"/>
            </w:pPr>
            <w:r>
              <w:t xml:space="preserve">Identical to date_start_raw and date_end_raw in every row.</w:t>
            </w:r>
          </w:p>
        </w:tc>
      </w:tr>
      <w:tr>
        <w:tc>
          <w:tcPr/>
          <w:p>
            <w:pPr>
              <w:pStyle w:val="Compact"/>
              <w:spacing w:after="40" w:before="40"/>
              <w:jc w:val="left"/>
            </w:pPr>
            <w:r>
              <w:rPr>
                <w:rStyle w:val="VerbatimChar"/>
              </w:rPr>
              <w:t xml:space="preserve">Institution_Count_v20</w:t>
            </w:r>
          </w:p>
        </w:tc>
        <w:tc>
          <w:tcPr/>
          <w:p>
            <w:pPr>
              <w:pStyle w:val="Compact"/>
              <w:spacing w:after="40" w:before="40"/>
              <w:jc w:val="left"/>
            </w:pPr>
            <w:r>
              <w:t xml:space="preserve">Back-compatibility copy of the v2.0 institution count.</w:t>
            </w:r>
          </w:p>
        </w:tc>
      </w:tr>
      <w:tr>
        <w:tc>
          <w:tcPr/>
          <w:p>
            <w:pPr>
              <w:pStyle w:val="Compact"/>
              <w:spacing w:after="40" w:before="40"/>
              <w:jc w:val="left"/>
            </w:pPr>
            <w:r>
              <w:rPr>
                <w:rStyle w:val="VerbatimChar"/>
              </w:rPr>
              <w:t xml:space="preserve">Source_Institution</w:t>
            </w:r>
          </w:p>
        </w:tc>
        <w:tc>
          <w:tcPr/>
          <w:p>
            <w:pPr>
              <w:pStyle w:val="Compact"/>
              <w:spacing w:after="40" w:before="40"/>
              <w:jc w:val="left"/>
            </w:pPr>
            <w:r>
              <w:t xml:space="preserve">Duplicate raw institution string; institution_named retains the audit trail.</w:t>
            </w:r>
          </w:p>
        </w:tc>
      </w:tr>
      <w:tr>
        <w:tc>
          <w:tcPr/>
          <w:p>
            <w:pPr>
              <w:pStyle w:val="Compact"/>
              <w:spacing w:after="40" w:before="40"/>
              <w:jc w:val="left"/>
            </w:pPr>
            <w:r>
              <w:rPr>
                <w:rStyle w:val="VerbatimChar"/>
              </w:rPr>
              <w:t xml:space="preserve">Source_Institution_Canonical</w:t>
            </w:r>
          </w:p>
        </w:tc>
        <w:tc>
          <w:tcPr/>
          <w:p>
            <w:pPr>
              <w:pStyle w:val="Compact"/>
              <w:spacing w:after="40" w:before="40"/>
              <w:jc w:val="left"/>
            </w:pPr>
            <w:r>
              <w:t xml:space="preserve">Intermediate v1.1 normalisation, superseded twice over.</w:t>
            </w:r>
          </w:p>
        </w:tc>
      </w:tr>
      <w:tr>
        <w:tc>
          <w:tcPr/>
          <w:p>
            <w:pPr>
              <w:pStyle w:val="Compact"/>
              <w:spacing w:after="40" w:before="40"/>
              <w:jc w:val="left"/>
            </w:pPr>
            <w:r>
              <w:rPr>
                <w:rStyle w:val="VerbatimChar"/>
              </w:rPr>
              <w:t xml:space="preserve">Actor_Canonical_Source</w:t>
            </w:r>
          </w:p>
        </w:tc>
        <w:tc>
          <w:tcPr/>
          <w:p>
            <w:pPr>
              <w:pStyle w:val="Compact"/>
              <w:spacing w:after="40" w:before="40"/>
              <w:jc w:val="left"/>
            </w:pPr>
            <w:r>
              <w:t xml:space="preserve">Intermediate normalisation, superseded by the actor category in Section 6.</w:t>
            </w:r>
          </w:p>
        </w:tc>
      </w:tr>
      <w:tr>
        <w:tc>
          <w:tcPr/>
          <w:p>
            <w:pPr>
              <w:pStyle w:val="Compact"/>
              <w:spacing w:after="40" w:before="40"/>
              <w:jc w:val="left"/>
            </w:pPr>
            <w:r>
              <w:rPr>
                <w:rStyle w:val="VerbatimChar"/>
              </w:rPr>
              <w:t xml:space="preserve">Actor_Canonical</w:t>
            </w:r>
          </w:p>
        </w:tc>
        <w:tc>
          <w:tcPr/>
          <w:p>
            <w:pPr>
              <w:pStyle w:val="Compact"/>
              <w:spacing w:after="40" w:before="40"/>
              <w:jc w:val="left"/>
            </w:pPr>
            <w:r>
              <w:t xml:space="preserve">Superseded by the actor category in Section 6.</w:t>
            </w:r>
          </w:p>
        </w:tc>
      </w:tr>
      <w:tr>
        <w:tc>
          <w:tcPr/>
          <w:p>
            <w:pPr>
              <w:pStyle w:val="Compact"/>
              <w:spacing w:after="40" w:before="40"/>
              <w:jc w:val="left"/>
            </w:pPr>
            <w:r>
              <w:rPr>
                <w:rStyle w:val="VerbatimChar"/>
              </w:rPr>
              <w:t xml:space="preserve">Actor_Resolution_Status</w:t>
            </w:r>
          </w:p>
        </w:tc>
        <w:tc>
          <w:tcPr/>
          <w:p>
            <w:pPr>
              <w:pStyle w:val="Compact"/>
              <w:spacing w:after="40" w:before="40"/>
              <w:jc w:val="left"/>
            </w:pPr>
            <w:r>
              <w:t xml:space="preserve">Superseded by the actor category, which has no unresolved state.</w:t>
            </w:r>
          </w:p>
        </w:tc>
      </w:tr>
      <w:tr>
        <w:tc>
          <w:tcPr/>
          <w:p>
            <w:pPr>
              <w:pStyle w:val="Compact"/>
              <w:spacing w:after="40" w:before="40"/>
              <w:jc w:val="left"/>
            </w:pPr>
            <w:r>
              <w:rPr>
                <w:rStyle w:val="VerbatimChar"/>
              </w:rPr>
              <w:t xml:space="preserve">event_cluster_id</w:t>
            </w:r>
          </w:p>
        </w:tc>
        <w:tc>
          <w:tcPr/>
          <w:p>
            <w:pPr>
              <w:pStyle w:val="Compact"/>
              <w:spacing w:after="40" w:before="40"/>
              <w:jc w:val="left"/>
            </w:pPr>
            <w:r>
              <w:t xml:space="preserve">event_id in EVT_ form; dropped at v2.4.3.</w:t>
            </w:r>
          </w:p>
        </w:tc>
      </w:tr>
      <w:tr>
        <w:tc>
          <w:tcPr/>
          <w:p>
            <w:pPr>
              <w:pStyle w:val="Compact"/>
              <w:spacing w:after="40" w:before="40"/>
              <w:jc w:val="left"/>
            </w:pPr>
            <w:r>
              <w:rPr>
                <w:rStyle w:val="VerbatimChar"/>
              </w:rPr>
              <w:t xml:space="preserve">judgement_formed_date</w:t>
            </w:r>
          </w:p>
        </w:tc>
        <w:tc>
          <w:tcPr/>
          <w:p>
            <w:pPr>
              <w:pStyle w:val="Compact"/>
              <w:spacing w:after="40" w:before="40"/>
              <w:jc w:val="left"/>
            </w:pPr>
            <w:r>
              <w:t xml:space="preserve">Empty by design; dropped at v2.4.3, Section 6 states why.</w:t>
            </w:r>
          </w:p>
        </w:tc>
      </w:tr>
      <w:tr>
        <w:tc>
          <w:tcPr/>
          <w:p>
            <w:pPr>
              <w:pStyle w:val="Compact"/>
              <w:spacing w:after="40" w:before="40"/>
              <w:jc w:val="left"/>
            </w:pPr>
            <w:r>
              <w:rPr>
                <w:rStyle w:val="VerbatimChar"/>
              </w:rPr>
              <w:t xml:space="preserve">quote_match_method</w:t>
            </w:r>
            <w:r>
              <w:t xml:space="preserve">,</w:t>
            </w:r>
            <w:r>
              <w:t xml:space="preserve"> </w:t>
            </w:r>
            <w:r>
              <w:rPr>
                <w:rStyle w:val="VerbatimChar"/>
              </w:rPr>
              <w:t xml:space="preserve">quote_verification</w:t>
            </w:r>
            <w:r>
              <w:t xml:space="preserve">,</w:t>
            </w:r>
            <w:r>
              <w:t xml:space="preserve"> </w:t>
            </w:r>
            <w:r>
              <w:rPr>
                <w:rStyle w:val="VerbatimChar"/>
              </w:rPr>
              <w:t xml:space="preserve">disarm_version</w:t>
            </w:r>
            <w:r>
              <w:t xml:space="preserve">,</w:t>
            </w:r>
            <w:r>
              <w:t xml:space="preserve"> </w:t>
            </w:r>
            <w:r>
              <w:rPr>
                <w:rStyle w:val="VerbatimChar"/>
              </w:rPr>
              <w:t xml:space="preserve">extraction_method</w:t>
            </w:r>
            <w:r>
              <w:t xml:space="preserve">,</w:t>
            </w:r>
            <w:r>
              <w:t xml:space="preserve"> </w:t>
            </w:r>
            <w:r>
              <w:rPr>
                <w:rStyle w:val="VerbatimChar"/>
              </w:rPr>
              <w:t xml:space="preserve">extraction_date</w:t>
            </w:r>
          </w:p>
        </w:tc>
        <w:tc>
          <w:tcPr/>
          <w:p>
            <w:pPr>
              <w:pStyle w:val="Compact"/>
              <w:spacing w:after="40" w:before="40"/>
              <w:jc w:val="left"/>
            </w:pPr>
            <w:r>
              <w:t xml:space="preserve">One constant value each; dropped at v2.4.3 and stated once in Section 2.</w:t>
            </w:r>
          </w:p>
        </w:tc>
      </w:tr>
    </w:tbl>
    <w:p>
      <w:pPr>
        <w:pStyle w:val="BodyText"/>
      </w:pPr>
      <w:r>
        <w:t xml:space="preserve">Cite the dataset as follows.</w:t>
      </w:r>
    </w:p>
    <w:p>
      <w:pPr>
        <w:pStyle w:val="BodyText"/>
      </w:pPr>
      <w:r>
        <w:t xml:space="preserve">DE-CONSPIRATOR Consortium (2026). The DE-CONSPIRATOR FIMI Attribution Event Dataset, release v2.4.3. Deliverable D4.2, Horizon Europe Grant Agreement 101132671.</w:t>
      </w:r>
    </w:p>
    <w:p>
      <w:pPr>
        <w:pStyle w:val="BodyText"/>
      </w:pPr>
      <w:r>
        <w:rPr>
          <w:rStyle w:val="VerbatimChar"/>
        </w:rPr>
        <w:t xml:space="preserve">10.3030/101132671</w:t>
      </w:r>
      <w:r>
        <w:t xml:space="preserve"> </w:t>
      </w:r>
      <w:r>
        <w:t xml:space="preserve">identifies the DE-CONSPIRATOR project alone. We will deposit the dataset in an open repository and mint a persistent identifier of its own, and until we do a citation should name the project DOI as a project identifier.</w:t>
      </w:r>
    </w:p>
    <w:p>
      <w:pPr>
        <w:pStyle w:val="BodyText"/>
      </w:pPr>
      <w:r>
        <w:t xml:space="preserve">We release the data and this codebook under the Creative Commons Attribution 4.0 International licence, which permits reuse, adaptation and redistribution for any purpose, including commercially, provided that the user gives attribution. Third-party material quoted from source documents remains subject to the rights of its original publishers, and we reproduce it to evidence the attributions we record.</w:t>
      </w:r>
    </w:p>
    <w:p>
      <w:pPr>
        <w:pStyle w:val="BodyText"/>
      </w:pPr>
      <w:r>
        <w:t xml:space="preserve">Any institution or individual named in the dataset may contest a row. Because every row carries the source document, page and quotation, anyone can check a contested row against its source quickly. We record corrections in the corrections sheet of the registries workbook and never apply them silently. Write to</w:t>
      </w:r>
      <w:r>
        <w:t xml:space="preserve"> </w:t>
      </w:r>
      <w:hyperlink r:id="rId32">
        <w:r>
          <w:rPr>
            <w:rStyle w:val="Hyperlink"/>
          </w:rPr>
          <w:t xml:space="preserve">info@deconspirator-project.eu</w:t>
        </w:r>
      </w:hyperlink>
      <w:r>
        <w:t xml:space="preserve">.</w:t>
      </w:r>
    </w:p>
    <w:p>
      <w:pPr>
        <w:pStyle w:val="BodyText"/>
      </w:pPr>
      <w:r>
        <w:t xml:space="preserve">A single script builds release v2.3.3 from the published v2.2 file, regenerates both registries, the changelog and the manifest, and runs 8 assertions that fail the build if a published figure does not reproduce. Release v2.4 consolidates that output into one file without recomputing any value, and releases v2.4.1 to v2.4.3 apply the corrections in Table 20. The scripts and the v2.2 input file are held with the repository record, so the rebuild cannot yet be carried out independently of us, and the digest of the v2.3.3 file, ef1ddf7f663fe4894c40b243e7acc85e8831093010e7aeac29d0a8b9290e1b3d, lets any rebuild be checked. The script reproduce_figures.py in the supporting materials checks every line of Table 19 against the released file.</w:t>
      </w:r>
    </w:p>
    <w:bookmarkEnd w:id="33"/>
    <w:bookmarkStart w:id="34" w:name="appendix-a-institution-registry"/>
    <w:p>
      <w:pPr>
        <w:pStyle w:val="Heading1"/>
      </w:pPr>
      <w:r>
        <w:rPr>
          <w:bCs/>
          <w:b/>
        </w:rPr>
        <w:t xml:space="preserve">Appendix A. Institution registry</w:t>
      </w:r>
    </w:p>
    <w:p>
      <w:pPr>
        <w:pStyle w:val="FirstParagraph"/>
      </w:pPr>
      <w:r>
        <w:t xml:space="preserve">The institutions sheet of the registries workbook lists the 97 canonical parent institutions with institution_id, institution, jurisdiction, institution_type, rows and incidents. Join to the CSV on parent_institution_ids, exploded on the semicolon. rows counts rows in the file and incidents counts distinct incidents; a jointly published document counts for each parent behind it.</w:t>
      </w:r>
    </w:p>
    <w:p>
      <w:pPr>
        <w:pStyle w:val="Caption"/>
      </w:pPr>
      <w:r>
        <w:rPr>
          <w:iCs/>
          <w:i/>
        </w:rPr>
        <w:t xml:space="preserve">Table 22: The first 5 rows of the institutions sheet.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080"/>
        <w:gridCol w:w="3600"/>
        <w:gridCol w:w="1260"/>
        <w:gridCol w:w="1620"/>
        <w:gridCol w:w="720"/>
        <w:gridCol w:w="720"/>
      </w:tblGrid>
      <w:tr>
        <w:trPr>
          <w:tblHeader w:val="true"/>
        </w:trPr>
        <w:tc>
          <w:tcPr>
            <w:tcW w:w="1080" w:type="dxa"/>
          </w:tcPr>
          <w:p>
            <w:pPr>
              <w:pStyle w:val="Compact"/>
              <w:spacing w:after="40" w:before="40"/>
              <w:jc w:val="left"/>
            </w:pPr>
            <w:r>
              <w:t xml:space="preserve">institution_id</w:t>
            </w:r>
          </w:p>
        </w:tc>
        <w:tc>
          <w:tcPr>
            <w:tcW w:w="3600" w:type="dxa"/>
          </w:tcPr>
          <w:p>
            <w:pPr>
              <w:pStyle w:val="Compact"/>
              <w:spacing w:after="40" w:before="40"/>
              <w:jc w:val="left"/>
            </w:pPr>
            <w:r>
              <w:t xml:space="preserve">institution</w:t>
            </w:r>
          </w:p>
        </w:tc>
        <w:tc>
          <w:tcPr>
            <w:tcW w:w="1260" w:type="dxa"/>
          </w:tcPr>
          <w:p>
            <w:pPr>
              <w:pStyle w:val="Compact"/>
              <w:spacing w:after="40" w:before="40"/>
              <w:jc w:val="left"/>
            </w:pPr>
            <w:r>
              <w:t xml:space="preserve">jurisdiction</w:t>
            </w:r>
          </w:p>
        </w:tc>
        <w:tc>
          <w:tcPr>
            <w:tcW w:w="1620" w:type="dxa"/>
          </w:tcPr>
          <w:p>
            <w:pPr>
              <w:pStyle w:val="Compact"/>
              <w:spacing w:after="40" w:before="40"/>
              <w:jc w:val="left"/>
            </w:pPr>
            <w:r>
              <w:t xml:space="preserve">institution_type</w:t>
            </w:r>
          </w:p>
        </w:tc>
        <w:tc>
          <w:tcPr>
            <w:tcW w:w="720" w:type="dxa"/>
          </w:tcPr>
          <w:p>
            <w:pPr>
              <w:pStyle w:val="Compact"/>
              <w:spacing w:after="40" w:before="40"/>
              <w:jc w:val="left"/>
            </w:pPr>
            <w:r>
              <w:t xml:space="preserve">rows</w:t>
            </w:r>
          </w:p>
        </w:tc>
        <w:tc>
          <w:tcPr>
            <w:tcW w:w="720" w:type="dxa"/>
          </w:tcPr>
          <w:p>
            <w:pPr>
              <w:pStyle w:val="Compact"/>
              <w:spacing w:after="40" w:before="40"/>
              <w:jc w:val="left"/>
            </w:pPr>
            <w:r>
              <w:t xml:space="preserve">incidents</w:t>
            </w:r>
          </w:p>
        </w:tc>
      </w:tr>
      <w:tr>
        <w:tc>
          <w:tcPr>
            <w:tcW w:w="1080" w:type="dxa"/>
          </w:tcPr>
          <w:p>
            <w:pPr>
              <w:pStyle w:val="Compact"/>
              <w:spacing w:after="40" w:before="40"/>
              <w:jc w:val="left"/>
            </w:pPr>
            <w:r>
              <w:t xml:space="preserve">INST-001</w:t>
            </w:r>
          </w:p>
        </w:tc>
        <w:tc>
          <w:tcPr>
            <w:tcW w:w="360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Multinational</w:t>
            </w:r>
          </w:p>
        </w:tc>
        <w:tc>
          <w:tcPr>
            <w:tcW w:w="1620" w:type="dxa"/>
          </w:tcPr>
          <w:p>
            <w:pPr>
              <w:pStyle w:val="Compact"/>
              <w:spacing w:after="40" w:before="40"/>
              <w:jc w:val="left"/>
            </w:pPr>
            <w:r>
              <w:t xml:space="preserve">NATO</w:t>
            </w:r>
          </w:p>
        </w:tc>
        <w:tc>
          <w:tcPr>
            <w:tcW w:w="720" w:type="dxa"/>
          </w:tcPr>
          <w:p>
            <w:pPr>
              <w:pStyle w:val="Compact"/>
              <w:spacing w:after="40" w:before="40"/>
              <w:jc w:val="left"/>
            </w:pPr>
            <w:r>
              <w:t xml:space="preserve">529</w:t>
            </w:r>
          </w:p>
        </w:tc>
        <w:tc>
          <w:tcPr>
            <w:tcW w:w="720" w:type="dxa"/>
          </w:tcPr>
          <w:p>
            <w:pPr>
              <w:pStyle w:val="Compact"/>
              <w:spacing w:after="40" w:before="40"/>
              <w:jc w:val="left"/>
            </w:pPr>
            <w:r>
              <w:t xml:space="preserve">515</w:t>
            </w:r>
          </w:p>
        </w:tc>
      </w:tr>
      <w:tr>
        <w:tc>
          <w:tcPr>
            <w:tcW w:w="1080" w:type="dxa"/>
          </w:tcPr>
          <w:p>
            <w:pPr>
              <w:pStyle w:val="Compact"/>
              <w:spacing w:after="40" w:before="40"/>
              <w:jc w:val="left"/>
            </w:pPr>
            <w:r>
              <w:t xml:space="preserve">INST-002</w:t>
            </w:r>
          </w:p>
        </w:tc>
        <w:tc>
          <w:tcPr>
            <w:tcW w:w="3600" w:type="dxa"/>
          </w:tcPr>
          <w:p>
            <w:pPr>
              <w:pStyle w:val="Compact"/>
              <w:spacing w:after="40" w:before="40"/>
              <w:jc w:val="left"/>
            </w:pPr>
            <w:r>
              <w:t xml:space="preserve">Atlantic Council</w:t>
            </w:r>
          </w:p>
        </w:tc>
        <w:tc>
          <w:tcPr>
            <w:tcW w:w="1260" w:type="dxa"/>
          </w:tcPr>
          <w:p>
            <w:pPr>
              <w:pStyle w:val="Compact"/>
              <w:spacing w:after="40" w:before="40"/>
              <w:jc w:val="left"/>
            </w:pPr>
            <w:r>
              <w:t xml:space="preserve">United States</w:t>
            </w:r>
          </w:p>
        </w:tc>
        <w:tc>
          <w:tcPr>
            <w:tcW w:w="1620" w:type="dxa"/>
          </w:tcPr>
          <w:p>
            <w:pPr>
              <w:pStyle w:val="Compact"/>
              <w:spacing w:after="40" w:before="40"/>
              <w:jc w:val="left"/>
            </w:pPr>
            <w:r>
              <w:t xml:space="preserve">Civil society</w:t>
            </w:r>
          </w:p>
        </w:tc>
        <w:tc>
          <w:tcPr>
            <w:tcW w:w="720" w:type="dxa"/>
          </w:tcPr>
          <w:p>
            <w:pPr>
              <w:pStyle w:val="Compact"/>
              <w:spacing w:after="40" w:before="40"/>
              <w:jc w:val="left"/>
            </w:pPr>
            <w:r>
              <w:t xml:space="preserve">260</w:t>
            </w:r>
          </w:p>
        </w:tc>
        <w:tc>
          <w:tcPr>
            <w:tcW w:w="720" w:type="dxa"/>
          </w:tcPr>
          <w:p>
            <w:pPr>
              <w:pStyle w:val="Compact"/>
              <w:spacing w:after="40" w:before="40"/>
              <w:jc w:val="left"/>
            </w:pPr>
            <w:r>
              <w:t xml:space="preserve">256</w:t>
            </w:r>
          </w:p>
        </w:tc>
      </w:tr>
      <w:tr>
        <w:tc>
          <w:tcPr>
            <w:tcW w:w="1080" w:type="dxa"/>
          </w:tcPr>
          <w:p>
            <w:pPr>
              <w:pStyle w:val="Compact"/>
              <w:spacing w:after="40" w:before="40"/>
              <w:jc w:val="left"/>
            </w:pPr>
            <w:r>
              <w:t xml:space="preserve">INST-003</w:t>
            </w:r>
          </w:p>
        </w:tc>
        <w:tc>
          <w:tcPr>
            <w:tcW w:w="3600" w:type="dxa"/>
          </w:tcPr>
          <w:p>
            <w:pPr>
              <w:pStyle w:val="Compact"/>
              <w:spacing w:after="40" w:before="40"/>
              <w:jc w:val="left"/>
            </w:pPr>
            <w:r>
              <w:t xml:space="preserve">Center for the Study of Democracy</w:t>
            </w:r>
          </w:p>
        </w:tc>
        <w:tc>
          <w:tcPr>
            <w:tcW w:w="1260" w:type="dxa"/>
          </w:tcPr>
          <w:p>
            <w:pPr>
              <w:pStyle w:val="Compact"/>
              <w:spacing w:after="40" w:before="40"/>
              <w:jc w:val="left"/>
            </w:pPr>
            <w:r>
              <w:t xml:space="preserve">Bulgaria</w:t>
            </w:r>
          </w:p>
        </w:tc>
        <w:tc>
          <w:tcPr>
            <w:tcW w:w="1620" w:type="dxa"/>
          </w:tcPr>
          <w:p>
            <w:pPr>
              <w:pStyle w:val="Compact"/>
              <w:spacing w:after="40" w:before="40"/>
              <w:jc w:val="left"/>
            </w:pPr>
            <w:r>
              <w:t xml:space="preserve">Civil society</w:t>
            </w:r>
          </w:p>
        </w:tc>
        <w:tc>
          <w:tcPr>
            <w:tcW w:w="720" w:type="dxa"/>
          </w:tcPr>
          <w:p>
            <w:pPr>
              <w:pStyle w:val="Compact"/>
              <w:spacing w:after="40" w:before="40"/>
              <w:jc w:val="left"/>
            </w:pPr>
            <w:r>
              <w:t xml:space="preserve">135</w:t>
            </w:r>
          </w:p>
        </w:tc>
        <w:tc>
          <w:tcPr>
            <w:tcW w:w="720" w:type="dxa"/>
          </w:tcPr>
          <w:p>
            <w:pPr>
              <w:pStyle w:val="Compact"/>
              <w:spacing w:after="40" w:before="40"/>
              <w:jc w:val="left"/>
            </w:pPr>
            <w:r>
              <w:t xml:space="preserve">131</w:t>
            </w:r>
          </w:p>
        </w:tc>
      </w:tr>
      <w:tr>
        <w:tc>
          <w:tcPr>
            <w:tcW w:w="1080" w:type="dxa"/>
          </w:tcPr>
          <w:p>
            <w:pPr>
              <w:pStyle w:val="Compact"/>
              <w:spacing w:after="40" w:before="40"/>
              <w:jc w:val="left"/>
            </w:pPr>
            <w:r>
              <w:t xml:space="preserve">INST-004</w:t>
            </w:r>
          </w:p>
        </w:tc>
        <w:tc>
          <w:tcPr>
            <w:tcW w:w="3600" w:type="dxa"/>
          </w:tcPr>
          <w:p>
            <w:pPr>
              <w:pStyle w:val="Compact"/>
              <w:spacing w:after="40" w:before="40"/>
              <w:jc w:val="left"/>
            </w:pPr>
            <w:r>
              <w:t xml:space="preserve">European Centre of Excellence for Countering Hybrid Threats</w:t>
            </w:r>
          </w:p>
        </w:tc>
        <w:tc>
          <w:tcPr>
            <w:tcW w:w="1260" w:type="dxa"/>
          </w:tcPr>
          <w:p>
            <w:pPr>
              <w:pStyle w:val="Compact"/>
              <w:spacing w:after="40" w:before="40"/>
              <w:jc w:val="left"/>
            </w:pPr>
            <w:r>
              <w:t xml:space="preserve">Multinational</w:t>
            </w:r>
          </w:p>
        </w:tc>
        <w:tc>
          <w:tcPr>
            <w:tcW w:w="1620" w:type="dxa"/>
          </w:tcPr>
          <w:p>
            <w:pPr>
              <w:pStyle w:val="Compact"/>
              <w:spacing w:after="40" w:before="40"/>
              <w:jc w:val="left"/>
            </w:pPr>
            <w:r>
              <w:t xml:space="preserve">EU/NATO</w:t>
            </w:r>
          </w:p>
        </w:tc>
        <w:tc>
          <w:tcPr>
            <w:tcW w:w="720" w:type="dxa"/>
          </w:tcPr>
          <w:p>
            <w:pPr>
              <w:pStyle w:val="Compact"/>
              <w:spacing w:after="40" w:before="40"/>
              <w:jc w:val="left"/>
            </w:pPr>
            <w:r>
              <w:t xml:space="preserve">129</w:t>
            </w:r>
          </w:p>
        </w:tc>
        <w:tc>
          <w:tcPr>
            <w:tcW w:w="720" w:type="dxa"/>
          </w:tcPr>
          <w:p>
            <w:pPr>
              <w:pStyle w:val="Compact"/>
              <w:spacing w:after="40" w:before="40"/>
              <w:jc w:val="left"/>
            </w:pPr>
            <w:r>
              <w:t xml:space="preserve">119</w:t>
            </w:r>
          </w:p>
        </w:tc>
      </w:tr>
      <w:tr>
        <w:tc>
          <w:tcPr>
            <w:tcW w:w="1080" w:type="dxa"/>
          </w:tcPr>
          <w:p>
            <w:pPr>
              <w:pStyle w:val="Compact"/>
              <w:spacing w:after="40" w:before="40"/>
              <w:jc w:val="left"/>
            </w:pPr>
            <w:r>
              <w:t xml:space="preserve">INST-005</w:t>
            </w:r>
          </w:p>
        </w:tc>
        <w:tc>
          <w:tcPr>
            <w:tcW w:w="3600" w:type="dxa"/>
          </w:tcPr>
          <w:p>
            <w:pPr>
              <w:pStyle w:val="Compact"/>
              <w:spacing w:after="40" w:before="40"/>
              <w:jc w:val="left"/>
            </w:pPr>
            <w:r>
              <w:t xml:space="preserve">Media Development Foundation</w:t>
            </w:r>
          </w:p>
        </w:tc>
        <w:tc>
          <w:tcPr>
            <w:tcW w:w="1260" w:type="dxa"/>
          </w:tcPr>
          <w:p>
            <w:pPr>
              <w:pStyle w:val="Compact"/>
              <w:spacing w:after="40" w:before="40"/>
              <w:jc w:val="left"/>
            </w:pPr>
            <w:r>
              <w:t xml:space="preserve">Georgia</w:t>
            </w:r>
          </w:p>
        </w:tc>
        <w:tc>
          <w:tcPr>
            <w:tcW w:w="1620" w:type="dxa"/>
          </w:tcPr>
          <w:p>
            <w:pPr>
              <w:pStyle w:val="Compact"/>
              <w:spacing w:after="40" w:before="40"/>
              <w:jc w:val="left"/>
            </w:pPr>
            <w:r>
              <w:t xml:space="preserve">Civil society</w:t>
            </w:r>
          </w:p>
        </w:tc>
        <w:tc>
          <w:tcPr>
            <w:tcW w:w="720" w:type="dxa"/>
          </w:tcPr>
          <w:p>
            <w:pPr>
              <w:pStyle w:val="Compact"/>
              <w:spacing w:after="40" w:before="40"/>
              <w:jc w:val="left"/>
            </w:pPr>
            <w:r>
              <w:t xml:space="preserve">114</w:t>
            </w:r>
          </w:p>
        </w:tc>
        <w:tc>
          <w:tcPr>
            <w:tcW w:w="720" w:type="dxa"/>
          </w:tcPr>
          <w:p>
            <w:pPr>
              <w:pStyle w:val="Compact"/>
              <w:spacing w:after="40" w:before="40"/>
              <w:jc w:val="left"/>
            </w:pPr>
            <w:r>
              <w:t xml:space="preserve">110</w:t>
            </w:r>
          </w:p>
        </w:tc>
      </w:tr>
    </w:tbl>
    <w:bookmarkEnd w:id="34"/>
    <w:bookmarkStart w:id="35" w:name="appendix-b-source-identity-registry"/>
    <w:p>
      <w:pPr>
        <w:pStyle w:val="Heading1"/>
      </w:pPr>
      <w:r>
        <w:rPr>
          <w:bCs/>
          <w:b/>
        </w:rPr>
        <w:t xml:space="preserve">Appendix B. Source identity registry</w:t>
      </w:r>
    </w:p>
    <w:p>
      <w:pPr>
        <w:pStyle w:val="FirstParagraph"/>
      </w:pPr>
      <w:r>
        <w:t xml:space="preserve">The source_identities sheet lists the 108 published source identities, of which 15 are joint publications, with source_identity_id, source_identity, is_joint_source, parent_institution_ids, parent_institutions, institution_country, institution_type, rows and incidents. Join on source_identity_id.</w:t>
      </w:r>
    </w:p>
    <w:p>
      <w:pPr>
        <w:pStyle w:val="Caption"/>
      </w:pPr>
      <w:r>
        <w:rPr>
          <w:iCs/>
          <w:i/>
        </w:rPr>
        <w:t xml:space="preserve">Table 23: The first 5 rows of the source_identities sheet.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990"/>
        <w:gridCol w:w="1800"/>
        <w:gridCol w:w="630"/>
        <w:gridCol w:w="1260"/>
        <w:gridCol w:w="1620"/>
        <w:gridCol w:w="1080"/>
        <w:gridCol w:w="900"/>
        <w:gridCol w:w="360"/>
        <w:gridCol w:w="360"/>
      </w:tblGrid>
      <w:tr>
        <w:trPr>
          <w:tblHeader w:val="true"/>
        </w:trPr>
        <w:tc>
          <w:tcPr>
            <w:tcW w:w="990" w:type="dxa"/>
          </w:tcPr>
          <w:p>
            <w:pPr>
              <w:pStyle w:val="Compact"/>
              <w:spacing w:after="40" w:before="40"/>
              <w:jc w:val="left"/>
            </w:pPr>
            <w:r>
              <w:t xml:space="preserve">source_identity_id</w:t>
            </w:r>
          </w:p>
        </w:tc>
        <w:tc>
          <w:tcPr>
            <w:tcW w:w="1800" w:type="dxa"/>
          </w:tcPr>
          <w:p>
            <w:pPr>
              <w:pStyle w:val="Compact"/>
              <w:spacing w:after="40" w:before="40"/>
              <w:jc w:val="left"/>
            </w:pPr>
            <w:r>
              <w:t xml:space="preserve">source_identity</w:t>
            </w:r>
          </w:p>
        </w:tc>
        <w:tc>
          <w:tcPr>
            <w:tcW w:w="630" w:type="dxa"/>
          </w:tcPr>
          <w:p>
            <w:pPr>
              <w:pStyle w:val="Compact"/>
              <w:spacing w:after="40" w:before="40"/>
              <w:jc w:val="left"/>
            </w:pPr>
            <w:r>
              <w:t xml:space="preserve">is_joint_source</w:t>
            </w:r>
          </w:p>
        </w:tc>
        <w:tc>
          <w:tcPr>
            <w:tcW w:w="1260" w:type="dxa"/>
          </w:tcPr>
          <w:p>
            <w:pPr>
              <w:pStyle w:val="Compact"/>
              <w:spacing w:after="40" w:before="40"/>
              <w:jc w:val="left"/>
            </w:pPr>
            <w:r>
              <w:t xml:space="preserve">parent_institution_ids</w:t>
            </w:r>
          </w:p>
        </w:tc>
        <w:tc>
          <w:tcPr>
            <w:tcW w:w="1620" w:type="dxa"/>
          </w:tcPr>
          <w:p>
            <w:pPr>
              <w:pStyle w:val="Compact"/>
              <w:spacing w:after="40" w:before="40"/>
              <w:jc w:val="left"/>
            </w:pPr>
            <w:r>
              <w:t xml:space="preserve">parent_institutions</w:t>
            </w:r>
          </w:p>
        </w:tc>
        <w:tc>
          <w:tcPr>
            <w:tcW w:w="1080" w:type="dxa"/>
          </w:tcPr>
          <w:p>
            <w:pPr>
              <w:pStyle w:val="Compact"/>
              <w:spacing w:after="40" w:before="40"/>
              <w:jc w:val="left"/>
            </w:pPr>
            <w:r>
              <w:t xml:space="preserve">institution_country</w:t>
            </w:r>
          </w:p>
        </w:tc>
        <w:tc>
          <w:tcPr>
            <w:tcW w:w="900" w:type="dxa"/>
          </w:tcPr>
          <w:p>
            <w:pPr>
              <w:pStyle w:val="Compact"/>
              <w:spacing w:after="40" w:before="40"/>
              <w:jc w:val="left"/>
            </w:pPr>
            <w:r>
              <w:t xml:space="preserve">institution_type</w:t>
            </w:r>
          </w:p>
        </w:tc>
        <w:tc>
          <w:tcPr>
            <w:tcW w:w="360" w:type="dxa"/>
          </w:tcPr>
          <w:p>
            <w:pPr>
              <w:pStyle w:val="Compact"/>
              <w:spacing w:after="40" w:before="40"/>
              <w:jc w:val="left"/>
            </w:pPr>
            <w:r>
              <w:t xml:space="preserve">rows</w:t>
            </w:r>
          </w:p>
        </w:tc>
        <w:tc>
          <w:tcPr>
            <w:tcW w:w="360" w:type="dxa"/>
          </w:tcPr>
          <w:p>
            <w:pPr>
              <w:pStyle w:val="Compact"/>
              <w:spacing w:after="40" w:before="40"/>
              <w:jc w:val="left"/>
            </w:pPr>
            <w:r>
              <w:t xml:space="preserve">incidents</w:t>
            </w:r>
          </w:p>
        </w:tc>
      </w:tr>
      <w:tr>
        <w:tc>
          <w:tcPr>
            <w:tcW w:w="990" w:type="dxa"/>
          </w:tcPr>
          <w:p>
            <w:pPr>
              <w:pStyle w:val="Compact"/>
              <w:spacing w:after="40" w:before="40"/>
              <w:jc w:val="left"/>
            </w:pPr>
            <w:r>
              <w:t xml:space="preserve">SRC-001</w:t>
            </w:r>
          </w:p>
        </w:tc>
        <w:tc>
          <w:tcPr>
            <w:tcW w:w="1800" w:type="dxa"/>
          </w:tcPr>
          <w:p>
            <w:pPr>
              <w:pStyle w:val="Compact"/>
              <w:spacing w:after="40" w:before="40"/>
              <w:jc w:val="left"/>
            </w:pPr>
            <w:r>
              <w:t xml:space="preserve">NATO Strategic Communications Centre of Excellence</w:t>
            </w:r>
          </w:p>
        </w:tc>
        <w:tc>
          <w:tcPr>
            <w:tcW w:w="630" w:type="dxa"/>
          </w:tcPr>
          <w:p>
            <w:pPr>
              <w:pStyle w:val="Compact"/>
              <w:spacing w:after="40" w:before="40"/>
              <w:jc w:val="left"/>
            </w:pPr>
            <w:r>
              <w:t xml:space="preserve">0</w:t>
            </w:r>
          </w:p>
        </w:tc>
        <w:tc>
          <w:tcPr>
            <w:tcW w:w="1260" w:type="dxa"/>
          </w:tcPr>
          <w:p>
            <w:pPr>
              <w:pStyle w:val="Compact"/>
              <w:spacing w:after="40" w:before="40"/>
              <w:jc w:val="left"/>
            </w:pPr>
            <w:r>
              <w:t xml:space="preserve">INST-001</w:t>
            </w:r>
          </w:p>
        </w:tc>
        <w:tc>
          <w:tcPr>
            <w:tcW w:w="1620" w:type="dxa"/>
          </w:tcPr>
          <w:p>
            <w:pPr>
              <w:pStyle w:val="Compact"/>
              <w:spacing w:after="40" w:before="40"/>
              <w:jc w:val="left"/>
            </w:pPr>
            <w:r>
              <w:t xml:space="preserve">NATO Strategic Communications Centre of Excellence</w:t>
            </w:r>
          </w:p>
        </w:tc>
        <w:tc>
          <w:tcPr>
            <w:tcW w:w="1080" w:type="dxa"/>
          </w:tcPr>
          <w:p>
            <w:pPr>
              <w:pStyle w:val="Compact"/>
              <w:spacing w:after="40" w:before="40"/>
              <w:jc w:val="left"/>
            </w:pPr>
            <w:r>
              <w:t xml:space="preserve">Multinational</w:t>
            </w:r>
          </w:p>
        </w:tc>
        <w:tc>
          <w:tcPr>
            <w:tcW w:w="900" w:type="dxa"/>
          </w:tcPr>
          <w:p>
            <w:pPr>
              <w:pStyle w:val="Compact"/>
              <w:spacing w:after="40" w:before="40"/>
              <w:jc w:val="left"/>
            </w:pPr>
            <w:r>
              <w:t xml:space="preserve">NATO</w:t>
            </w:r>
          </w:p>
        </w:tc>
        <w:tc>
          <w:tcPr>
            <w:tcW w:w="360" w:type="dxa"/>
          </w:tcPr>
          <w:p>
            <w:pPr>
              <w:pStyle w:val="Compact"/>
              <w:spacing w:after="40" w:before="40"/>
              <w:jc w:val="left"/>
            </w:pPr>
            <w:r>
              <w:t xml:space="preserve">526</w:t>
            </w:r>
          </w:p>
        </w:tc>
        <w:tc>
          <w:tcPr>
            <w:tcW w:w="360" w:type="dxa"/>
          </w:tcPr>
          <w:p>
            <w:pPr>
              <w:pStyle w:val="Compact"/>
              <w:spacing w:after="40" w:before="40"/>
              <w:jc w:val="left"/>
            </w:pPr>
            <w:r>
              <w:t xml:space="preserve">513</w:t>
            </w:r>
          </w:p>
        </w:tc>
      </w:tr>
      <w:tr>
        <w:tc>
          <w:tcPr>
            <w:tcW w:w="990" w:type="dxa"/>
          </w:tcPr>
          <w:p>
            <w:pPr>
              <w:pStyle w:val="Compact"/>
              <w:spacing w:after="40" w:before="40"/>
              <w:jc w:val="left"/>
            </w:pPr>
            <w:r>
              <w:t xml:space="preserve">SRC-002</w:t>
            </w:r>
          </w:p>
        </w:tc>
        <w:tc>
          <w:tcPr>
            <w:tcW w:w="1800" w:type="dxa"/>
          </w:tcPr>
          <w:p>
            <w:pPr>
              <w:pStyle w:val="Compact"/>
              <w:spacing w:after="40" w:before="40"/>
              <w:jc w:val="left"/>
            </w:pPr>
            <w:r>
              <w:t xml:space="preserve">DFRLab</w:t>
            </w:r>
          </w:p>
        </w:tc>
        <w:tc>
          <w:tcPr>
            <w:tcW w:w="630" w:type="dxa"/>
          </w:tcPr>
          <w:p>
            <w:pPr>
              <w:pStyle w:val="Compact"/>
              <w:spacing w:after="40" w:before="40"/>
              <w:jc w:val="left"/>
            </w:pPr>
            <w:r>
              <w:t xml:space="preserve">0</w:t>
            </w:r>
          </w:p>
        </w:tc>
        <w:tc>
          <w:tcPr>
            <w:tcW w:w="1260" w:type="dxa"/>
          </w:tcPr>
          <w:p>
            <w:pPr>
              <w:pStyle w:val="Compact"/>
              <w:spacing w:after="40" w:before="40"/>
              <w:jc w:val="left"/>
            </w:pPr>
            <w:r>
              <w:t xml:space="preserve">INST-002</w:t>
            </w:r>
          </w:p>
        </w:tc>
        <w:tc>
          <w:tcPr>
            <w:tcW w:w="1620" w:type="dxa"/>
          </w:tcPr>
          <w:p>
            <w:pPr>
              <w:pStyle w:val="Compact"/>
              <w:spacing w:after="40" w:before="40"/>
              <w:jc w:val="left"/>
            </w:pPr>
            <w:r>
              <w:t xml:space="preserve">Atlantic Council</w:t>
            </w:r>
          </w:p>
        </w:tc>
        <w:tc>
          <w:tcPr>
            <w:tcW w:w="1080" w:type="dxa"/>
          </w:tcPr>
          <w:p>
            <w:pPr>
              <w:pStyle w:val="Compact"/>
              <w:spacing w:after="40" w:before="40"/>
              <w:jc w:val="left"/>
            </w:pPr>
            <w:r>
              <w:t xml:space="preserve">United States</w:t>
            </w:r>
          </w:p>
        </w:tc>
        <w:tc>
          <w:tcPr>
            <w:tcW w:w="900" w:type="dxa"/>
          </w:tcPr>
          <w:p>
            <w:pPr>
              <w:pStyle w:val="Compact"/>
              <w:spacing w:after="40" w:before="40"/>
              <w:jc w:val="left"/>
            </w:pPr>
            <w:r>
              <w:t xml:space="preserve">Civil society</w:t>
            </w:r>
          </w:p>
        </w:tc>
        <w:tc>
          <w:tcPr>
            <w:tcW w:w="360" w:type="dxa"/>
          </w:tcPr>
          <w:p>
            <w:pPr>
              <w:pStyle w:val="Compact"/>
              <w:spacing w:after="40" w:before="40"/>
              <w:jc w:val="left"/>
            </w:pPr>
            <w:r>
              <w:t xml:space="preserve">161</w:t>
            </w:r>
          </w:p>
        </w:tc>
        <w:tc>
          <w:tcPr>
            <w:tcW w:w="360" w:type="dxa"/>
          </w:tcPr>
          <w:p>
            <w:pPr>
              <w:pStyle w:val="Compact"/>
              <w:spacing w:after="40" w:before="40"/>
              <w:jc w:val="left"/>
            </w:pPr>
            <w:r>
              <w:t xml:space="preserve">160</w:t>
            </w:r>
          </w:p>
        </w:tc>
      </w:tr>
      <w:tr>
        <w:tc>
          <w:tcPr>
            <w:tcW w:w="990" w:type="dxa"/>
          </w:tcPr>
          <w:p>
            <w:pPr>
              <w:pStyle w:val="Compact"/>
              <w:spacing w:after="40" w:before="40"/>
              <w:jc w:val="left"/>
            </w:pPr>
            <w:r>
              <w:t xml:space="preserve">SRC-003</w:t>
            </w:r>
          </w:p>
        </w:tc>
        <w:tc>
          <w:tcPr>
            <w:tcW w:w="1800" w:type="dxa"/>
          </w:tcPr>
          <w:p>
            <w:pPr>
              <w:pStyle w:val="Compact"/>
              <w:spacing w:after="40" w:before="40"/>
              <w:jc w:val="left"/>
            </w:pPr>
            <w:r>
              <w:t xml:space="preserve">Center for the Study of Democracy</w:t>
            </w:r>
          </w:p>
        </w:tc>
        <w:tc>
          <w:tcPr>
            <w:tcW w:w="630" w:type="dxa"/>
          </w:tcPr>
          <w:p>
            <w:pPr>
              <w:pStyle w:val="Compact"/>
              <w:spacing w:after="40" w:before="40"/>
              <w:jc w:val="left"/>
            </w:pPr>
            <w:r>
              <w:t xml:space="preserve">0</w:t>
            </w:r>
          </w:p>
        </w:tc>
        <w:tc>
          <w:tcPr>
            <w:tcW w:w="1260" w:type="dxa"/>
          </w:tcPr>
          <w:p>
            <w:pPr>
              <w:pStyle w:val="Compact"/>
              <w:spacing w:after="40" w:before="40"/>
              <w:jc w:val="left"/>
            </w:pPr>
            <w:r>
              <w:t xml:space="preserve">INST-003</w:t>
            </w:r>
          </w:p>
        </w:tc>
        <w:tc>
          <w:tcPr>
            <w:tcW w:w="1620" w:type="dxa"/>
          </w:tcPr>
          <w:p>
            <w:pPr>
              <w:pStyle w:val="Compact"/>
              <w:spacing w:after="40" w:before="40"/>
              <w:jc w:val="left"/>
            </w:pPr>
            <w:r>
              <w:t xml:space="preserve">Center for the Study of Democracy</w:t>
            </w:r>
          </w:p>
        </w:tc>
        <w:tc>
          <w:tcPr>
            <w:tcW w:w="1080" w:type="dxa"/>
          </w:tcPr>
          <w:p>
            <w:pPr>
              <w:pStyle w:val="Compact"/>
              <w:spacing w:after="40" w:before="40"/>
              <w:jc w:val="left"/>
            </w:pPr>
            <w:r>
              <w:t xml:space="preserve">Bulgaria</w:t>
            </w:r>
          </w:p>
        </w:tc>
        <w:tc>
          <w:tcPr>
            <w:tcW w:w="900" w:type="dxa"/>
          </w:tcPr>
          <w:p>
            <w:pPr>
              <w:pStyle w:val="Compact"/>
              <w:spacing w:after="40" w:before="40"/>
              <w:jc w:val="left"/>
            </w:pPr>
            <w:r>
              <w:t xml:space="preserve">Civil society</w:t>
            </w:r>
          </w:p>
        </w:tc>
        <w:tc>
          <w:tcPr>
            <w:tcW w:w="360" w:type="dxa"/>
          </w:tcPr>
          <w:p>
            <w:pPr>
              <w:pStyle w:val="Compact"/>
              <w:spacing w:after="40" w:before="40"/>
              <w:jc w:val="left"/>
            </w:pPr>
            <w:r>
              <w:t xml:space="preserve">135</w:t>
            </w:r>
          </w:p>
        </w:tc>
        <w:tc>
          <w:tcPr>
            <w:tcW w:w="360" w:type="dxa"/>
          </w:tcPr>
          <w:p>
            <w:pPr>
              <w:pStyle w:val="Compact"/>
              <w:spacing w:after="40" w:before="40"/>
              <w:jc w:val="left"/>
            </w:pPr>
            <w:r>
              <w:t xml:space="preserve">131</w:t>
            </w:r>
          </w:p>
        </w:tc>
      </w:tr>
      <w:tr>
        <w:tc>
          <w:tcPr>
            <w:tcW w:w="990" w:type="dxa"/>
          </w:tcPr>
          <w:p>
            <w:pPr>
              <w:pStyle w:val="Compact"/>
              <w:spacing w:after="40" w:before="40"/>
              <w:jc w:val="left"/>
            </w:pPr>
            <w:r>
              <w:t xml:space="preserve">SRC-004</w:t>
            </w:r>
          </w:p>
        </w:tc>
        <w:tc>
          <w:tcPr>
            <w:tcW w:w="1800" w:type="dxa"/>
          </w:tcPr>
          <w:p>
            <w:pPr>
              <w:pStyle w:val="Compact"/>
              <w:spacing w:after="40" w:before="40"/>
              <w:jc w:val="left"/>
            </w:pPr>
            <w:r>
              <w:t xml:space="preserve">European Centre of Excellence for Countering Hybrid Threats</w:t>
            </w:r>
          </w:p>
        </w:tc>
        <w:tc>
          <w:tcPr>
            <w:tcW w:w="630" w:type="dxa"/>
          </w:tcPr>
          <w:p>
            <w:pPr>
              <w:pStyle w:val="Compact"/>
              <w:spacing w:after="40" w:before="40"/>
              <w:jc w:val="left"/>
            </w:pPr>
            <w:r>
              <w:t xml:space="preserve">0</w:t>
            </w:r>
          </w:p>
        </w:tc>
        <w:tc>
          <w:tcPr>
            <w:tcW w:w="1260" w:type="dxa"/>
          </w:tcPr>
          <w:p>
            <w:pPr>
              <w:pStyle w:val="Compact"/>
              <w:spacing w:after="40" w:before="40"/>
              <w:jc w:val="left"/>
            </w:pPr>
            <w:r>
              <w:t xml:space="preserve">INST-004</w:t>
            </w:r>
          </w:p>
        </w:tc>
        <w:tc>
          <w:tcPr>
            <w:tcW w:w="1620" w:type="dxa"/>
          </w:tcPr>
          <w:p>
            <w:pPr>
              <w:pStyle w:val="Compact"/>
              <w:spacing w:after="40" w:before="40"/>
              <w:jc w:val="left"/>
            </w:pPr>
            <w:r>
              <w:t xml:space="preserve">European Centre of Excellence for Countering Hybrid Threats</w:t>
            </w:r>
          </w:p>
        </w:tc>
        <w:tc>
          <w:tcPr>
            <w:tcW w:w="1080" w:type="dxa"/>
          </w:tcPr>
          <w:p>
            <w:pPr>
              <w:pStyle w:val="Compact"/>
              <w:spacing w:after="40" w:before="40"/>
              <w:jc w:val="left"/>
            </w:pPr>
            <w:r>
              <w:t xml:space="preserve">Multinational</w:t>
            </w:r>
          </w:p>
        </w:tc>
        <w:tc>
          <w:tcPr>
            <w:tcW w:w="900" w:type="dxa"/>
          </w:tcPr>
          <w:p>
            <w:pPr>
              <w:pStyle w:val="Compact"/>
              <w:spacing w:after="40" w:before="40"/>
              <w:jc w:val="left"/>
            </w:pPr>
            <w:r>
              <w:t xml:space="preserve">EU/NATO</w:t>
            </w:r>
          </w:p>
        </w:tc>
        <w:tc>
          <w:tcPr>
            <w:tcW w:w="360" w:type="dxa"/>
          </w:tcPr>
          <w:p>
            <w:pPr>
              <w:pStyle w:val="Compact"/>
              <w:spacing w:after="40" w:before="40"/>
              <w:jc w:val="left"/>
            </w:pPr>
            <w:r>
              <w:t xml:space="preserve">126</w:t>
            </w:r>
          </w:p>
        </w:tc>
        <w:tc>
          <w:tcPr>
            <w:tcW w:w="360" w:type="dxa"/>
          </w:tcPr>
          <w:p>
            <w:pPr>
              <w:pStyle w:val="Compact"/>
              <w:spacing w:after="40" w:before="40"/>
              <w:jc w:val="left"/>
            </w:pPr>
            <w:r>
              <w:t xml:space="preserve">117</w:t>
            </w:r>
          </w:p>
        </w:tc>
      </w:tr>
      <w:tr>
        <w:tc>
          <w:tcPr>
            <w:tcW w:w="990" w:type="dxa"/>
          </w:tcPr>
          <w:p>
            <w:pPr>
              <w:pStyle w:val="Compact"/>
              <w:spacing w:after="40" w:before="40"/>
              <w:jc w:val="left"/>
            </w:pPr>
            <w:r>
              <w:t xml:space="preserve">SRC-005</w:t>
            </w:r>
          </w:p>
        </w:tc>
        <w:tc>
          <w:tcPr>
            <w:tcW w:w="1800" w:type="dxa"/>
          </w:tcPr>
          <w:p>
            <w:pPr>
              <w:pStyle w:val="Compact"/>
              <w:spacing w:after="40" w:before="40"/>
              <w:jc w:val="left"/>
            </w:pPr>
            <w:r>
              <w:t xml:space="preserve">Media Development Foundation</w:t>
            </w:r>
          </w:p>
        </w:tc>
        <w:tc>
          <w:tcPr>
            <w:tcW w:w="630" w:type="dxa"/>
          </w:tcPr>
          <w:p>
            <w:pPr>
              <w:pStyle w:val="Compact"/>
              <w:spacing w:after="40" w:before="40"/>
              <w:jc w:val="left"/>
            </w:pPr>
            <w:r>
              <w:t xml:space="preserve">0</w:t>
            </w:r>
          </w:p>
        </w:tc>
        <w:tc>
          <w:tcPr>
            <w:tcW w:w="1260" w:type="dxa"/>
          </w:tcPr>
          <w:p>
            <w:pPr>
              <w:pStyle w:val="Compact"/>
              <w:spacing w:after="40" w:before="40"/>
              <w:jc w:val="left"/>
            </w:pPr>
            <w:r>
              <w:t xml:space="preserve">INST-005</w:t>
            </w:r>
          </w:p>
        </w:tc>
        <w:tc>
          <w:tcPr>
            <w:tcW w:w="1620" w:type="dxa"/>
          </w:tcPr>
          <w:p>
            <w:pPr>
              <w:pStyle w:val="Compact"/>
              <w:spacing w:after="40" w:before="40"/>
              <w:jc w:val="left"/>
            </w:pPr>
            <w:r>
              <w:t xml:space="preserve">Media Development Foundation</w:t>
            </w:r>
          </w:p>
        </w:tc>
        <w:tc>
          <w:tcPr>
            <w:tcW w:w="1080" w:type="dxa"/>
          </w:tcPr>
          <w:p>
            <w:pPr>
              <w:pStyle w:val="Compact"/>
              <w:spacing w:after="40" w:before="40"/>
              <w:jc w:val="left"/>
            </w:pPr>
            <w:r>
              <w:t xml:space="preserve">Georgia</w:t>
            </w:r>
          </w:p>
        </w:tc>
        <w:tc>
          <w:tcPr>
            <w:tcW w:w="900" w:type="dxa"/>
          </w:tcPr>
          <w:p>
            <w:pPr>
              <w:pStyle w:val="Compact"/>
              <w:spacing w:after="40" w:before="40"/>
              <w:jc w:val="left"/>
            </w:pPr>
            <w:r>
              <w:t xml:space="preserve">Civil society</w:t>
            </w:r>
          </w:p>
        </w:tc>
        <w:tc>
          <w:tcPr>
            <w:tcW w:w="360" w:type="dxa"/>
          </w:tcPr>
          <w:p>
            <w:pPr>
              <w:pStyle w:val="Compact"/>
              <w:spacing w:after="40" w:before="40"/>
              <w:jc w:val="left"/>
            </w:pPr>
            <w:r>
              <w:t xml:space="preserve">113</w:t>
            </w:r>
          </w:p>
        </w:tc>
        <w:tc>
          <w:tcPr>
            <w:tcW w:w="360" w:type="dxa"/>
          </w:tcPr>
          <w:p>
            <w:pPr>
              <w:pStyle w:val="Compact"/>
              <w:spacing w:after="40" w:before="40"/>
              <w:jc w:val="left"/>
            </w:pPr>
            <w:r>
              <w:t xml:space="preserve">109</w:t>
            </w:r>
          </w:p>
        </w:tc>
      </w:tr>
    </w:tbl>
    <w:bookmarkEnd w:id="35"/>
    <w:bookmarkStart w:id="36" w:name="appendix-c-source-document-register"/>
    <w:p>
      <w:pPr>
        <w:pStyle w:val="Heading1"/>
      </w:pPr>
      <w:r>
        <w:rPr>
          <w:bCs/>
          <w:b/>
        </w:rPr>
        <w:t xml:space="preserve">Appendix C. Source document register</w:t>
      </w:r>
    </w:p>
    <w:p>
      <w:pPr>
        <w:pStyle w:val="FirstParagraph"/>
      </w:pPr>
      <w:r>
        <w:t xml:space="preserve">The documents sheet lists the 534 source documents with document_id, source_identity, institution_named, publication_year, document_type, rows and incidents. Join on source_doc_id. Publication year is parsed from the identifier, which is why Section 7 keeps the latency figures provisional.</w:t>
      </w:r>
    </w:p>
    <w:p>
      <w:pPr>
        <w:pStyle w:val="Caption"/>
      </w:pPr>
      <w:r>
        <w:rPr>
          <w:iCs/>
          <w:i/>
        </w:rPr>
        <w:t xml:space="preserve">Table 24: The first 5 rows of the documents sheet.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700"/>
        <w:gridCol w:w="1620"/>
        <w:gridCol w:w="1620"/>
        <w:gridCol w:w="720"/>
        <w:gridCol w:w="900"/>
        <w:gridCol w:w="720"/>
        <w:gridCol w:w="720"/>
      </w:tblGrid>
      <w:tr>
        <w:trPr>
          <w:tblHeader w:val="true"/>
        </w:trPr>
        <w:tc>
          <w:tcPr>
            <w:tcW w:w="2700" w:type="dxa"/>
          </w:tcPr>
          <w:p>
            <w:pPr>
              <w:pStyle w:val="Compact"/>
              <w:spacing w:after="40" w:before="40"/>
              <w:jc w:val="left"/>
            </w:pPr>
            <w:r>
              <w:t xml:space="preserve">document_id</w:t>
            </w:r>
          </w:p>
        </w:tc>
        <w:tc>
          <w:tcPr>
            <w:tcW w:w="1620" w:type="dxa"/>
          </w:tcPr>
          <w:p>
            <w:pPr>
              <w:pStyle w:val="Compact"/>
              <w:spacing w:after="40" w:before="40"/>
              <w:jc w:val="left"/>
            </w:pPr>
            <w:r>
              <w:t xml:space="preserve">source_identity</w:t>
            </w:r>
          </w:p>
        </w:tc>
        <w:tc>
          <w:tcPr>
            <w:tcW w:w="1620" w:type="dxa"/>
          </w:tcPr>
          <w:p>
            <w:pPr>
              <w:pStyle w:val="Compact"/>
              <w:spacing w:after="40" w:before="40"/>
              <w:jc w:val="left"/>
            </w:pPr>
            <w:r>
              <w:t xml:space="preserve">institution_named</w:t>
            </w:r>
          </w:p>
        </w:tc>
        <w:tc>
          <w:tcPr>
            <w:tcW w:w="720" w:type="dxa"/>
          </w:tcPr>
          <w:p>
            <w:pPr>
              <w:pStyle w:val="Compact"/>
              <w:spacing w:after="40" w:before="40"/>
              <w:jc w:val="left"/>
            </w:pPr>
            <w:r>
              <w:t xml:space="preserve">publication_year</w:t>
            </w:r>
          </w:p>
        </w:tc>
        <w:tc>
          <w:tcPr>
            <w:tcW w:w="900" w:type="dxa"/>
          </w:tcPr>
          <w:p>
            <w:pPr>
              <w:pStyle w:val="Compact"/>
              <w:spacing w:after="40" w:before="40"/>
              <w:jc w:val="left"/>
            </w:pPr>
            <w:r>
              <w:t xml:space="preserve">document_type</w:t>
            </w:r>
          </w:p>
        </w:tc>
        <w:tc>
          <w:tcPr>
            <w:tcW w:w="720" w:type="dxa"/>
          </w:tcPr>
          <w:p>
            <w:pPr>
              <w:pStyle w:val="Compact"/>
              <w:spacing w:after="40" w:before="40"/>
              <w:jc w:val="left"/>
            </w:pPr>
            <w:r>
              <w:t xml:space="preserve">rows</w:t>
            </w:r>
          </w:p>
        </w:tc>
        <w:tc>
          <w:tcPr>
            <w:tcW w:w="720" w:type="dxa"/>
          </w:tcPr>
          <w:p>
            <w:pPr>
              <w:pStyle w:val="Compact"/>
              <w:spacing w:after="40" w:before="40"/>
              <w:jc w:val="left"/>
            </w:pPr>
            <w:r>
              <w:t xml:space="preserve">incidents</w:t>
            </w:r>
          </w:p>
        </w:tc>
      </w:tr>
      <w:tr>
        <w:tc>
          <w:tcPr>
            <w:tcW w:w="2700" w:type="dxa"/>
          </w:tcPr>
          <w:p>
            <w:pPr>
              <w:pStyle w:val="Compact"/>
              <w:spacing w:after="40" w:before="40"/>
              <w:jc w:val="left"/>
            </w:pPr>
            <w:r>
              <w:t xml:space="preserve">ACSC_2023_AnnualCyberThreat2223_Report</w:t>
            </w:r>
          </w:p>
        </w:tc>
        <w:tc>
          <w:tcPr>
            <w:tcW w:w="1620" w:type="dxa"/>
          </w:tcPr>
          <w:p>
            <w:pPr>
              <w:pStyle w:val="Compact"/>
              <w:spacing w:after="40" w:before="40"/>
              <w:jc w:val="left"/>
            </w:pPr>
            <w:r>
              <w:t xml:space="preserve">Australian Signals Directorate</w:t>
            </w:r>
          </w:p>
        </w:tc>
        <w:tc>
          <w:tcPr>
            <w:tcW w:w="1620" w:type="dxa"/>
          </w:tcPr>
          <w:p>
            <w:pPr>
              <w:pStyle w:val="Compact"/>
              <w:spacing w:after="40" w:before="40"/>
              <w:jc w:val="left"/>
            </w:pPr>
            <w:r>
              <w:t xml:space="preserve">Australian Signals Directorate</w:t>
            </w:r>
          </w:p>
        </w:tc>
        <w:tc>
          <w:tcPr>
            <w:tcW w:w="720" w:type="dxa"/>
          </w:tcPr>
          <w:p>
            <w:pPr>
              <w:pStyle w:val="Compact"/>
              <w:spacing w:after="40" w:before="40"/>
              <w:jc w:val="left"/>
            </w:pPr>
            <w:r>
              <w:t xml:space="preserve">2023</w:t>
            </w:r>
          </w:p>
        </w:tc>
        <w:tc>
          <w:tcPr>
            <w:tcW w:w="900" w:type="dxa"/>
          </w:tcPr>
          <w:p>
            <w:pPr>
              <w:pStyle w:val="Compact"/>
              <w:spacing w:after="40" w:before="40"/>
              <w:jc w:val="left"/>
            </w:pPr>
            <w:r>
              <w:t xml:space="preserve">Report</w:t>
            </w:r>
          </w:p>
        </w:tc>
        <w:tc>
          <w:tcPr>
            <w:tcW w:w="720" w:type="dxa"/>
          </w:tcPr>
          <w:p>
            <w:pPr>
              <w:pStyle w:val="Compact"/>
              <w:spacing w:after="40" w:before="40"/>
              <w:jc w:val="left"/>
            </w:pPr>
            <w:r>
              <w:t xml:space="preserve">1</w:t>
            </w:r>
          </w:p>
        </w:tc>
        <w:tc>
          <w:tcPr>
            <w:tcW w:w="720" w:type="dxa"/>
          </w:tcPr>
          <w:p>
            <w:pPr>
              <w:pStyle w:val="Compact"/>
              <w:spacing w:after="40" w:before="40"/>
              <w:jc w:val="left"/>
            </w:pPr>
            <w:r>
              <w:t xml:space="preserve">1</w:t>
            </w:r>
          </w:p>
        </w:tc>
      </w:tr>
      <w:tr>
        <w:tc>
          <w:tcPr>
            <w:tcW w:w="2700" w:type="dxa"/>
          </w:tcPr>
          <w:p>
            <w:pPr>
              <w:pStyle w:val="Compact"/>
              <w:spacing w:after="40" w:before="40"/>
              <w:jc w:val="left"/>
            </w:pPr>
            <w:r>
              <w:t xml:space="preserve">ACSC_2025_AnnualCyberThreat2425_Report</w:t>
            </w:r>
          </w:p>
        </w:tc>
        <w:tc>
          <w:tcPr>
            <w:tcW w:w="1620" w:type="dxa"/>
          </w:tcPr>
          <w:p>
            <w:pPr>
              <w:pStyle w:val="Compact"/>
              <w:spacing w:after="40" w:before="40"/>
              <w:jc w:val="left"/>
            </w:pPr>
            <w:r>
              <w:t xml:space="preserve">Australian Signals Directorate</w:t>
            </w:r>
          </w:p>
        </w:tc>
        <w:tc>
          <w:tcPr>
            <w:tcW w:w="1620" w:type="dxa"/>
          </w:tcPr>
          <w:p>
            <w:pPr>
              <w:pStyle w:val="Compact"/>
              <w:spacing w:after="40" w:before="40"/>
              <w:jc w:val="left"/>
            </w:pPr>
            <w:r>
              <w:t xml:space="preserve">Australian Signals Directorate</w:t>
            </w:r>
          </w:p>
        </w:tc>
        <w:tc>
          <w:tcPr>
            <w:tcW w:w="720" w:type="dxa"/>
          </w:tcPr>
          <w:p>
            <w:pPr>
              <w:pStyle w:val="Compact"/>
              <w:spacing w:after="40" w:before="40"/>
              <w:jc w:val="left"/>
            </w:pPr>
            <w:r>
              <w:t xml:space="preserve">2025</w:t>
            </w:r>
          </w:p>
        </w:tc>
        <w:tc>
          <w:tcPr>
            <w:tcW w:w="900" w:type="dxa"/>
          </w:tcPr>
          <w:p>
            <w:pPr>
              <w:pStyle w:val="Compact"/>
              <w:spacing w:after="40" w:before="40"/>
              <w:jc w:val="left"/>
            </w:pPr>
            <w:r>
              <w:t xml:space="preserve">Report</w:t>
            </w:r>
          </w:p>
        </w:tc>
        <w:tc>
          <w:tcPr>
            <w:tcW w:w="720" w:type="dxa"/>
          </w:tcPr>
          <w:p>
            <w:pPr>
              <w:pStyle w:val="Compact"/>
              <w:spacing w:after="40" w:before="40"/>
              <w:jc w:val="left"/>
            </w:pPr>
            <w:r>
              <w:t xml:space="preserve">1</w:t>
            </w:r>
          </w:p>
        </w:tc>
        <w:tc>
          <w:tcPr>
            <w:tcW w:w="720" w:type="dxa"/>
          </w:tcPr>
          <w:p>
            <w:pPr>
              <w:pStyle w:val="Compact"/>
              <w:spacing w:after="40" w:before="40"/>
              <w:jc w:val="left"/>
            </w:pPr>
            <w:r>
              <w:t xml:space="preserve">1</w:t>
            </w:r>
          </w:p>
        </w:tc>
      </w:tr>
      <w:tr>
        <w:tc>
          <w:tcPr>
            <w:tcW w:w="2700" w:type="dxa"/>
          </w:tcPr>
          <w:p>
            <w:pPr>
              <w:pStyle w:val="Compact"/>
              <w:spacing w:after="40" w:before="40"/>
              <w:jc w:val="left"/>
            </w:pPr>
            <w:r>
              <w:t xml:space="preserve">ADACIO_2024_TechnocraticEnforcers_Report</w:t>
            </w:r>
          </w:p>
        </w:tc>
        <w:tc>
          <w:tcPr>
            <w:tcW w:w="1620" w:type="dxa"/>
          </w:tcPr>
          <w:p>
            <w:pPr>
              <w:pStyle w:val="Compact"/>
              <w:spacing w:after="40" w:before="40"/>
              <w:jc w:val="left"/>
            </w:pPr>
            <w:r>
              <w:t xml:space="preserve">ADAC.io</w:t>
            </w:r>
          </w:p>
        </w:tc>
        <w:tc>
          <w:tcPr>
            <w:tcW w:w="1620" w:type="dxa"/>
          </w:tcPr>
          <w:p>
            <w:pPr>
              <w:pStyle w:val="Compact"/>
              <w:spacing w:after="40" w:before="40"/>
              <w:jc w:val="left"/>
            </w:pPr>
            <w:r>
              <w:t xml:space="preserve">ADAC.io</w:t>
            </w:r>
          </w:p>
        </w:tc>
        <w:tc>
          <w:tcPr>
            <w:tcW w:w="720" w:type="dxa"/>
          </w:tcPr>
          <w:p>
            <w:pPr>
              <w:pStyle w:val="Compact"/>
              <w:spacing w:after="40" w:before="40"/>
              <w:jc w:val="left"/>
            </w:pPr>
            <w:r>
              <w:t xml:space="preserve">2024</w:t>
            </w:r>
          </w:p>
        </w:tc>
        <w:tc>
          <w:tcPr>
            <w:tcW w:w="900" w:type="dxa"/>
          </w:tcPr>
          <w:p>
            <w:pPr>
              <w:pStyle w:val="Compact"/>
              <w:spacing w:after="40" w:before="40"/>
              <w:jc w:val="left"/>
            </w:pPr>
            <w:r>
              <w:t xml:space="preserve">Report</w:t>
            </w:r>
          </w:p>
        </w:tc>
        <w:tc>
          <w:tcPr>
            <w:tcW w:w="720" w:type="dxa"/>
          </w:tcPr>
          <w:p>
            <w:pPr>
              <w:pStyle w:val="Compact"/>
              <w:spacing w:after="40" w:before="40"/>
              <w:jc w:val="left"/>
            </w:pPr>
            <w:r>
              <w:t xml:space="preserve">2</w:t>
            </w:r>
          </w:p>
        </w:tc>
        <w:tc>
          <w:tcPr>
            <w:tcW w:w="720" w:type="dxa"/>
          </w:tcPr>
          <w:p>
            <w:pPr>
              <w:pStyle w:val="Compact"/>
              <w:spacing w:after="40" w:before="40"/>
              <w:jc w:val="left"/>
            </w:pPr>
            <w:r>
              <w:t xml:space="preserve">2</w:t>
            </w:r>
          </w:p>
        </w:tc>
      </w:tr>
      <w:tr>
        <w:tc>
          <w:tcPr>
            <w:tcW w:w="2700" w:type="dxa"/>
          </w:tcPr>
          <w:p>
            <w:pPr>
              <w:pStyle w:val="Compact"/>
              <w:spacing w:after="40" w:before="40"/>
              <w:jc w:val="left"/>
            </w:pPr>
            <w:r>
              <w:t xml:space="preserve">ADACIO_2025_OpenSourceInvestigations_Report</w:t>
            </w:r>
          </w:p>
        </w:tc>
        <w:tc>
          <w:tcPr>
            <w:tcW w:w="1620" w:type="dxa"/>
          </w:tcPr>
          <w:p>
            <w:pPr>
              <w:pStyle w:val="Compact"/>
              <w:spacing w:after="40" w:before="40"/>
              <w:jc w:val="left"/>
            </w:pPr>
            <w:r>
              <w:t xml:space="preserve">ADAC.io</w:t>
            </w:r>
          </w:p>
        </w:tc>
        <w:tc>
          <w:tcPr>
            <w:tcW w:w="1620" w:type="dxa"/>
          </w:tcPr>
          <w:p>
            <w:pPr>
              <w:pStyle w:val="Compact"/>
              <w:spacing w:after="40" w:before="40"/>
              <w:jc w:val="left"/>
            </w:pPr>
            <w:r>
              <w:t xml:space="preserve">ADACIO</w:t>
            </w:r>
          </w:p>
        </w:tc>
        <w:tc>
          <w:tcPr>
            <w:tcW w:w="720" w:type="dxa"/>
          </w:tcPr>
          <w:p>
            <w:pPr>
              <w:pStyle w:val="Compact"/>
              <w:spacing w:after="40" w:before="40"/>
              <w:jc w:val="left"/>
            </w:pPr>
            <w:r>
              <w:t xml:space="preserve">2025</w:t>
            </w:r>
          </w:p>
        </w:tc>
        <w:tc>
          <w:tcPr>
            <w:tcW w:w="900" w:type="dxa"/>
          </w:tcPr>
          <w:p>
            <w:pPr>
              <w:pStyle w:val="Compact"/>
              <w:spacing w:after="40" w:before="40"/>
              <w:jc w:val="left"/>
            </w:pPr>
            <w:r>
              <w:t xml:space="preserve">Report</w:t>
            </w:r>
          </w:p>
        </w:tc>
        <w:tc>
          <w:tcPr>
            <w:tcW w:w="720" w:type="dxa"/>
          </w:tcPr>
          <w:p>
            <w:pPr>
              <w:pStyle w:val="Compact"/>
              <w:spacing w:after="40" w:before="40"/>
              <w:jc w:val="left"/>
            </w:pPr>
            <w:r>
              <w:t xml:space="preserve">6</w:t>
            </w:r>
          </w:p>
        </w:tc>
        <w:tc>
          <w:tcPr>
            <w:tcW w:w="720" w:type="dxa"/>
          </w:tcPr>
          <w:p>
            <w:pPr>
              <w:pStyle w:val="Compact"/>
              <w:spacing w:after="40" w:before="40"/>
              <w:jc w:val="left"/>
            </w:pPr>
            <w:r>
              <w:t xml:space="preserve">6</w:t>
            </w:r>
          </w:p>
        </w:tc>
      </w:tr>
      <w:tr>
        <w:tc>
          <w:tcPr>
            <w:tcW w:w="2700" w:type="dxa"/>
          </w:tcPr>
          <w:p>
            <w:pPr>
              <w:pStyle w:val="Compact"/>
              <w:spacing w:after="40" w:before="40"/>
              <w:jc w:val="left"/>
            </w:pPr>
            <w:r>
              <w:t xml:space="preserve">ADACIO_2026_FIMIAttribution_Report</w:t>
            </w:r>
          </w:p>
        </w:tc>
        <w:tc>
          <w:tcPr>
            <w:tcW w:w="1620" w:type="dxa"/>
          </w:tcPr>
          <w:p>
            <w:pPr>
              <w:pStyle w:val="Compact"/>
              <w:spacing w:after="40" w:before="40"/>
              <w:jc w:val="left"/>
            </w:pPr>
            <w:r>
              <w:t xml:space="preserve">ADAC.io</w:t>
            </w:r>
          </w:p>
        </w:tc>
        <w:tc>
          <w:tcPr>
            <w:tcW w:w="1620" w:type="dxa"/>
          </w:tcPr>
          <w:p>
            <w:pPr>
              <w:pStyle w:val="Compact"/>
              <w:spacing w:after="40" w:before="40"/>
              <w:jc w:val="left"/>
            </w:pPr>
            <w:r>
              <w:t xml:space="preserve">ADAC.io</w:t>
            </w:r>
          </w:p>
        </w:tc>
        <w:tc>
          <w:tcPr>
            <w:tcW w:w="720" w:type="dxa"/>
          </w:tcPr>
          <w:p>
            <w:pPr>
              <w:pStyle w:val="Compact"/>
              <w:spacing w:after="40" w:before="40"/>
              <w:jc w:val="left"/>
            </w:pPr>
            <w:r>
              <w:t xml:space="preserve">2026</w:t>
            </w:r>
          </w:p>
        </w:tc>
        <w:tc>
          <w:tcPr>
            <w:tcW w:w="900" w:type="dxa"/>
          </w:tcPr>
          <w:p>
            <w:pPr>
              <w:pStyle w:val="Compact"/>
              <w:spacing w:after="40" w:before="40"/>
              <w:jc w:val="left"/>
            </w:pPr>
            <w:r>
              <w:t xml:space="preserve">Report</w:t>
            </w:r>
          </w:p>
        </w:tc>
        <w:tc>
          <w:tcPr>
            <w:tcW w:w="720" w:type="dxa"/>
          </w:tcPr>
          <w:p>
            <w:pPr>
              <w:pStyle w:val="Compact"/>
              <w:spacing w:after="40" w:before="40"/>
              <w:jc w:val="left"/>
            </w:pPr>
            <w:r>
              <w:t xml:space="preserve">3</w:t>
            </w:r>
          </w:p>
        </w:tc>
        <w:tc>
          <w:tcPr>
            <w:tcW w:w="720" w:type="dxa"/>
          </w:tcPr>
          <w:p>
            <w:pPr>
              <w:pStyle w:val="Compact"/>
              <w:spacing w:after="40" w:before="40"/>
              <w:jc w:val="left"/>
            </w:pPr>
            <w:r>
              <w:t xml:space="preserve">3</w:t>
            </w:r>
          </w:p>
        </w:tc>
      </w:tr>
    </w:tbl>
    <w:bookmarkEnd w:id="36"/>
    <w:bookmarkStart w:id="37" w:name="appendix-d-interoperability-crosswalk"/>
    <w:p>
      <w:pPr>
        <w:pStyle w:val="Heading1"/>
      </w:pPr>
      <w:r>
        <w:rPr>
          <w:bCs/>
          <w:b/>
        </w:rPr>
        <w:t xml:space="preserve">Appendix D. Interoperability crosswalk</w:t>
      </w:r>
    </w:p>
    <w:p>
      <w:pPr>
        <w:pStyle w:val="FirstParagraph"/>
      </w:pPr>
      <w:r>
        <w:t xml:space="preserve">A mapping of our variables to EUvsDisinfo, the Online Political Influence Efforts dataset, the conflict-data analogue, and DISARM and STIX. Section 8 of D4.2 explains why these resources cannot at present be merged.</w:t>
      </w:r>
    </w:p>
    <w:p>
      <w:pPr>
        <w:pStyle w:val="Caption"/>
      </w:pPr>
      <w:r>
        <w:rPr>
          <w:iCs/>
          <w:i/>
        </w:rPr>
        <w:t xml:space="preserve">Table 25: Interoperability crosswalk.</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spacing w:after="40" w:before="40"/>
              <w:jc w:val="left"/>
            </w:pPr>
            <w:r>
              <w:t xml:space="preserve">Concept</w:t>
            </w:r>
          </w:p>
        </w:tc>
        <w:tc>
          <w:tcPr/>
          <w:p>
            <w:pPr>
              <w:pStyle w:val="Compact"/>
              <w:spacing w:after="40" w:before="40"/>
              <w:jc w:val="left"/>
            </w:pPr>
            <w:r>
              <w:t xml:space="preserve">This dataset</w:t>
            </w:r>
          </w:p>
        </w:tc>
        <w:tc>
          <w:tcPr/>
          <w:p>
            <w:pPr>
              <w:pStyle w:val="Compact"/>
              <w:spacing w:after="40" w:before="40"/>
              <w:jc w:val="left"/>
            </w:pPr>
            <w:r>
              <w:t xml:space="preserve">EUvsDisinfo</w:t>
            </w:r>
          </w:p>
        </w:tc>
        <w:tc>
          <w:tcPr/>
          <w:p>
            <w:pPr>
              <w:pStyle w:val="Compact"/>
              <w:spacing w:after="40" w:before="40"/>
              <w:jc w:val="left"/>
            </w:pPr>
            <w:r>
              <w:t xml:space="preserve">OPIE</w:t>
            </w:r>
          </w:p>
        </w:tc>
        <w:tc>
          <w:tcPr/>
          <w:p>
            <w:pPr>
              <w:pStyle w:val="Compact"/>
              <w:spacing w:after="40" w:before="40"/>
              <w:jc w:val="left"/>
            </w:pPr>
            <w:r>
              <w:t xml:space="preserve">Conflict analogue</w:t>
            </w:r>
          </w:p>
        </w:tc>
        <w:tc>
          <w:tcPr/>
          <w:p>
            <w:pPr>
              <w:pStyle w:val="Compact"/>
              <w:spacing w:after="40" w:before="40"/>
              <w:jc w:val="left"/>
            </w:pPr>
            <w:r>
              <w:t xml:space="preserve">DISARM / STIX</w:t>
            </w:r>
          </w:p>
        </w:tc>
        <w:tc>
          <w:tcPr/>
          <w:p>
            <w:pPr>
              <w:pStyle w:val="Compact"/>
              <w:spacing w:after="40" w:before="40"/>
              <w:jc w:val="left"/>
            </w:pPr>
            <w:r>
              <w:t xml:space="preserve">Note</w:t>
            </w:r>
          </w:p>
        </w:tc>
      </w:tr>
      <w:tr>
        <w:tc>
          <w:tcPr/>
          <w:p>
            <w:pPr>
              <w:pStyle w:val="Compact"/>
              <w:spacing w:after="40" w:before="40"/>
              <w:jc w:val="left"/>
            </w:pPr>
            <w:r>
              <w:t xml:space="preserve">incident identifier</w:t>
            </w:r>
          </w:p>
        </w:tc>
        <w:tc>
          <w:tcPr/>
          <w:p>
            <w:pPr>
              <w:pStyle w:val="Compact"/>
              <w:spacing w:after="40" w:before="40"/>
              <w:jc w:val="left"/>
            </w:pPr>
            <w:r>
              <w:t xml:space="preserve">Incident_UID</w:t>
            </w:r>
          </w:p>
        </w:tc>
        <w:tc>
          <w:tcPr/>
          <w:p>
            <w:pPr>
              <w:pStyle w:val="Compact"/>
              <w:spacing w:after="40" w:before="40"/>
              <w:jc w:val="left"/>
            </w:pPr>
            <w:r>
              <w:t xml:space="preserve">debunk_id</w:t>
            </w:r>
          </w:p>
        </w:tc>
        <w:tc>
          <w:tcPr/>
          <w:p>
            <w:pPr>
              <w:pStyle w:val="Compact"/>
              <w:spacing w:after="40" w:before="40"/>
              <w:jc w:val="left"/>
            </w:pPr>
            <w:r>
              <w:t xml:space="preserve">campaign id</w:t>
            </w:r>
          </w:p>
        </w:tc>
        <w:tc>
          <w:tcPr/>
          <w:p>
            <w:pPr>
              <w:pStyle w:val="Compact"/>
              <w:spacing w:after="40" w:before="40"/>
              <w:jc w:val="left"/>
            </w:pPr>
            <w:r>
              <w:t xml:space="preserve">id</w:t>
            </w:r>
          </w:p>
        </w:tc>
        <w:tc>
          <w:tcPr/>
          <w:p>
            <w:pPr>
              <w:pStyle w:val="Compact"/>
              <w:spacing w:after="40" w:before="40"/>
              <w:jc w:val="left"/>
            </w:pPr>
            <w:r>
              <w:t xml:space="preserve">not held</w:t>
            </w:r>
          </w:p>
        </w:tc>
        <w:tc>
          <w:tcPr/>
          <w:p>
            <w:pPr>
              <w:pStyle w:val="Compact"/>
              <w:spacing w:after="40" w:before="40"/>
              <w:jc w:val="left"/>
            </w:pPr>
            <w:r>
              <w:t xml:space="preserve">EUvsDisinfo identifies debunks, and one incident may span many debunks.</w:t>
            </w:r>
          </w:p>
        </w:tc>
      </w:tr>
      <w:tr>
        <w:tc>
          <w:tcPr/>
          <w:p>
            <w:pPr>
              <w:pStyle w:val="Compact"/>
              <w:spacing w:after="40" w:before="40"/>
              <w:jc w:val="left"/>
            </w:pPr>
            <w:r>
              <w:t xml:space="preserve">date of occurrence</w:t>
            </w:r>
          </w:p>
        </w:tc>
        <w:tc>
          <w:tcPr/>
          <w:p>
            <w:pPr>
              <w:pStyle w:val="Compact"/>
              <w:spacing w:after="40" w:before="40"/>
              <w:jc w:val="left"/>
            </w:pPr>
            <w:r>
              <w:t xml:space="preserve">date_start / date_end / date_prec</w:t>
            </w:r>
          </w:p>
        </w:tc>
        <w:tc>
          <w:tcPr/>
          <w:p>
            <w:pPr>
              <w:pStyle w:val="Compact"/>
              <w:spacing w:after="40" w:before="40"/>
              <w:jc w:val="left"/>
            </w:pPr>
            <w:r>
              <w:t xml:space="preserve">not held</w:t>
            </w:r>
          </w:p>
        </w:tc>
        <w:tc>
          <w:tcPr/>
          <w:p>
            <w:pPr>
              <w:pStyle w:val="Compact"/>
              <w:spacing w:after="40" w:before="40"/>
              <w:jc w:val="left"/>
            </w:pPr>
            <w:r>
              <w:t xml:space="preserve">start/end year</w:t>
            </w:r>
          </w:p>
        </w:tc>
        <w:tc>
          <w:tcPr/>
          <w:p>
            <w:pPr>
              <w:pStyle w:val="Compact"/>
              <w:spacing w:after="40" w:before="40"/>
              <w:jc w:val="left"/>
            </w:pPr>
            <w:r>
              <w:t xml:space="preserve">event date</w:t>
            </w:r>
          </w:p>
        </w:tc>
        <w:tc>
          <w:tcPr/>
          <w:p>
            <w:pPr>
              <w:pStyle w:val="Compact"/>
              <w:spacing w:after="40" w:before="40"/>
              <w:jc w:val="left"/>
            </w:pPr>
            <w:r>
              <w:t xml:space="preserve">first_seen</w:t>
            </w:r>
          </w:p>
        </w:tc>
        <w:tc>
          <w:tcPr/>
          <w:p>
            <w:pPr>
              <w:pStyle w:val="Compact"/>
              <w:spacing w:after="40" w:before="40"/>
              <w:jc w:val="left"/>
            </w:pPr>
            <w:r>
              <w:t xml:space="preserve">EUvsDisinfo records only the debunk date, so a user cannot recover the date of occurrence.</w:t>
            </w:r>
          </w:p>
        </w:tc>
      </w:tr>
      <w:tr>
        <w:tc>
          <w:tcPr/>
          <w:p>
            <w:pPr>
              <w:pStyle w:val="Compact"/>
              <w:spacing w:after="40" w:before="40"/>
              <w:jc w:val="left"/>
            </w:pPr>
            <w:r>
              <w:t xml:space="preserve">date of attribution</w:t>
            </w:r>
          </w:p>
        </w:tc>
        <w:tc>
          <w:tcPr/>
          <w:p>
            <w:pPr>
              <w:pStyle w:val="Compact"/>
              <w:spacing w:after="40" w:before="40"/>
              <w:jc w:val="left"/>
            </w:pPr>
            <w:r>
              <w:t xml:space="preserve">Attribution_Year</w:t>
            </w:r>
          </w:p>
        </w:tc>
        <w:tc>
          <w:tcPr/>
          <w:p>
            <w:pPr>
              <w:pStyle w:val="Compact"/>
              <w:spacing w:after="40" w:before="40"/>
              <w:jc w:val="left"/>
            </w:pPr>
            <w:r>
              <w:t xml:space="preserve">debunk_date</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The two fields are directly comparable, and their basis differs: we parse a filename where EUvsDisinfo holds a publication field.</w:t>
            </w:r>
          </w:p>
        </w:tc>
      </w:tr>
      <w:tr>
        <w:tc>
          <w:tcPr/>
          <w:p>
            <w:pPr>
              <w:pStyle w:val="Compact"/>
              <w:spacing w:after="40" w:before="40"/>
              <w:jc w:val="left"/>
            </w:pPr>
            <w:r>
              <w:t xml:space="preserve">attributing body</w:t>
            </w:r>
          </w:p>
        </w:tc>
        <w:tc>
          <w:tcPr/>
          <w:p>
            <w:pPr>
              <w:pStyle w:val="Compact"/>
              <w:spacing w:after="40" w:before="40"/>
              <w:jc w:val="left"/>
            </w:pPr>
            <w:r>
              <w:t xml:space="preserve">Institution</w:t>
            </w:r>
          </w:p>
        </w:tc>
        <w:tc>
          <w:tcPr/>
          <w:p>
            <w:pPr>
              <w:pStyle w:val="Compact"/>
              <w:spacing w:after="40" w:before="40"/>
              <w:jc w:val="left"/>
            </w:pPr>
            <w:r>
              <w:t xml:space="preserve">implicit (EEAS)</w:t>
            </w:r>
          </w:p>
        </w:tc>
        <w:tc>
          <w:tcPr/>
          <w:p>
            <w:pPr>
              <w:pStyle w:val="Compact"/>
              <w:spacing w:after="40" w:before="40"/>
              <w:jc w:val="left"/>
            </w:pPr>
            <w:r>
              <w:t xml:space="preserve">research team</w:t>
            </w:r>
          </w:p>
        </w:tc>
        <w:tc>
          <w:tcPr/>
          <w:p>
            <w:pPr>
              <w:pStyle w:val="Compact"/>
              <w:spacing w:after="40" w:before="40"/>
              <w:jc w:val="left"/>
            </w:pPr>
            <w:r>
              <w:t xml:space="preserve">coder</w:t>
            </w:r>
          </w:p>
        </w:tc>
        <w:tc>
          <w:tcPr/>
          <w:p>
            <w:pPr>
              <w:pStyle w:val="Compact"/>
              <w:spacing w:after="40" w:before="40"/>
              <w:jc w:val="left"/>
            </w:pPr>
            <w:r>
              <w:t xml:space="preserve">created_by_ref</w:t>
            </w:r>
          </w:p>
        </w:tc>
        <w:tc>
          <w:tcPr/>
          <w:p>
            <w:pPr>
              <w:pStyle w:val="Compact"/>
              <w:spacing w:after="40" w:before="40"/>
              <w:jc w:val="left"/>
            </w:pPr>
            <w:r>
              <w:t xml:space="preserve">Other resources most often omit this field. Without it nobody can weight, deduplicate or corroborate records.</w:t>
            </w:r>
          </w:p>
        </w:tc>
      </w:tr>
      <w:tr>
        <w:tc>
          <w:tcPr/>
          <w:p>
            <w:pPr>
              <w:pStyle w:val="Compact"/>
              <w:spacing w:after="40" w:before="40"/>
              <w:jc w:val="left"/>
            </w:pPr>
            <w:r>
              <w:t xml:space="preserve">attributed actor</w:t>
            </w:r>
          </w:p>
        </w:tc>
        <w:tc>
          <w:tcPr/>
          <w:p>
            <w:pPr>
              <w:pStyle w:val="Compact"/>
              <w:spacing w:after="40" w:before="40"/>
              <w:jc w:val="left"/>
            </w:pPr>
            <w:r>
              <w:t xml:space="preserve">Attributed_Actor_Named / Actor_State / Actor_Type</w:t>
            </w:r>
          </w:p>
        </w:tc>
        <w:tc>
          <w:tcPr/>
          <w:p>
            <w:pPr>
              <w:pStyle w:val="Compact"/>
              <w:spacing w:after="40" w:before="40"/>
              <w:jc w:val="left"/>
            </w:pPr>
            <w:r>
              <w:t xml:space="preserve">implicit (pro-Kremlin)</w:t>
            </w:r>
          </w:p>
        </w:tc>
        <w:tc>
          <w:tcPr/>
          <w:p>
            <w:pPr>
              <w:pStyle w:val="Compact"/>
              <w:spacing w:after="40" w:before="40"/>
              <w:jc w:val="left"/>
            </w:pPr>
            <w:r>
              <w:t xml:space="preserve">actor country</w:t>
            </w:r>
          </w:p>
        </w:tc>
        <w:tc>
          <w:tcPr/>
          <w:p>
            <w:pPr>
              <w:pStyle w:val="Compact"/>
              <w:spacing w:after="40" w:before="40"/>
              <w:jc w:val="left"/>
            </w:pPr>
            <w:r>
              <w:t xml:space="preserve">perpetrator</w:t>
            </w:r>
          </w:p>
        </w:tc>
        <w:tc>
          <w:tcPr/>
          <w:p>
            <w:pPr>
              <w:pStyle w:val="Compact"/>
              <w:spacing w:after="40" w:before="40"/>
              <w:jc w:val="left"/>
            </w:pPr>
            <w:r>
              <w:t xml:space="preserve">threat-actor SDO</w:t>
            </w:r>
          </w:p>
        </w:tc>
        <w:tc>
          <w:tcPr/>
          <w:p>
            <w:pPr>
              <w:pStyle w:val="Compact"/>
              <w:spacing w:after="40" w:before="40"/>
              <w:jc w:val="left"/>
            </w:pPr>
            <w:r>
              <w:t xml:space="preserve">EUvsDisinfo has no actor field, because the actor is its selection criterion and it records no actor property.</w:t>
            </w:r>
          </w:p>
        </w:tc>
      </w:tr>
      <w:tr>
        <w:tc>
          <w:tcPr/>
          <w:p>
            <w:pPr>
              <w:pStyle w:val="Compact"/>
              <w:spacing w:after="40" w:before="40"/>
              <w:jc w:val="left"/>
            </w:pPr>
            <w:r>
              <w:t xml:space="preserve">stated confidence</w:t>
            </w:r>
          </w:p>
        </w:tc>
        <w:tc>
          <w:tcPr/>
          <w:p>
            <w:pPr>
              <w:pStyle w:val="Compact"/>
              <w:spacing w:after="40" w:before="40"/>
              <w:jc w:val="left"/>
            </w:pPr>
            <w:r>
              <w:t xml:space="preserve">Source_Actor_Confidence_Level</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confidence</w:t>
            </w:r>
          </w:p>
        </w:tc>
        <w:tc>
          <w:tcPr/>
          <w:p>
            <w:pPr>
              <w:pStyle w:val="Compact"/>
              <w:spacing w:after="40" w:before="40"/>
              <w:jc w:val="left"/>
            </w:pPr>
            <w:r>
              <w:t xml:space="preserve">STIX carries confidence natively, and most FIMI datasets do not record it.</w:t>
            </w:r>
          </w:p>
        </w:tc>
      </w:tr>
      <w:tr>
        <w:tc>
          <w:tcPr/>
          <w:p>
            <w:pPr>
              <w:pStyle w:val="Compact"/>
              <w:spacing w:after="40" w:before="40"/>
              <w:jc w:val="left"/>
            </w:pPr>
            <w:r>
              <w:t xml:space="preserve">target information space</w:t>
            </w:r>
          </w:p>
        </w:tc>
        <w:tc>
          <w:tcPr/>
          <w:p>
            <w:pPr>
              <w:pStyle w:val="Compact"/>
              <w:spacing w:after="40" w:before="40"/>
              <w:jc w:val="left"/>
            </w:pPr>
            <w:r>
              <w:t xml:space="preserve">Target_Information_Space</w:t>
            </w:r>
          </w:p>
        </w:tc>
        <w:tc>
          <w:tcPr/>
          <w:p>
            <w:pPr>
              <w:pStyle w:val="Compact"/>
              <w:spacing w:after="40" w:before="40"/>
              <w:jc w:val="left"/>
            </w:pPr>
            <w:r>
              <w:t xml:space="preserve">Country (ambiguous)</w:t>
            </w:r>
          </w:p>
        </w:tc>
        <w:tc>
          <w:tcPr/>
          <w:p>
            <w:pPr>
              <w:pStyle w:val="Compact"/>
              <w:spacing w:after="40" w:before="40"/>
              <w:jc w:val="left"/>
            </w:pPr>
            <w:r>
              <w:t xml:space="preserve">target country</w:t>
            </w:r>
          </w:p>
        </w:tc>
        <w:tc>
          <w:tcPr/>
          <w:p>
            <w:pPr>
              <w:pStyle w:val="Compact"/>
              <w:spacing w:after="40" w:before="40"/>
              <w:jc w:val="left"/>
            </w:pPr>
            <w:r>
              <w:t xml:space="preserve">target</w:t>
            </w:r>
          </w:p>
        </w:tc>
        <w:tc>
          <w:tcPr/>
          <w:p>
            <w:pPr>
              <w:pStyle w:val="Compact"/>
              <w:spacing w:after="40" w:before="40"/>
              <w:jc w:val="left"/>
            </w:pPr>
            <w:r>
              <w:t xml:space="preserve">targets ref</w:t>
            </w:r>
          </w:p>
        </w:tc>
        <w:tc>
          <w:tcPr/>
          <w:p>
            <w:pPr>
              <w:pStyle w:val="Compact"/>
              <w:spacing w:after="40" w:before="40"/>
              <w:jc w:val="left"/>
            </w:pPr>
            <w:r>
              <w:t xml:space="preserve">The EUvsDisinfo field mixes audience and subject. Ours did the same until v2.0.</w:t>
            </w:r>
          </w:p>
        </w:tc>
      </w:tr>
      <w:tr>
        <w:tc>
          <w:tcPr/>
          <w:p>
            <w:pPr>
              <w:pStyle w:val="Compact"/>
              <w:spacing w:after="40" w:before="40"/>
              <w:jc w:val="left"/>
            </w:pPr>
            <w:r>
              <w:t xml:space="preserve">subject of content</w:t>
            </w:r>
          </w:p>
        </w:tc>
        <w:tc>
          <w:tcPr/>
          <w:p>
            <w:pPr>
              <w:pStyle w:val="Compact"/>
              <w:spacing w:after="40" w:before="40"/>
              <w:jc w:val="left"/>
            </w:pPr>
            <w:r>
              <w:t xml:space="preserve">Subject_Country</w:t>
            </w:r>
          </w:p>
        </w:tc>
        <w:tc>
          <w:tcPr/>
          <w:p>
            <w:pPr>
              <w:pStyle w:val="Compact"/>
              <w:spacing w:after="40" w:before="40"/>
              <w:jc w:val="left"/>
            </w:pPr>
            <w:r>
              <w:t xml:space="preserve">Country (ambiguous)</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We separated the two in v2.0 precisely because projects conflate them field-wide.</w:t>
            </w:r>
          </w:p>
        </w:tc>
      </w:tr>
      <w:tr>
        <w:tc>
          <w:tcPr/>
          <w:p>
            <w:pPr>
              <w:pStyle w:val="Compact"/>
              <w:spacing w:after="40" w:before="40"/>
              <w:jc w:val="left"/>
            </w:pPr>
            <w:r>
              <w:t xml:space="preserve">technique</w:t>
            </w:r>
          </w:p>
        </w:tc>
        <w:tc>
          <w:tcPr/>
          <w:p>
            <w:pPr>
              <w:pStyle w:val="Compact"/>
              <w:spacing w:after="40" w:before="40"/>
              <w:jc w:val="left"/>
            </w:pPr>
            <w:r>
              <w:t xml:space="preserve">DISARM_TTPs</w:t>
            </w:r>
          </w:p>
        </w:tc>
        <w:tc>
          <w:tcPr/>
          <w:p>
            <w:pPr>
              <w:pStyle w:val="Compact"/>
              <w:spacing w:after="40" w:before="40"/>
              <w:jc w:val="left"/>
            </w:pPr>
            <w:r>
              <w:t xml:space="preserve">keywords (topical)</w:t>
            </w:r>
          </w:p>
        </w:tc>
        <w:tc>
          <w:tcPr/>
          <w:p>
            <w:pPr>
              <w:pStyle w:val="Compact"/>
              <w:spacing w:after="40" w:before="40"/>
              <w:jc w:val="left"/>
            </w:pPr>
            <w:r>
              <w:t xml:space="preserve">tactic</w:t>
            </w:r>
          </w:p>
        </w:tc>
        <w:tc>
          <w:tcPr/>
          <w:p>
            <w:pPr>
              <w:pStyle w:val="Compact"/>
              <w:spacing w:after="40" w:before="40"/>
              <w:jc w:val="left"/>
            </w:pPr>
            <w:r>
              <w:t xml:space="preserve">attack type</w:t>
            </w:r>
          </w:p>
        </w:tc>
        <w:tc>
          <w:tcPr/>
          <w:p>
            <w:pPr>
              <w:pStyle w:val="Compact"/>
              <w:spacing w:after="40" w:before="40"/>
              <w:jc w:val="left"/>
            </w:pPr>
            <w:r>
              <w:t xml:space="preserve">attack-pattern SDO</w:t>
            </w:r>
          </w:p>
        </w:tc>
        <w:tc>
          <w:tcPr/>
          <w:p>
            <w:pPr>
              <w:pStyle w:val="Compact"/>
              <w:spacing w:after="40" w:before="40"/>
              <w:jc w:val="left"/>
            </w:pPr>
            <w:r>
              <w:t xml:space="preserve">DISARM is the only shared vocabulary, and adoption is partial.</w:t>
            </w:r>
          </w:p>
        </w:tc>
      </w:tr>
      <w:tr>
        <w:tc>
          <w:tcPr/>
          <w:p>
            <w:pPr>
              <w:pStyle w:val="Compact"/>
              <w:spacing w:after="40" w:before="40"/>
              <w:jc w:val="left"/>
            </w:pPr>
            <w:r>
              <w:t xml:space="preserve">manipulated content text</w:t>
            </w:r>
          </w:p>
        </w:tc>
        <w:tc>
          <w:tcPr/>
          <w:p>
            <w:pPr>
              <w:pStyle w:val="Compact"/>
              <w:spacing w:after="40" w:before="40"/>
              <w:jc w:val="left"/>
            </w:pPr>
            <w:r>
              <w:t xml:space="preserve">not held</w:t>
            </w:r>
          </w:p>
        </w:tc>
        <w:tc>
          <w:tcPr/>
          <w:p>
            <w:pPr>
              <w:pStyle w:val="Compact"/>
              <w:spacing w:after="40" w:before="40"/>
              <w:jc w:val="left"/>
            </w:pPr>
            <w:r>
              <w:t xml:space="preserve">Disinformation</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observed-data</w:t>
            </w:r>
          </w:p>
        </w:tc>
        <w:tc>
          <w:tcPr/>
          <w:p>
            <w:pPr>
              <w:pStyle w:val="Compact"/>
              <w:spacing w:after="40" w:before="40"/>
              <w:jc w:val="left"/>
            </w:pPr>
            <w:r>
              <w:t xml:space="preserve">EUvsDisinfo holds the claim text. We hold a quotation of the attribution instead.</w:t>
            </w:r>
          </w:p>
        </w:tc>
      </w:tr>
      <w:tr>
        <w:tc>
          <w:tcPr/>
          <w:p>
            <w:pPr>
              <w:pStyle w:val="Compact"/>
              <w:spacing w:after="40" w:before="40"/>
              <w:jc w:val="left"/>
            </w:pPr>
            <w:r>
              <w:t xml:space="preserve">publishing outlet</w:t>
            </w:r>
          </w:p>
        </w:tc>
        <w:tc>
          <w:tcPr/>
          <w:p>
            <w:pPr>
              <w:pStyle w:val="Compact"/>
              <w:spacing w:after="40" w:before="40"/>
              <w:jc w:val="left"/>
            </w:pPr>
            <w:r>
              <w:t xml:space="preserve">Primary_Platforms (partial)</w:t>
            </w:r>
          </w:p>
        </w:tc>
        <w:tc>
          <w:tcPr/>
          <w:p>
            <w:pPr>
              <w:pStyle w:val="Compact"/>
              <w:spacing w:after="40" w:before="40"/>
              <w:jc w:val="left"/>
            </w:pPr>
            <w:r>
              <w:t xml:space="preserve">Outlets / article_domain</w:t>
            </w:r>
          </w:p>
        </w:tc>
        <w:tc>
          <w:tcPr/>
          <w:p>
            <w:pPr>
              <w:pStyle w:val="Compact"/>
              <w:spacing w:after="40" w:before="40"/>
              <w:jc w:val="left"/>
            </w:pPr>
            <w:r>
              <w:t xml:space="preserve">platform</w:t>
            </w:r>
          </w:p>
        </w:tc>
        <w:tc>
          <w:tcPr/>
          <w:p>
            <w:pPr>
              <w:pStyle w:val="Compact"/>
              <w:spacing w:after="40" w:before="40"/>
              <w:jc w:val="left"/>
            </w:pPr>
            <w:r>
              <w:t xml:space="preserve">platform</w:t>
            </w:r>
          </w:p>
        </w:tc>
        <w:tc>
          <w:tcPr/>
          <w:p>
            <w:pPr>
              <w:pStyle w:val="Compact"/>
              <w:spacing w:after="40" w:before="40"/>
              <w:jc w:val="left"/>
            </w:pPr>
            <w:r>
              <w:t xml:space="preserve">infrastructure SDO</w:t>
            </w:r>
          </w:p>
        </w:tc>
        <w:tc>
          <w:tcPr/>
          <w:p>
            <w:pPr>
              <w:pStyle w:val="Compact"/>
              <w:spacing w:after="40" w:before="40"/>
              <w:jc w:val="left"/>
            </w:pPr>
            <w:r>
              <w:t xml:space="preserve">EUvsDisinfo is far stronger here, covering 3,015 outlets.</w:t>
            </w:r>
          </w:p>
        </w:tc>
      </w:tr>
      <w:tr>
        <w:tc>
          <w:tcPr/>
          <w:p>
            <w:pPr>
              <w:pStyle w:val="Compact"/>
              <w:spacing w:after="40" w:before="40"/>
              <w:jc w:val="left"/>
            </w:pPr>
            <w:r>
              <w:t xml:space="preserve">language</w:t>
            </w:r>
          </w:p>
        </w:tc>
        <w:tc>
          <w:tcPr/>
          <w:p>
            <w:pPr>
              <w:pStyle w:val="Compact"/>
              <w:spacing w:after="40" w:before="40"/>
              <w:jc w:val="left"/>
            </w:pPr>
            <w:r>
              <w:t xml:space="preserve">Languages (20% populated)</w:t>
            </w:r>
          </w:p>
        </w:tc>
        <w:tc>
          <w:tcPr/>
          <w:p>
            <w:pPr>
              <w:pStyle w:val="Compact"/>
              <w:spacing w:after="40" w:before="40"/>
              <w:jc w:val="left"/>
            </w:pPr>
            <w:r>
              <w:t xml:space="preserve">article_language</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EUvsDisinfo covers 42 languages. Our coverage of 20% of incidents is a known gap.</w:t>
            </w:r>
          </w:p>
        </w:tc>
      </w:tr>
      <w:tr>
        <w:tc>
          <w:tcPr/>
          <w:p>
            <w:pPr>
              <w:pStyle w:val="Compact"/>
              <w:spacing w:after="40" w:before="40"/>
              <w:jc w:val="left"/>
            </w:pPr>
            <w:r>
              <w:t xml:space="preserve">response taken</w:t>
            </w:r>
          </w:p>
        </w:tc>
        <w:tc>
          <w:tcPr/>
          <w:p>
            <w:pPr>
              <w:pStyle w:val="Compact"/>
              <w:spacing w:after="40" w:before="40"/>
              <w:jc w:val="left"/>
            </w:pPr>
            <w:r>
              <w:t xml:space="preserve">Official_Response / International_Response</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not held</w:t>
            </w:r>
          </w:p>
        </w:tc>
        <w:tc>
          <w:tcPr/>
          <w:p>
            <w:pPr>
              <w:pStyle w:val="Compact"/>
              <w:spacing w:after="40" w:before="40"/>
              <w:jc w:val="left"/>
            </w:pPr>
            <w:r>
              <w:t xml:space="preserve">course-of-action</w:t>
            </w:r>
          </w:p>
        </w:tc>
        <w:tc>
          <w:tcPr/>
          <w:p>
            <w:pPr>
              <w:pStyle w:val="Compact"/>
              <w:spacing w:after="40" w:before="40"/>
              <w:jc w:val="left"/>
            </w:pPr>
            <w:r>
              <w:t xml:space="preserve">No other FIMI dataset we examined records this.</w:t>
            </w:r>
          </w:p>
        </w:tc>
      </w:tr>
      <w:tr>
        <w:tc>
          <w:tcPr/>
          <w:p>
            <w:pPr>
              <w:pStyle w:val="Compact"/>
              <w:spacing w:after="40" w:before="40"/>
              <w:jc w:val="left"/>
            </w:pPr>
            <w:r>
              <w:t xml:space="preserve">provenance quotation</w:t>
            </w:r>
          </w:p>
        </w:tc>
        <w:tc>
          <w:tcPr/>
          <w:p>
            <w:pPr>
              <w:pStyle w:val="Compact"/>
              <w:spacing w:after="40" w:before="40"/>
              <w:jc w:val="left"/>
            </w:pPr>
            <w:r>
              <w:t xml:space="preserve">Supporting_Quote / Page_Numbers</w:t>
            </w:r>
          </w:p>
        </w:tc>
        <w:tc>
          <w:tcPr/>
          <w:p>
            <w:pPr>
              <w:pStyle w:val="Compact"/>
              <w:spacing w:after="40" w:before="40"/>
              <w:jc w:val="left"/>
            </w:pPr>
            <w:r>
              <w:t xml:space="preserve">article_url</w:t>
            </w:r>
          </w:p>
        </w:tc>
        <w:tc>
          <w:tcPr/>
          <w:p>
            <w:pPr>
              <w:pStyle w:val="Compact"/>
              <w:spacing w:after="40" w:before="40"/>
              <w:jc w:val="left"/>
            </w:pPr>
            <w:r>
              <w:t xml:space="preserve">source url</w:t>
            </w:r>
          </w:p>
        </w:tc>
        <w:tc>
          <w:tcPr/>
          <w:p>
            <w:pPr>
              <w:pStyle w:val="Compact"/>
              <w:spacing w:after="40" w:before="40"/>
              <w:jc w:val="left"/>
            </w:pPr>
            <w:r>
              <w:t xml:space="preserve">citation</w:t>
            </w:r>
          </w:p>
        </w:tc>
        <w:tc>
          <w:tcPr/>
          <w:p>
            <w:pPr>
              <w:pStyle w:val="Compact"/>
              <w:spacing w:after="40" w:before="40"/>
              <w:jc w:val="left"/>
            </w:pPr>
            <w:r>
              <w:t xml:space="preserve">external-reference</w:t>
            </w:r>
          </w:p>
        </w:tc>
        <w:tc>
          <w:tcPr/>
          <w:p>
            <w:pPr>
              <w:pStyle w:val="Compact"/>
              <w:spacing w:after="40" w:before="40"/>
              <w:jc w:val="left"/>
            </w:pPr>
            <w:r>
              <w:t xml:space="preserve">We give a verbatim sentence with a page. Others give a link.</w:t>
            </w:r>
          </w:p>
        </w:tc>
      </w:tr>
    </w:tbl>
    <w:bookmarkEnd w:id="37"/>
    <w:bookmarkStart w:id="38" w:name="appendix-e-correction-register"/>
    <w:p>
      <w:pPr>
        <w:pStyle w:val="Heading1"/>
      </w:pPr>
      <w:r>
        <w:rPr>
          <w:bCs/>
          <w:b/>
        </w:rPr>
        <w:t xml:space="preserve">Appendix E. Correction register</w:t>
      </w:r>
    </w:p>
    <w:p>
      <w:pPr>
        <w:pStyle w:val="FirstParagraph"/>
      </w:pPr>
      <w:r>
        <w:t xml:space="preserve">The corrections sheet lists the 47 items of the D4.2 correction register, 42 closed and 5 open, with item_id, severity, area, status, issue and disposition. Section 7 states the 5 open items as conditions on use.</w:t>
      </w:r>
    </w:p>
    <w:p>
      <w:pPr>
        <w:pStyle w:val="Caption"/>
      </w:pPr>
      <w:r>
        <w:rPr>
          <w:iCs/>
          <w:i/>
        </w:rPr>
        <w:t xml:space="preserve">Table 26: The first 5 rows of the corrections sheet.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720"/>
        <w:gridCol w:w="900"/>
        <w:gridCol w:w="1080"/>
        <w:gridCol w:w="810"/>
        <w:gridCol w:w="2700"/>
        <w:gridCol w:w="2790"/>
      </w:tblGrid>
      <w:tr>
        <w:trPr>
          <w:tblHeader w:val="true"/>
        </w:trPr>
        <w:tc>
          <w:tcPr>
            <w:tcW w:w="720" w:type="dxa"/>
          </w:tcPr>
          <w:p>
            <w:pPr>
              <w:pStyle w:val="Compact"/>
              <w:spacing w:after="40" w:before="40"/>
              <w:jc w:val="left"/>
            </w:pPr>
            <w:r>
              <w:t xml:space="preserve">item_id</w:t>
            </w:r>
          </w:p>
        </w:tc>
        <w:tc>
          <w:tcPr>
            <w:tcW w:w="900" w:type="dxa"/>
          </w:tcPr>
          <w:p>
            <w:pPr>
              <w:pStyle w:val="Compact"/>
              <w:spacing w:after="40" w:before="40"/>
              <w:jc w:val="left"/>
            </w:pPr>
            <w:r>
              <w:t xml:space="preserve">severity</w:t>
            </w:r>
          </w:p>
        </w:tc>
        <w:tc>
          <w:tcPr>
            <w:tcW w:w="1080" w:type="dxa"/>
          </w:tcPr>
          <w:p>
            <w:pPr>
              <w:pStyle w:val="Compact"/>
              <w:spacing w:after="40" w:before="40"/>
              <w:jc w:val="left"/>
            </w:pPr>
            <w:r>
              <w:t xml:space="preserve">area</w:t>
            </w:r>
          </w:p>
        </w:tc>
        <w:tc>
          <w:tcPr>
            <w:tcW w:w="810" w:type="dxa"/>
          </w:tcPr>
          <w:p>
            <w:pPr>
              <w:pStyle w:val="Compact"/>
              <w:spacing w:after="40" w:before="40"/>
              <w:jc w:val="left"/>
            </w:pPr>
            <w:r>
              <w:t xml:space="preserve">status</w:t>
            </w:r>
          </w:p>
        </w:tc>
        <w:tc>
          <w:tcPr>
            <w:tcW w:w="2700" w:type="dxa"/>
          </w:tcPr>
          <w:p>
            <w:pPr>
              <w:pStyle w:val="Compact"/>
              <w:spacing w:after="40" w:before="40"/>
              <w:jc w:val="left"/>
            </w:pPr>
            <w:r>
              <w:t xml:space="preserve">issue</w:t>
            </w:r>
          </w:p>
        </w:tc>
        <w:tc>
          <w:tcPr>
            <w:tcW w:w="2790" w:type="dxa"/>
          </w:tcPr>
          <w:p>
            <w:pPr>
              <w:pStyle w:val="Compact"/>
              <w:spacing w:after="40" w:before="40"/>
              <w:jc w:val="left"/>
            </w:pPr>
            <w:r>
              <w:t xml:space="preserve">disposition</w:t>
            </w:r>
          </w:p>
        </w:tc>
      </w:tr>
      <w:tr>
        <w:tc>
          <w:tcPr>
            <w:tcW w:w="720" w:type="dxa"/>
          </w:tcPr>
          <w:p>
            <w:pPr>
              <w:pStyle w:val="Compact"/>
              <w:spacing w:after="40" w:before="40"/>
              <w:jc w:val="left"/>
            </w:pPr>
            <w:r>
              <w:t xml:space="preserve">B-01</w:t>
            </w:r>
          </w:p>
        </w:tc>
        <w:tc>
          <w:tcPr>
            <w:tcW w:w="900" w:type="dxa"/>
          </w:tcPr>
          <w:p>
            <w:pPr>
              <w:pStyle w:val="Compact"/>
              <w:spacing w:after="40" w:before="40"/>
              <w:jc w:val="left"/>
            </w:pPr>
            <w:r>
              <w:t xml:space="preserve">BLOCKER</w:t>
            </w:r>
          </w:p>
        </w:tc>
        <w:tc>
          <w:tcPr>
            <w:tcW w:w="1080" w:type="dxa"/>
          </w:tcPr>
          <w:p>
            <w:pPr>
              <w:pStyle w:val="Compact"/>
              <w:spacing w:after="40" w:before="40"/>
              <w:jc w:val="left"/>
            </w:pPr>
            <w:r>
              <w:t xml:space="preserve">Findings</w:t>
            </w:r>
          </w:p>
        </w:tc>
        <w:tc>
          <w:tcPr>
            <w:tcW w:w="810" w:type="dxa"/>
          </w:tcPr>
          <w:p>
            <w:pPr>
              <w:pStyle w:val="Compact"/>
              <w:spacing w:after="40" w:before="40"/>
              <w:jc w:val="left"/>
            </w:pPr>
            <w:r>
              <w:t xml:space="preserve">CLOSED</w:t>
            </w:r>
          </w:p>
        </w:tc>
        <w:tc>
          <w:tcPr>
            <w:tcW w:w="2700" w:type="dxa"/>
          </w:tcPr>
          <w:p>
            <w:pPr>
              <w:pStyle w:val="Compact"/>
              <w:spacing w:after="40" w:before="40"/>
              <w:jc w:val="left"/>
            </w:pPr>
            <w:r>
              <w:t xml:space="preserve">Corroboration reported as 79 incidents / 2.6% ‘reported by more than one institution’. The figure is Source_Count&gt;1, which counts documents, not institutions.</w:t>
            </w:r>
          </w:p>
        </w:tc>
        <w:tc>
          <w:tcPr>
            <w:tcW w:w="2790" w:type="dxa"/>
          </w:tcPr>
          <w:p>
            <w:pPr>
              <w:pStyle w:val="Compact"/>
              <w:spacing w:after="40" w:before="40"/>
              <w:jc w:val="left"/>
            </w:pPr>
            <w:r>
              <w:t xml:space="preserve">CLOSED at dataset v2.3.3. Corroboration recomputed on canonical parent institutions in separate documents, giving 30 of 3,029 incidents (less than 1%); the broader measure including joint authorship is 61 of 3,029 (2.0%). Verified independently in five external audit passes.</w:t>
            </w:r>
          </w:p>
        </w:tc>
      </w:tr>
      <w:tr>
        <w:tc>
          <w:tcPr>
            <w:tcW w:w="720" w:type="dxa"/>
          </w:tcPr>
          <w:p>
            <w:pPr>
              <w:pStyle w:val="Compact"/>
              <w:spacing w:after="40" w:before="40"/>
              <w:jc w:val="left"/>
            </w:pPr>
            <w:r>
              <w:t xml:space="preserve">B-02</w:t>
            </w:r>
          </w:p>
        </w:tc>
        <w:tc>
          <w:tcPr>
            <w:tcW w:w="900" w:type="dxa"/>
          </w:tcPr>
          <w:p>
            <w:pPr>
              <w:pStyle w:val="Compact"/>
              <w:spacing w:after="40" w:before="40"/>
              <w:jc w:val="left"/>
            </w:pPr>
            <w:r>
              <w:t xml:space="preserve">BLOCKER</w:t>
            </w:r>
          </w:p>
        </w:tc>
        <w:tc>
          <w:tcPr>
            <w:tcW w:w="1080" w:type="dxa"/>
          </w:tcPr>
          <w:p>
            <w:pPr>
              <w:pStyle w:val="Compact"/>
              <w:spacing w:after="40" w:before="40"/>
              <w:jc w:val="left"/>
            </w:pPr>
            <w:r>
              <w:t xml:space="preserve">Findings</w:t>
            </w:r>
          </w:p>
        </w:tc>
        <w:tc>
          <w:tcPr>
            <w:tcW w:w="810" w:type="dxa"/>
          </w:tcPr>
          <w:p>
            <w:pPr>
              <w:pStyle w:val="Compact"/>
              <w:spacing w:after="40" w:before="40"/>
              <w:jc w:val="left"/>
            </w:pPr>
            <w:r>
              <w:t xml:space="preserve">OPEN</w:t>
            </w:r>
          </w:p>
        </w:tc>
        <w:tc>
          <w:tcPr>
            <w:tcW w:w="2700" w:type="dxa"/>
          </w:tcPr>
          <w:p>
            <w:pPr>
              <w:pStyle w:val="Compact"/>
              <w:spacing w:after="40" w:before="40"/>
              <w:jc w:val="left"/>
            </w:pPr>
            <w:r>
              <w:t xml:space="preserve">‘Attribution is slow’ measures document publication year, not the date an institution formed its judgement. Attribution_Year is parsed from filenames.</w:t>
            </w:r>
          </w:p>
        </w:tc>
        <w:tc>
          <w:tcPr>
            <w:tcW w:w="2790" w:type="dxa"/>
          </w:tcPr>
          <w:p>
            <w:pPr>
              <w:pStyle w:val="Compact"/>
              <w:spacing w:after="40" w:before="40"/>
              <w:jc w:val="left"/>
            </w:pPr>
            <w:r>
              <w:t xml:space="preserve">OPEN and explicitly provisional. Publication year remains parsed from document identifiers and five negative-lag cases are quarantined pending verified document metadata.</w:t>
            </w:r>
          </w:p>
        </w:tc>
      </w:tr>
      <w:tr>
        <w:tc>
          <w:tcPr>
            <w:tcW w:w="720" w:type="dxa"/>
          </w:tcPr>
          <w:p>
            <w:pPr>
              <w:pStyle w:val="Compact"/>
              <w:spacing w:after="40" w:before="40"/>
              <w:jc w:val="left"/>
            </w:pPr>
            <w:r>
              <w:t xml:space="preserve">B-03</w:t>
            </w:r>
          </w:p>
        </w:tc>
        <w:tc>
          <w:tcPr>
            <w:tcW w:w="900" w:type="dxa"/>
          </w:tcPr>
          <w:p>
            <w:pPr>
              <w:pStyle w:val="Compact"/>
              <w:spacing w:after="40" w:before="40"/>
              <w:jc w:val="left"/>
            </w:pPr>
            <w:r>
              <w:t xml:space="preserve">BLOCKER</w:t>
            </w:r>
          </w:p>
        </w:tc>
        <w:tc>
          <w:tcPr>
            <w:tcW w:w="1080" w:type="dxa"/>
          </w:tcPr>
          <w:p>
            <w:pPr>
              <w:pStyle w:val="Compact"/>
              <w:spacing w:after="40" w:before="40"/>
              <w:jc w:val="left"/>
            </w:pPr>
            <w:r>
              <w:t xml:space="preserve">Findings</w:t>
            </w:r>
          </w:p>
        </w:tc>
        <w:tc>
          <w:tcPr>
            <w:tcW w:w="810" w:type="dxa"/>
          </w:tcPr>
          <w:p>
            <w:pPr>
              <w:pStyle w:val="Compact"/>
              <w:spacing w:after="40" w:before="40"/>
              <w:jc w:val="left"/>
            </w:pPr>
            <w:r>
              <w:t xml:space="preserve">CLOSED</w:t>
            </w:r>
          </w:p>
        </w:tc>
        <w:tc>
          <w:tcPr>
            <w:tcW w:w="2700" w:type="dxa"/>
          </w:tcPr>
          <w:p>
            <w:pPr>
              <w:pStyle w:val="Compact"/>
              <w:spacing w:after="40" w:before="40"/>
              <w:jc w:val="left"/>
            </w:pPr>
            <w:r>
              <w:t xml:space="preserve">‘Attribution rarely leads anywhere’ infers absence of response from absence of a recorded response.</w:t>
            </w:r>
          </w:p>
        </w:tc>
        <w:tc>
          <w:tcPr>
            <w:tcW w:w="2790" w:type="dxa"/>
          </w:tcPr>
          <w:p>
            <w:pPr>
              <w:pStyle w:val="Compact"/>
              <w:spacing w:after="40" w:before="40"/>
              <w:jc w:val="left"/>
            </w:pPr>
            <w:r>
              <w:t xml:space="preserve">CLOSED at report v11.0. Executive summary, Section 11, Section 14 and Section 16 now state that attributing documents rarely record what followed, with the qualification that a response may have occurred without being reported. No text infers absence of action from absence of documentation.</w:t>
            </w:r>
          </w:p>
        </w:tc>
      </w:tr>
      <w:tr>
        <w:tc>
          <w:tcPr>
            <w:tcW w:w="720" w:type="dxa"/>
          </w:tcPr>
          <w:p>
            <w:pPr>
              <w:pStyle w:val="Compact"/>
              <w:spacing w:after="40" w:before="40"/>
              <w:jc w:val="left"/>
            </w:pPr>
            <w:r>
              <w:t xml:space="preserve">B-04</w:t>
            </w:r>
          </w:p>
        </w:tc>
        <w:tc>
          <w:tcPr>
            <w:tcW w:w="900" w:type="dxa"/>
          </w:tcPr>
          <w:p>
            <w:pPr>
              <w:pStyle w:val="Compact"/>
              <w:spacing w:after="40" w:before="40"/>
              <w:jc w:val="left"/>
            </w:pPr>
            <w:r>
              <w:t xml:space="preserve">BLOCKER</w:t>
            </w:r>
          </w:p>
        </w:tc>
        <w:tc>
          <w:tcPr>
            <w:tcW w:w="1080" w:type="dxa"/>
          </w:tcPr>
          <w:p>
            <w:pPr>
              <w:pStyle w:val="Compact"/>
              <w:spacing w:after="40" w:before="40"/>
              <w:jc w:val="left"/>
            </w:pPr>
            <w:r>
              <w:t xml:space="preserve">Data integrity</w:t>
            </w:r>
          </w:p>
        </w:tc>
        <w:tc>
          <w:tcPr>
            <w:tcW w:w="810" w:type="dxa"/>
          </w:tcPr>
          <w:p>
            <w:pPr>
              <w:pStyle w:val="Compact"/>
              <w:spacing w:after="40" w:before="40"/>
              <w:jc w:val="left"/>
            </w:pPr>
            <w:r>
              <w:t xml:space="preserve">CLOSED</w:t>
            </w:r>
          </w:p>
        </w:tc>
        <w:tc>
          <w:tcPr>
            <w:tcW w:w="2700" w:type="dxa"/>
          </w:tcPr>
          <w:p>
            <w:pPr>
              <w:pStyle w:val="Compact"/>
              <w:spacing w:after="40" w:before="40"/>
              <w:jc w:val="left"/>
            </w:pPr>
            <w:r>
              <w:t xml:space="preserve">Portal counts the unnormalised institution field, reporting 179 institutions.</w:t>
            </w:r>
          </w:p>
        </w:tc>
        <w:tc>
          <w:tcPr>
            <w:tcW w:w="2790" w:type="dxa"/>
          </w:tcPr>
          <w:p>
            <w:pPr>
              <w:pStyle w:val="Compact"/>
              <w:spacing w:after="40" w:before="40"/>
              <w:jc w:val="left"/>
            </w:pPr>
            <w:r>
              <w:t xml:space="preserve">CLOSED. The portal payload is regenerated from the canonical institution registry; it reports 97 canonical institutions.</w:t>
            </w:r>
          </w:p>
        </w:tc>
      </w:tr>
      <w:tr>
        <w:tc>
          <w:tcPr>
            <w:tcW w:w="720" w:type="dxa"/>
          </w:tcPr>
          <w:p>
            <w:pPr>
              <w:pStyle w:val="Compact"/>
              <w:spacing w:after="40" w:before="40"/>
              <w:jc w:val="left"/>
            </w:pPr>
            <w:r>
              <w:t xml:space="preserve">B-05</w:t>
            </w:r>
          </w:p>
        </w:tc>
        <w:tc>
          <w:tcPr>
            <w:tcW w:w="900" w:type="dxa"/>
          </w:tcPr>
          <w:p>
            <w:pPr>
              <w:pStyle w:val="Compact"/>
              <w:spacing w:after="40" w:before="40"/>
              <w:jc w:val="left"/>
            </w:pPr>
            <w:r>
              <w:t xml:space="preserve">BLOCKER</w:t>
            </w:r>
          </w:p>
        </w:tc>
        <w:tc>
          <w:tcPr>
            <w:tcW w:w="1080" w:type="dxa"/>
          </w:tcPr>
          <w:p>
            <w:pPr>
              <w:pStyle w:val="Compact"/>
              <w:spacing w:after="40" w:before="40"/>
              <w:jc w:val="left"/>
            </w:pPr>
            <w:r>
              <w:t xml:space="preserve">Data integrity</w:t>
            </w:r>
          </w:p>
        </w:tc>
        <w:tc>
          <w:tcPr>
            <w:tcW w:w="810" w:type="dxa"/>
          </w:tcPr>
          <w:p>
            <w:pPr>
              <w:pStyle w:val="Compact"/>
              <w:spacing w:after="40" w:before="40"/>
              <w:jc w:val="left"/>
            </w:pPr>
            <w:r>
              <w:t xml:space="preserve">CLOSED</w:t>
            </w:r>
          </w:p>
        </w:tc>
        <w:tc>
          <w:tcPr>
            <w:tcW w:w="2700" w:type="dxa"/>
          </w:tcPr>
          <w:p>
            <w:pPr>
              <w:pStyle w:val="Compact"/>
              <w:spacing w:after="40" w:before="40"/>
              <w:jc w:val="left"/>
            </w:pPr>
            <w:r>
              <w:t xml:space="preserve">Portal labels Source_Count as ‘Institutions reporting’ and derives its corroboration percentage from it.</w:t>
            </w:r>
          </w:p>
        </w:tc>
        <w:tc>
          <w:tcPr>
            <w:tcW w:w="2790" w:type="dxa"/>
          </w:tcPr>
          <w:p>
            <w:pPr>
              <w:pStyle w:val="Compact"/>
              <w:spacing w:after="40" w:before="40"/>
              <w:jc w:val="left"/>
            </w:pPr>
            <w:r>
              <w:t xml:space="preserve">CLOSED. The portal distinguishes distinct source documents from distinct parent institutions and displays the strict corroboration measure.</w:t>
            </w:r>
          </w:p>
        </w:tc>
      </w:tr>
    </w:tbl>
    <w:bookmarkEnd w:id="38"/>
    <w:bookmarkStart w:id="39" w:name="appendix-f-institution-alias-table"/>
    <w:p>
      <w:pPr>
        <w:pStyle w:val="Heading1"/>
      </w:pPr>
      <w:r>
        <w:rPr>
          <w:bCs/>
          <w:b/>
        </w:rPr>
        <w:t xml:space="preserve">Appendix F. Institution alias table</w:t>
      </w:r>
    </w:p>
    <w:p>
      <w:pPr>
        <w:pStyle w:val="FirstParagraph"/>
      </w:pPr>
      <w:r>
        <w:t xml:space="preserve">The aliases sheet lists the 212 institution strings that extraction produced, with the source identity and parent institutions each resolves to, and the number of rows carrying each string. Section 5 describes the 6 normalisation passes; this sheet is their complete result. Join on institution_named.</w:t>
      </w:r>
    </w:p>
    <w:p>
      <w:pPr>
        <w:pStyle w:val="Caption"/>
      </w:pPr>
      <w:r>
        <w:rPr>
          <w:iCs/>
          <w:i/>
        </w:rPr>
        <w:t xml:space="preserve">Table 27: The first 5 rows of the aliases sheet.</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700"/>
        <w:gridCol w:w="540"/>
        <w:gridCol w:w="1080"/>
        <w:gridCol w:w="1980"/>
        <w:gridCol w:w="1260"/>
        <w:gridCol w:w="1440"/>
      </w:tblGrid>
      <w:tr>
        <w:trPr>
          <w:tblHeader w:val="true"/>
        </w:trPr>
        <w:tc>
          <w:tcPr>
            <w:tcW w:w="2700" w:type="dxa"/>
          </w:tcPr>
          <w:p>
            <w:pPr>
              <w:pStyle w:val="Compact"/>
              <w:spacing w:after="40" w:before="40"/>
              <w:jc w:val="left"/>
            </w:pPr>
            <w:r>
              <w:t xml:space="preserve">extracted_string</w:t>
            </w:r>
          </w:p>
        </w:tc>
        <w:tc>
          <w:tcPr>
            <w:tcW w:w="540" w:type="dxa"/>
          </w:tcPr>
          <w:p>
            <w:pPr>
              <w:pStyle w:val="Compact"/>
              <w:spacing w:after="40" w:before="40"/>
              <w:jc w:val="left"/>
            </w:pPr>
            <w:r>
              <w:t xml:space="preserve">rows</w:t>
            </w:r>
          </w:p>
        </w:tc>
        <w:tc>
          <w:tcPr>
            <w:tcW w:w="1080" w:type="dxa"/>
          </w:tcPr>
          <w:p>
            <w:pPr>
              <w:pStyle w:val="Compact"/>
              <w:spacing w:after="40" w:before="40"/>
              <w:jc w:val="left"/>
            </w:pPr>
            <w:r>
              <w:t xml:space="preserve">source_identity_id</w:t>
            </w:r>
          </w:p>
        </w:tc>
        <w:tc>
          <w:tcPr>
            <w:tcW w:w="1980" w:type="dxa"/>
          </w:tcPr>
          <w:p>
            <w:pPr>
              <w:pStyle w:val="Compact"/>
              <w:spacing w:after="40" w:before="40"/>
              <w:jc w:val="left"/>
            </w:pPr>
            <w:r>
              <w:t xml:space="preserve">source_identity</w:t>
            </w:r>
          </w:p>
        </w:tc>
        <w:tc>
          <w:tcPr>
            <w:tcW w:w="1260" w:type="dxa"/>
          </w:tcPr>
          <w:p>
            <w:pPr>
              <w:pStyle w:val="Compact"/>
              <w:spacing w:after="40" w:before="40"/>
              <w:jc w:val="left"/>
            </w:pPr>
            <w:r>
              <w:t xml:space="preserve">parent_institution_ids</w:t>
            </w:r>
          </w:p>
        </w:tc>
        <w:tc>
          <w:tcPr>
            <w:tcW w:w="1440" w:type="dxa"/>
          </w:tcPr>
          <w:p>
            <w:pPr>
              <w:pStyle w:val="Compact"/>
              <w:spacing w:after="40" w:before="40"/>
              <w:jc w:val="left"/>
            </w:pPr>
            <w:r>
              <w:t xml:space="preserve">parent_institutions</w:t>
            </w:r>
          </w:p>
        </w:tc>
      </w:tr>
      <w:tr>
        <w:tc>
          <w:tcPr>
            <w:tcW w:w="2700" w:type="dxa"/>
          </w:tcPr>
          <w:p>
            <w:pPr>
              <w:pStyle w:val="Compact"/>
              <w:spacing w:after="40" w:before="40"/>
              <w:jc w:val="left"/>
            </w:pPr>
            <w:r>
              <w:t xml:space="preserve">NATO StratCom</w:t>
            </w:r>
          </w:p>
        </w:tc>
        <w:tc>
          <w:tcPr>
            <w:tcW w:w="540" w:type="dxa"/>
          </w:tcPr>
          <w:p>
            <w:pPr>
              <w:pStyle w:val="Compact"/>
              <w:spacing w:after="40" w:before="40"/>
              <w:jc w:val="left"/>
            </w:pPr>
            <w:r>
              <w:t xml:space="preserve">28</w:t>
            </w:r>
          </w:p>
        </w:tc>
        <w:tc>
          <w:tcPr>
            <w:tcW w:w="1080" w:type="dxa"/>
          </w:tcPr>
          <w:p>
            <w:pPr>
              <w:pStyle w:val="Compact"/>
              <w:spacing w:after="40" w:before="40"/>
              <w:jc w:val="left"/>
            </w:pPr>
            <w:r>
              <w:t xml:space="preserve">SRC-001</w:t>
            </w:r>
          </w:p>
        </w:tc>
        <w:tc>
          <w:tcPr>
            <w:tcW w:w="198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INST-001</w:t>
            </w:r>
          </w:p>
        </w:tc>
        <w:tc>
          <w:tcPr>
            <w:tcW w:w="1440" w:type="dxa"/>
          </w:tcPr>
          <w:p>
            <w:pPr>
              <w:pStyle w:val="Compact"/>
              <w:spacing w:after="40" w:before="40"/>
              <w:jc w:val="left"/>
            </w:pPr>
            <w:r>
              <w:t xml:space="preserve">NATO Strategic Communications Centre of Excellence</w:t>
            </w:r>
          </w:p>
        </w:tc>
      </w:tr>
      <w:tr>
        <w:tc>
          <w:tcPr>
            <w:tcW w:w="2700" w:type="dxa"/>
          </w:tcPr>
          <w:p>
            <w:pPr>
              <w:pStyle w:val="Compact"/>
              <w:spacing w:after="40" w:before="40"/>
              <w:jc w:val="left"/>
            </w:pPr>
            <w:r>
              <w:t xml:space="preserve">NATO StratCom COE</w:t>
            </w:r>
          </w:p>
        </w:tc>
        <w:tc>
          <w:tcPr>
            <w:tcW w:w="540" w:type="dxa"/>
          </w:tcPr>
          <w:p>
            <w:pPr>
              <w:pStyle w:val="Compact"/>
              <w:spacing w:after="40" w:before="40"/>
              <w:jc w:val="left"/>
            </w:pPr>
            <w:r>
              <w:t xml:space="preserve">77</w:t>
            </w:r>
          </w:p>
        </w:tc>
        <w:tc>
          <w:tcPr>
            <w:tcW w:w="1080" w:type="dxa"/>
          </w:tcPr>
          <w:p>
            <w:pPr>
              <w:pStyle w:val="Compact"/>
              <w:spacing w:after="40" w:before="40"/>
              <w:jc w:val="left"/>
            </w:pPr>
            <w:r>
              <w:t xml:space="preserve">SRC-001</w:t>
            </w:r>
          </w:p>
        </w:tc>
        <w:tc>
          <w:tcPr>
            <w:tcW w:w="198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INST-001</w:t>
            </w:r>
          </w:p>
        </w:tc>
        <w:tc>
          <w:tcPr>
            <w:tcW w:w="1440" w:type="dxa"/>
          </w:tcPr>
          <w:p>
            <w:pPr>
              <w:pStyle w:val="Compact"/>
              <w:spacing w:after="40" w:before="40"/>
              <w:jc w:val="left"/>
            </w:pPr>
            <w:r>
              <w:t xml:space="preserve">NATO Strategic Communications Centre of Excellence</w:t>
            </w:r>
          </w:p>
        </w:tc>
      </w:tr>
      <w:tr>
        <w:tc>
          <w:tcPr>
            <w:tcW w:w="2700" w:type="dxa"/>
          </w:tcPr>
          <w:p>
            <w:pPr>
              <w:pStyle w:val="Compact"/>
              <w:spacing w:after="40" w:before="40"/>
              <w:jc w:val="left"/>
            </w:pPr>
            <w:r>
              <w:t xml:space="preserve">NATO StratCom Centre of Excellence</w:t>
            </w:r>
          </w:p>
        </w:tc>
        <w:tc>
          <w:tcPr>
            <w:tcW w:w="540" w:type="dxa"/>
          </w:tcPr>
          <w:p>
            <w:pPr>
              <w:pStyle w:val="Compact"/>
              <w:spacing w:after="40" w:before="40"/>
              <w:jc w:val="left"/>
            </w:pPr>
            <w:r>
              <w:t xml:space="preserve">3</w:t>
            </w:r>
          </w:p>
        </w:tc>
        <w:tc>
          <w:tcPr>
            <w:tcW w:w="1080" w:type="dxa"/>
          </w:tcPr>
          <w:p>
            <w:pPr>
              <w:pStyle w:val="Compact"/>
              <w:spacing w:after="40" w:before="40"/>
              <w:jc w:val="left"/>
            </w:pPr>
            <w:r>
              <w:t xml:space="preserve">SRC-001</w:t>
            </w:r>
          </w:p>
        </w:tc>
        <w:tc>
          <w:tcPr>
            <w:tcW w:w="198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INST-001</w:t>
            </w:r>
          </w:p>
        </w:tc>
        <w:tc>
          <w:tcPr>
            <w:tcW w:w="1440" w:type="dxa"/>
          </w:tcPr>
          <w:p>
            <w:pPr>
              <w:pStyle w:val="Compact"/>
              <w:spacing w:after="40" w:before="40"/>
              <w:jc w:val="left"/>
            </w:pPr>
            <w:r>
              <w:t xml:space="preserve">NATO Strategic Communications Centre of Excellence</w:t>
            </w:r>
          </w:p>
        </w:tc>
      </w:tr>
      <w:tr>
        <w:tc>
          <w:tcPr>
            <w:tcW w:w="2700" w:type="dxa"/>
          </w:tcPr>
          <w:p>
            <w:pPr>
              <w:pStyle w:val="Compact"/>
              <w:spacing w:after="40" w:before="40"/>
              <w:jc w:val="left"/>
            </w:pPr>
            <w:r>
              <w:t xml:space="preserve">NATO StratCom CoE</w:t>
            </w:r>
          </w:p>
        </w:tc>
        <w:tc>
          <w:tcPr>
            <w:tcW w:w="540" w:type="dxa"/>
          </w:tcPr>
          <w:p>
            <w:pPr>
              <w:pStyle w:val="Compact"/>
              <w:spacing w:after="40" w:before="40"/>
              <w:jc w:val="left"/>
            </w:pPr>
            <w:r>
              <w:t xml:space="preserve">1</w:t>
            </w:r>
          </w:p>
        </w:tc>
        <w:tc>
          <w:tcPr>
            <w:tcW w:w="1080" w:type="dxa"/>
          </w:tcPr>
          <w:p>
            <w:pPr>
              <w:pStyle w:val="Compact"/>
              <w:spacing w:after="40" w:before="40"/>
              <w:jc w:val="left"/>
            </w:pPr>
            <w:r>
              <w:t xml:space="preserve">SRC-001</w:t>
            </w:r>
          </w:p>
        </w:tc>
        <w:tc>
          <w:tcPr>
            <w:tcW w:w="198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INST-001</w:t>
            </w:r>
          </w:p>
        </w:tc>
        <w:tc>
          <w:tcPr>
            <w:tcW w:w="1440" w:type="dxa"/>
          </w:tcPr>
          <w:p>
            <w:pPr>
              <w:pStyle w:val="Compact"/>
              <w:spacing w:after="40" w:before="40"/>
              <w:jc w:val="left"/>
            </w:pPr>
            <w:r>
              <w:t xml:space="preserve">NATO Strategic Communications Centre of Excellence</w:t>
            </w:r>
          </w:p>
        </w:tc>
      </w:tr>
      <w:tr>
        <w:tc>
          <w:tcPr>
            <w:tcW w:w="2700" w:type="dxa"/>
          </w:tcPr>
          <w:p>
            <w:pPr>
              <w:pStyle w:val="Compact"/>
              <w:spacing w:after="40" w:before="40"/>
              <w:jc w:val="left"/>
            </w:pPr>
            <w:r>
              <w:t xml:space="preserve">NATO Strategic Communications Centre of Excellence</w:t>
            </w:r>
          </w:p>
        </w:tc>
        <w:tc>
          <w:tcPr>
            <w:tcW w:w="540" w:type="dxa"/>
          </w:tcPr>
          <w:p>
            <w:pPr>
              <w:pStyle w:val="Compact"/>
              <w:spacing w:after="40" w:before="40"/>
              <w:jc w:val="left"/>
            </w:pPr>
            <w:r>
              <w:t xml:space="preserve">417</w:t>
            </w:r>
          </w:p>
        </w:tc>
        <w:tc>
          <w:tcPr>
            <w:tcW w:w="1080" w:type="dxa"/>
          </w:tcPr>
          <w:p>
            <w:pPr>
              <w:pStyle w:val="Compact"/>
              <w:spacing w:after="40" w:before="40"/>
              <w:jc w:val="left"/>
            </w:pPr>
            <w:r>
              <w:t xml:space="preserve">SRC-001</w:t>
            </w:r>
          </w:p>
        </w:tc>
        <w:tc>
          <w:tcPr>
            <w:tcW w:w="1980" w:type="dxa"/>
          </w:tcPr>
          <w:p>
            <w:pPr>
              <w:pStyle w:val="Compact"/>
              <w:spacing w:after="40" w:before="40"/>
              <w:jc w:val="left"/>
            </w:pPr>
            <w:r>
              <w:t xml:space="preserve">NATO Strategic Communications Centre of Excellence</w:t>
            </w:r>
          </w:p>
        </w:tc>
        <w:tc>
          <w:tcPr>
            <w:tcW w:w="1260" w:type="dxa"/>
          </w:tcPr>
          <w:p>
            <w:pPr>
              <w:pStyle w:val="Compact"/>
              <w:spacing w:after="40" w:before="40"/>
              <w:jc w:val="left"/>
            </w:pPr>
            <w:r>
              <w:t xml:space="preserve">INST-001</w:t>
            </w:r>
          </w:p>
        </w:tc>
        <w:tc>
          <w:tcPr>
            <w:tcW w:w="1440" w:type="dxa"/>
          </w:tcPr>
          <w:p>
            <w:pPr>
              <w:pStyle w:val="Compact"/>
              <w:spacing w:after="40" w:before="40"/>
              <w:jc w:val="left"/>
            </w:pPr>
            <w:r>
              <w:t xml:space="preserve">NATO Strategic Communications Centre of Excellence</w:t>
            </w:r>
          </w:p>
        </w:tc>
      </w:tr>
    </w:tbl>
    <w:bookmarkEnd w:id="39"/>
    <w:bookmarkStart w:id="40" w:name="X1dce18652589ba6586bdb96640c491b1994d49a"/>
    <w:p>
      <w:pPr>
        <w:pStyle w:val="Heading1"/>
      </w:pPr>
      <w:r>
        <w:rPr>
          <w:bCs/>
          <w:b/>
        </w:rPr>
        <w:t xml:space="preserve">Appendix G. Institution type groups used in D4.2</w:t>
      </w:r>
    </w:p>
    <w:p>
      <w:pPr>
        <w:pStyle w:val="FirstParagraph"/>
      </w:pPr>
      <w:r>
        <w:t xml:space="preserve">D4.2 draws its figures by type of attributing institution (Figures 3, 5, 10 and 13 of the report) from the released field</w:t>
      </w:r>
      <w:r>
        <w:t xml:space="preserve"> </w:t>
      </w:r>
      <w:r>
        <w:rPr>
          <w:rStyle w:val="VerbatimChar"/>
        </w:rPr>
        <w:t xml:space="preserve">institution_type</w:t>
      </w:r>
      <w:r>
        <w:t xml:space="preserve">, collapsed into 6 groups by the table below. Section 6 states how the field is assigned. Incidents counts the 3,029 distinct incidents; the 232 incidents without an identified institution carry no type and appear in none of those figures.</w:t>
      </w:r>
    </w:p>
    <w:p>
      <w:pPr>
        <w:pStyle w:val="Caption"/>
      </w:pPr>
      <w:r>
        <w:rPr>
          <w:iCs/>
          <w:i/>
        </w:rPr>
        <w:t xml:space="preserve">Table 28: The 13 institution_type labels and the 6 groups used in D4.2.</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600"/>
        <w:gridCol w:w="1980"/>
        <w:gridCol w:w="1710"/>
        <w:gridCol w:w="1710"/>
      </w:tblGrid>
      <w:tr>
        <w:trPr>
          <w:tblHeader w:val="true"/>
        </w:trPr>
        <w:tc>
          <w:tcPr>
            <w:tcW w:w="3600" w:type="dxa"/>
          </w:tcPr>
          <w:p>
            <w:pPr>
              <w:pStyle w:val="Compact"/>
              <w:spacing w:after="40" w:before="40"/>
              <w:jc w:val="left"/>
            </w:pPr>
            <w:r>
              <w:rPr>
                <w:rStyle w:val="VerbatimChar"/>
              </w:rPr>
              <w:t xml:space="preserve">institution_type</w:t>
            </w:r>
            <w:r>
              <w:t xml:space="preserve"> </w:t>
            </w:r>
            <w:r>
              <w:t xml:space="preserve">label</w:t>
            </w:r>
          </w:p>
        </w:tc>
        <w:tc>
          <w:tcPr>
            <w:tcW w:w="1980" w:type="dxa"/>
          </w:tcPr>
          <w:p>
            <w:pPr>
              <w:pStyle w:val="Compact"/>
              <w:spacing w:after="40" w:before="40"/>
              <w:jc w:val="left"/>
            </w:pPr>
            <w:r>
              <w:t xml:space="preserve">Group used in D4.2</w:t>
            </w:r>
          </w:p>
        </w:tc>
        <w:tc>
          <w:tcPr>
            <w:tcW w:w="1710" w:type="dxa"/>
          </w:tcPr>
          <w:p>
            <w:pPr>
              <w:pStyle w:val="Compact"/>
              <w:spacing w:after="40" w:before="40"/>
              <w:jc w:val="left"/>
            </w:pPr>
            <w:r>
              <w:t xml:space="preserve">Source identities</w:t>
            </w:r>
          </w:p>
        </w:tc>
        <w:tc>
          <w:tcPr>
            <w:tcW w:w="1710" w:type="dxa"/>
          </w:tcPr>
          <w:p>
            <w:pPr>
              <w:pStyle w:val="Compact"/>
              <w:spacing w:after="40" w:before="40"/>
              <w:jc w:val="left"/>
            </w:pPr>
            <w:r>
              <w:t xml:space="preserve">Incidents</w:t>
            </w:r>
          </w:p>
        </w:tc>
      </w:tr>
      <w:tr>
        <w:tc>
          <w:tcPr>
            <w:tcW w:w="3600" w:type="dxa"/>
          </w:tcPr>
          <w:p>
            <w:pPr>
              <w:pStyle w:val="Compact"/>
              <w:spacing w:after="40" w:before="40"/>
              <w:jc w:val="left"/>
            </w:pPr>
            <w:r>
              <w:t xml:space="preserve">Intelligence</w:t>
            </w:r>
          </w:p>
        </w:tc>
        <w:tc>
          <w:tcPr>
            <w:tcW w:w="1980" w:type="dxa"/>
          </w:tcPr>
          <w:p>
            <w:pPr>
              <w:pStyle w:val="Compact"/>
              <w:spacing w:after="40" w:before="40"/>
              <w:jc w:val="left"/>
            </w:pPr>
            <w:r>
              <w:t xml:space="preserve">Intelligence</w:t>
            </w:r>
          </w:p>
        </w:tc>
        <w:tc>
          <w:tcPr>
            <w:tcW w:w="1710" w:type="dxa"/>
          </w:tcPr>
          <w:p>
            <w:pPr>
              <w:pStyle w:val="Compact"/>
              <w:spacing w:after="40" w:before="40"/>
              <w:jc w:val="left"/>
            </w:pPr>
            <w:r>
              <w:t xml:space="preserve">9</w:t>
            </w:r>
          </w:p>
        </w:tc>
        <w:tc>
          <w:tcPr>
            <w:tcW w:w="1710" w:type="dxa"/>
          </w:tcPr>
          <w:p>
            <w:pPr>
              <w:pStyle w:val="Compact"/>
              <w:spacing w:after="40" w:before="40"/>
              <w:jc w:val="left"/>
            </w:pPr>
            <w:r>
              <w:t xml:space="preserve">338</w:t>
            </w:r>
          </w:p>
        </w:tc>
      </w:tr>
      <w:tr>
        <w:tc>
          <w:tcPr>
            <w:tcW w:w="3600" w:type="dxa"/>
          </w:tcPr>
          <w:p>
            <w:pPr>
              <w:pStyle w:val="Compact"/>
              <w:spacing w:after="40" w:before="40"/>
              <w:jc w:val="left"/>
            </w:pPr>
            <w:r>
              <w:t xml:space="preserve">Government</w:t>
            </w:r>
          </w:p>
        </w:tc>
        <w:tc>
          <w:tcPr>
            <w:tcW w:w="1980" w:type="dxa"/>
          </w:tcPr>
          <w:p>
            <w:pPr>
              <w:pStyle w:val="Compact"/>
              <w:spacing w:after="40" w:before="40"/>
              <w:jc w:val="left"/>
            </w:pPr>
            <w:r>
              <w:t xml:space="preserve">Government</w:t>
            </w:r>
          </w:p>
        </w:tc>
        <w:tc>
          <w:tcPr>
            <w:tcW w:w="1710" w:type="dxa"/>
          </w:tcPr>
          <w:p>
            <w:pPr>
              <w:pStyle w:val="Compact"/>
              <w:spacing w:after="40" w:before="40"/>
              <w:jc w:val="left"/>
            </w:pPr>
            <w:r>
              <w:t xml:space="preserve">7</w:t>
            </w:r>
          </w:p>
        </w:tc>
        <w:tc>
          <w:tcPr>
            <w:tcW w:w="1710" w:type="dxa"/>
          </w:tcPr>
          <w:p>
            <w:pPr>
              <w:pStyle w:val="Compact"/>
              <w:spacing w:after="40" w:before="40"/>
              <w:jc w:val="left"/>
            </w:pPr>
            <w:r>
              <w:t xml:space="preserve">248</w:t>
            </w:r>
          </w:p>
        </w:tc>
      </w:tr>
      <w:tr>
        <w:tc>
          <w:tcPr>
            <w:tcW w:w="3600" w:type="dxa"/>
          </w:tcPr>
          <w:p>
            <w:pPr>
              <w:pStyle w:val="Compact"/>
              <w:spacing w:after="40" w:before="40"/>
              <w:jc w:val="left"/>
            </w:pPr>
            <w:r>
              <w:t xml:space="preserve">Parliamentary oversight</w:t>
            </w:r>
          </w:p>
        </w:tc>
        <w:tc>
          <w:tcPr>
            <w:tcW w:w="1980" w:type="dxa"/>
          </w:tcPr>
          <w:p>
            <w:pPr>
              <w:pStyle w:val="Compact"/>
              <w:spacing w:after="40" w:before="40"/>
              <w:jc w:val="left"/>
            </w:pPr>
            <w:r>
              <w:t xml:space="preserve">Government</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34</w:t>
            </w:r>
          </w:p>
        </w:tc>
      </w:tr>
      <w:tr>
        <w:tc>
          <w:tcPr>
            <w:tcW w:w="3600" w:type="dxa"/>
          </w:tcPr>
          <w:p>
            <w:pPr>
              <w:pStyle w:val="Compact"/>
              <w:spacing w:after="40" w:before="40"/>
              <w:jc w:val="left"/>
            </w:pPr>
            <w:r>
              <w:t xml:space="preserve">NATO</w:t>
            </w:r>
          </w:p>
        </w:tc>
        <w:tc>
          <w:tcPr>
            <w:tcW w:w="1980" w:type="dxa"/>
          </w:tcPr>
          <w:p>
            <w:pPr>
              <w:pStyle w:val="Compact"/>
              <w:spacing w:after="40" w:before="40"/>
              <w:jc w:val="left"/>
            </w:pPr>
            <w:r>
              <w:t xml:space="preserve">NATO</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513</w:t>
            </w:r>
          </w:p>
        </w:tc>
      </w:tr>
      <w:tr>
        <w:tc>
          <w:tcPr>
            <w:tcW w:w="3600" w:type="dxa"/>
          </w:tcPr>
          <w:p>
            <w:pPr>
              <w:pStyle w:val="Compact"/>
              <w:spacing w:after="40" w:before="40"/>
              <w:jc w:val="left"/>
            </w:pPr>
            <w:r>
              <w:t xml:space="preserve">EU</w:t>
            </w:r>
          </w:p>
        </w:tc>
        <w:tc>
          <w:tcPr>
            <w:tcW w:w="1980" w:type="dxa"/>
          </w:tcPr>
          <w:p>
            <w:pPr>
              <w:pStyle w:val="Compact"/>
              <w:spacing w:after="40" w:before="40"/>
              <w:jc w:val="left"/>
            </w:pPr>
            <w:r>
              <w:t xml:space="preserve">EU</w:t>
            </w:r>
          </w:p>
        </w:tc>
        <w:tc>
          <w:tcPr>
            <w:tcW w:w="1710" w:type="dxa"/>
          </w:tcPr>
          <w:p>
            <w:pPr>
              <w:pStyle w:val="Compact"/>
              <w:spacing w:after="40" w:before="40"/>
              <w:jc w:val="left"/>
            </w:pPr>
            <w:r>
              <w:t xml:space="preserve">4</w:t>
            </w:r>
          </w:p>
        </w:tc>
        <w:tc>
          <w:tcPr>
            <w:tcW w:w="1710" w:type="dxa"/>
          </w:tcPr>
          <w:p>
            <w:pPr>
              <w:pStyle w:val="Compact"/>
              <w:spacing w:after="40" w:before="40"/>
              <w:jc w:val="left"/>
            </w:pPr>
            <w:r>
              <w:t xml:space="preserve">108</w:t>
            </w:r>
          </w:p>
        </w:tc>
      </w:tr>
      <w:tr>
        <w:tc>
          <w:tcPr>
            <w:tcW w:w="3600" w:type="dxa"/>
          </w:tcPr>
          <w:p>
            <w:pPr>
              <w:pStyle w:val="Compact"/>
              <w:spacing w:after="40" w:before="40"/>
              <w:jc w:val="left"/>
            </w:pPr>
            <w:r>
              <w:t xml:space="preserve">EU/NATO</w:t>
            </w:r>
          </w:p>
        </w:tc>
        <w:tc>
          <w:tcPr>
            <w:tcW w:w="1980" w:type="dxa"/>
          </w:tcPr>
          <w:p>
            <w:pPr>
              <w:pStyle w:val="Compact"/>
              <w:spacing w:after="40" w:before="40"/>
              <w:jc w:val="left"/>
            </w:pPr>
            <w:r>
              <w:t xml:space="preserve">EU</w:t>
            </w:r>
          </w:p>
        </w:tc>
        <w:tc>
          <w:tcPr>
            <w:tcW w:w="1710" w:type="dxa"/>
          </w:tcPr>
          <w:p>
            <w:pPr>
              <w:pStyle w:val="Compact"/>
              <w:spacing w:after="40" w:before="40"/>
              <w:jc w:val="left"/>
            </w:pPr>
            <w:r>
              <w:t xml:space="preserve">3</w:t>
            </w:r>
          </w:p>
        </w:tc>
        <w:tc>
          <w:tcPr>
            <w:tcW w:w="1710" w:type="dxa"/>
          </w:tcPr>
          <w:p>
            <w:pPr>
              <w:pStyle w:val="Compact"/>
              <w:spacing w:after="40" w:before="40"/>
              <w:jc w:val="left"/>
            </w:pPr>
            <w:r>
              <w:t xml:space="preserve">119</w:t>
            </w:r>
          </w:p>
        </w:tc>
      </w:tr>
      <w:tr>
        <w:tc>
          <w:tcPr>
            <w:tcW w:w="3600" w:type="dxa"/>
          </w:tcPr>
          <w:p>
            <w:pPr>
              <w:pStyle w:val="Compact"/>
              <w:spacing w:after="40" w:before="40"/>
              <w:jc w:val="left"/>
            </w:pPr>
            <w:r>
              <w:t xml:space="preserve">Civil society</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17</w:t>
            </w:r>
          </w:p>
        </w:tc>
        <w:tc>
          <w:tcPr>
            <w:tcW w:w="1710" w:type="dxa"/>
          </w:tcPr>
          <w:p>
            <w:pPr>
              <w:pStyle w:val="Compact"/>
              <w:spacing w:after="40" w:before="40"/>
              <w:jc w:val="left"/>
            </w:pPr>
            <w:r>
              <w:t xml:space="preserve">816</w:t>
            </w:r>
          </w:p>
        </w:tc>
      </w:tr>
      <w:tr>
        <w:tc>
          <w:tcPr>
            <w:tcW w:w="3600" w:type="dxa"/>
          </w:tcPr>
          <w:p>
            <w:pPr>
              <w:pStyle w:val="Compact"/>
              <w:spacing w:after="40" w:before="40"/>
              <w:jc w:val="left"/>
            </w:pPr>
            <w:r>
              <w:t xml:space="preserve">EU-based civil society</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88</w:t>
            </w:r>
          </w:p>
        </w:tc>
      </w:tr>
      <w:tr>
        <w:tc>
          <w:tcPr>
            <w:tcW w:w="3600" w:type="dxa"/>
          </w:tcPr>
          <w:p>
            <w:pPr>
              <w:pStyle w:val="Compact"/>
              <w:spacing w:after="40" w:before="40"/>
              <w:jc w:val="left"/>
            </w:pPr>
            <w:r>
              <w:t xml:space="preserve">Civil society consortium</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88</w:t>
            </w:r>
          </w:p>
        </w:tc>
      </w:tr>
      <w:tr>
        <w:tc>
          <w:tcPr>
            <w:tcW w:w="3600" w:type="dxa"/>
          </w:tcPr>
          <w:p>
            <w:pPr>
              <w:pStyle w:val="Compact"/>
              <w:spacing w:after="40" w:before="40"/>
              <w:jc w:val="left"/>
            </w:pPr>
            <w:r>
              <w:t xml:space="preserve">Baltic (EDMO hub)</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30</w:t>
            </w:r>
          </w:p>
        </w:tc>
      </w:tr>
      <w:tr>
        <w:tc>
          <w:tcPr>
            <w:tcW w:w="3600" w:type="dxa"/>
          </w:tcPr>
          <w:p>
            <w:pPr>
              <w:pStyle w:val="Compact"/>
              <w:spacing w:after="40" w:before="40"/>
              <w:jc w:val="left"/>
            </w:pPr>
            <w:r>
              <w:t xml:space="preserve">Central Europe (EDMO hub)</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2</w:t>
            </w:r>
          </w:p>
        </w:tc>
        <w:tc>
          <w:tcPr>
            <w:tcW w:w="1710" w:type="dxa"/>
          </w:tcPr>
          <w:p>
            <w:pPr>
              <w:pStyle w:val="Compact"/>
              <w:spacing w:after="40" w:before="40"/>
              <w:jc w:val="left"/>
            </w:pPr>
            <w:r>
              <w:t xml:space="preserve">8</w:t>
            </w:r>
          </w:p>
        </w:tc>
      </w:tr>
      <w:tr>
        <w:tc>
          <w:tcPr>
            <w:tcW w:w="3600" w:type="dxa"/>
          </w:tcPr>
          <w:p>
            <w:pPr>
              <w:pStyle w:val="Compact"/>
              <w:spacing w:after="40" w:before="40"/>
              <w:jc w:val="left"/>
            </w:pPr>
            <w:r>
              <w:t xml:space="preserve">Commercial research</w:t>
            </w:r>
          </w:p>
        </w:tc>
        <w:tc>
          <w:tcPr>
            <w:tcW w:w="1980" w:type="dxa"/>
          </w:tcPr>
          <w:p>
            <w:pPr>
              <w:pStyle w:val="Compact"/>
              <w:spacing w:after="40" w:before="40"/>
              <w:jc w:val="left"/>
            </w:pPr>
            <w:r>
              <w:t xml:space="preserve">Civil society</w:t>
            </w:r>
          </w:p>
        </w:tc>
        <w:tc>
          <w:tcPr>
            <w:tcW w:w="1710" w:type="dxa"/>
          </w:tcPr>
          <w:p>
            <w:pPr>
              <w:pStyle w:val="Compact"/>
              <w:spacing w:after="40" w:before="40"/>
              <w:jc w:val="left"/>
            </w:pPr>
            <w:r>
              <w:t xml:space="preserve">1</w:t>
            </w:r>
          </w:p>
        </w:tc>
        <w:tc>
          <w:tcPr>
            <w:tcW w:w="1710" w:type="dxa"/>
          </w:tcPr>
          <w:p>
            <w:pPr>
              <w:pStyle w:val="Compact"/>
              <w:spacing w:after="40" w:before="40"/>
              <w:jc w:val="left"/>
            </w:pPr>
            <w:r>
              <w:t xml:space="preserve">10</w:t>
            </w:r>
          </w:p>
        </w:tc>
      </w:tr>
      <w:tr>
        <w:tc>
          <w:tcPr>
            <w:tcW w:w="3600" w:type="dxa"/>
          </w:tcPr>
          <w:p>
            <w:pPr>
              <w:pStyle w:val="Compact"/>
              <w:spacing w:after="40" w:before="40"/>
              <w:jc w:val="left"/>
            </w:pPr>
            <w:r>
              <w:t xml:space="preserve">Unmapped</w:t>
            </w:r>
          </w:p>
        </w:tc>
        <w:tc>
          <w:tcPr>
            <w:tcW w:w="1980" w:type="dxa"/>
          </w:tcPr>
          <w:p>
            <w:pPr>
              <w:pStyle w:val="Compact"/>
              <w:spacing w:after="40" w:before="40"/>
              <w:jc w:val="left"/>
            </w:pPr>
            <w:r>
              <w:t xml:space="preserve">Not yet typed</w:t>
            </w:r>
          </w:p>
        </w:tc>
        <w:tc>
          <w:tcPr>
            <w:tcW w:w="1710" w:type="dxa"/>
          </w:tcPr>
          <w:p>
            <w:pPr>
              <w:pStyle w:val="Compact"/>
              <w:spacing w:after="40" w:before="40"/>
              <w:jc w:val="left"/>
            </w:pPr>
            <w:r>
              <w:t xml:space="preserve">60</w:t>
            </w:r>
          </w:p>
        </w:tc>
        <w:tc>
          <w:tcPr>
            <w:tcW w:w="1710" w:type="dxa"/>
          </w:tcPr>
          <w:p>
            <w:pPr>
              <w:pStyle w:val="Compact"/>
              <w:spacing w:after="40" w:before="40"/>
              <w:jc w:val="left"/>
            </w:pPr>
            <w:r>
              <w:t xml:space="preserve">397</w:t>
            </w:r>
          </w:p>
        </w:tc>
      </w:tr>
      <w:tr>
        <w:tc>
          <w:tcPr>
            <w:tcW w:w="3600" w:type="dxa"/>
          </w:tcPr>
          <w:p>
            <w:pPr>
              <w:pStyle w:val="Compact"/>
              <w:spacing w:after="40" w:before="40"/>
              <w:jc w:val="left"/>
            </w:pPr>
            <w:r>
              <w:t xml:space="preserve">(no identified institution)</w:t>
            </w:r>
          </w:p>
        </w:tc>
        <w:tc>
          <w:tcPr>
            <w:tcW w:w="1980" w:type="dxa"/>
          </w:tcPr>
          <w:p>
            <w:pPr>
              <w:pStyle w:val="Compact"/>
              <w:spacing w:after="40" w:before="40"/>
              <w:jc w:val="left"/>
            </w:pPr>
            <w:r>
              <w:t xml:space="preserve">excluded</w:t>
            </w:r>
          </w:p>
        </w:tc>
        <w:tc>
          <w:tcPr>
            <w:tcW w:w="1710" w:type="dxa"/>
          </w:tcPr>
          <w:p>
            <w:pPr>
              <w:pStyle w:val="Compact"/>
              <w:spacing w:after="40" w:before="40"/>
            </w:pPr>
          </w:p>
        </w:tc>
        <w:tc>
          <w:tcPr>
            <w:tcW w:w="1710" w:type="dxa"/>
          </w:tcPr>
          <w:p>
            <w:pPr>
              <w:pStyle w:val="Compact"/>
              <w:spacing w:after="40" w:before="40"/>
              <w:jc w:val="left"/>
            </w:pPr>
            <w:r>
              <w:t xml:space="preserve">232</w:t>
            </w:r>
          </w:p>
        </w:tc>
      </w:tr>
    </w:tbl>
    <w:bookmarkEnd w:id="40"/>
    <w:bookmarkStart w:id="41" w:name="appendix-h-population-denominators"/>
    <w:p>
      <w:pPr>
        <w:pStyle w:val="Heading1"/>
      </w:pPr>
      <w:r>
        <w:rPr>
          <w:bCs/>
          <w:b/>
        </w:rPr>
        <w:t xml:space="preserve">Appendix H. Population denominators</w:t>
      </w:r>
    </w:p>
    <w:p>
      <w:pPr>
        <w:pStyle w:val="FirstParagraph"/>
      </w:pPr>
      <w:r>
        <w:t xml:space="preserve">Figure 8 of D4.2 and the per-million measure in the portal divide each country’s recorded incidents, counted over the target analysis population, by the population below, in millions. The values are the approximate mid-2023 resident populations that the portal carries, rounded to the precision shown, and they serve only to place countries of very different size on one scale; the per-million figures are not sensitive to the rounding. Türkiye appears under that name.</w:t>
      </w:r>
    </w:p>
    <w:p>
      <w:pPr>
        <w:pStyle w:val="Caption"/>
      </w:pPr>
      <w:r>
        <w:rPr>
          <w:iCs/>
          <w:i/>
        </w:rPr>
        <w:t xml:space="preserve">Table 29: Population denominators, in millions.</w:t>
      </w:r>
    </w:p>
    <w:tbl>
      <w:tblPr>
        <w:tblStyle w:val="Table"/>
        <w:tblW w:w="5000" w:type="pct"/>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5400"/>
        <w:gridCol w:w="3600"/>
      </w:tblGrid>
      <w:tr>
        <w:trPr>
          <w:tblHeader w:val="true"/>
        </w:trPr>
        <w:tc>
          <w:tcPr>
            <w:tcW w:w="5400" w:type="dxa"/>
          </w:tcPr>
          <w:p>
            <w:pPr>
              <w:pStyle w:val="Compact"/>
              <w:spacing w:after="40" w:before="40"/>
              <w:jc w:val="left"/>
            </w:pPr>
            <w:r>
              <w:t xml:space="preserve">Country</w:t>
            </w:r>
          </w:p>
        </w:tc>
        <w:tc>
          <w:tcPr>
            <w:tcW w:w="3600" w:type="dxa"/>
          </w:tcPr>
          <w:p>
            <w:pPr>
              <w:pStyle w:val="Compact"/>
              <w:spacing w:after="40" w:before="40"/>
              <w:jc w:val="left"/>
            </w:pPr>
            <w:r>
              <w:t xml:space="preserve">Population, millions</w:t>
            </w:r>
          </w:p>
        </w:tc>
      </w:tr>
      <w:tr>
        <w:tc>
          <w:tcPr>
            <w:tcW w:w="5400" w:type="dxa"/>
          </w:tcPr>
          <w:p>
            <w:pPr>
              <w:pStyle w:val="Compact"/>
              <w:spacing w:after="40" w:before="40"/>
              <w:jc w:val="left"/>
            </w:pPr>
            <w:r>
              <w:t xml:space="preserve">Albania</w:t>
            </w:r>
          </w:p>
        </w:tc>
        <w:tc>
          <w:tcPr>
            <w:tcW w:w="3600" w:type="dxa"/>
          </w:tcPr>
          <w:p>
            <w:pPr>
              <w:pStyle w:val="Compact"/>
              <w:spacing w:after="40" w:before="40"/>
              <w:jc w:val="left"/>
            </w:pPr>
            <w:r>
              <w:t xml:space="preserve">2.8</w:t>
            </w:r>
          </w:p>
        </w:tc>
      </w:tr>
      <w:tr>
        <w:tc>
          <w:tcPr>
            <w:tcW w:w="5400" w:type="dxa"/>
          </w:tcPr>
          <w:p>
            <w:pPr>
              <w:pStyle w:val="Compact"/>
              <w:spacing w:after="40" w:before="40"/>
              <w:jc w:val="left"/>
            </w:pPr>
            <w:r>
              <w:t xml:space="preserve">Armenia</w:t>
            </w:r>
          </w:p>
        </w:tc>
        <w:tc>
          <w:tcPr>
            <w:tcW w:w="3600" w:type="dxa"/>
          </w:tcPr>
          <w:p>
            <w:pPr>
              <w:pStyle w:val="Compact"/>
              <w:spacing w:after="40" w:before="40"/>
              <w:jc w:val="left"/>
            </w:pPr>
            <w:r>
              <w:t xml:space="preserve">2.8</w:t>
            </w:r>
          </w:p>
        </w:tc>
      </w:tr>
      <w:tr>
        <w:tc>
          <w:tcPr>
            <w:tcW w:w="5400" w:type="dxa"/>
          </w:tcPr>
          <w:p>
            <w:pPr>
              <w:pStyle w:val="Compact"/>
              <w:spacing w:after="40" w:before="40"/>
              <w:jc w:val="left"/>
            </w:pPr>
            <w:r>
              <w:t xml:space="preserve">Australia</w:t>
            </w:r>
          </w:p>
        </w:tc>
        <w:tc>
          <w:tcPr>
            <w:tcW w:w="3600" w:type="dxa"/>
          </w:tcPr>
          <w:p>
            <w:pPr>
              <w:pStyle w:val="Compact"/>
              <w:spacing w:after="40" w:before="40"/>
              <w:jc w:val="left"/>
            </w:pPr>
            <w:r>
              <w:t xml:space="preserve">26.6</w:t>
            </w:r>
          </w:p>
        </w:tc>
      </w:tr>
      <w:tr>
        <w:tc>
          <w:tcPr>
            <w:tcW w:w="5400" w:type="dxa"/>
          </w:tcPr>
          <w:p>
            <w:pPr>
              <w:pStyle w:val="Compact"/>
              <w:spacing w:after="40" w:before="40"/>
              <w:jc w:val="left"/>
            </w:pPr>
            <w:r>
              <w:t xml:space="preserve">Austria</w:t>
            </w:r>
          </w:p>
        </w:tc>
        <w:tc>
          <w:tcPr>
            <w:tcW w:w="3600" w:type="dxa"/>
          </w:tcPr>
          <w:p>
            <w:pPr>
              <w:pStyle w:val="Compact"/>
              <w:spacing w:after="40" w:before="40"/>
              <w:jc w:val="left"/>
            </w:pPr>
            <w:r>
              <w:t xml:space="preserve">9.1</w:t>
            </w:r>
          </w:p>
        </w:tc>
      </w:tr>
      <w:tr>
        <w:tc>
          <w:tcPr>
            <w:tcW w:w="5400" w:type="dxa"/>
          </w:tcPr>
          <w:p>
            <w:pPr>
              <w:pStyle w:val="Compact"/>
              <w:spacing w:after="40" w:before="40"/>
              <w:jc w:val="left"/>
            </w:pPr>
            <w:r>
              <w:t xml:space="preserve">Azerbaijan</w:t>
            </w:r>
          </w:p>
        </w:tc>
        <w:tc>
          <w:tcPr>
            <w:tcW w:w="3600" w:type="dxa"/>
          </w:tcPr>
          <w:p>
            <w:pPr>
              <w:pStyle w:val="Compact"/>
              <w:spacing w:after="40" w:before="40"/>
              <w:jc w:val="left"/>
            </w:pPr>
            <w:r>
              <w:t xml:space="preserve">10.2</w:t>
            </w:r>
          </w:p>
        </w:tc>
      </w:tr>
      <w:tr>
        <w:tc>
          <w:tcPr>
            <w:tcW w:w="5400" w:type="dxa"/>
          </w:tcPr>
          <w:p>
            <w:pPr>
              <w:pStyle w:val="Compact"/>
              <w:spacing w:after="40" w:before="40"/>
              <w:jc w:val="left"/>
            </w:pPr>
            <w:r>
              <w:t xml:space="preserve">Belarus</w:t>
            </w:r>
          </w:p>
        </w:tc>
        <w:tc>
          <w:tcPr>
            <w:tcW w:w="3600" w:type="dxa"/>
          </w:tcPr>
          <w:p>
            <w:pPr>
              <w:pStyle w:val="Compact"/>
              <w:spacing w:after="40" w:before="40"/>
              <w:jc w:val="left"/>
            </w:pPr>
            <w:r>
              <w:t xml:space="preserve">9.2</w:t>
            </w:r>
          </w:p>
        </w:tc>
      </w:tr>
      <w:tr>
        <w:tc>
          <w:tcPr>
            <w:tcW w:w="5400" w:type="dxa"/>
          </w:tcPr>
          <w:p>
            <w:pPr>
              <w:pStyle w:val="Compact"/>
              <w:spacing w:after="40" w:before="40"/>
              <w:jc w:val="left"/>
            </w:pPr>
            <w:r>
              <w:t xml:space="preserve">Belgium</w:t>
            </w:r>
          </w:p>
        </w:tc>
        <w:tc>
          <w:tcPr>
            <w:tcW w:w="3600" w:type="dxa"/>
          </w:tcPr>
          <w:p>
            <w:pPr>
              <w:pStyle w:val="Compact"/>
              <w:spacing w:after="40" w:before="40"/>
              <w:jc w:val="left"/>
            </w:pPr>
            <w:r>
              <w:t xml:space="preserve">11.7</w:t>
            </w:r>
          </w:p>
        </w:tc>
      </w:tr>
      <w:tr>
        <w:tc>
          <w:tcPr>
            <w:tcW w:w="5400" w:type="dxa"/>
          </w:tcPr>
          <w:p>
            <w:pPr>
              <w:pStyle w:val="Compact"/>
              <w:spacing w:after="40" w:before="40"/>
              <w:jc w:val="left"/>
            </w:pPr>
            <w:r>
              <w:t xml:space="preserve">Bosnia and Herzegovina</w:t>
            </w:r>
          </w:p>
        </w:tc>
        <w:tc>
          <w:tcPr>
            <w:tcW w:w="3600" w:type="dxa"/>
          </w:tcPr>
          <w:p>
            <w:pPr>
              <w:pStyle w:val="Compact"/>
              <w:spacing w:after="40" w:before="40"/>
              <w:jc w:val="left"/>
            </w:pPr>
            <w:r>
              <w:t xml:space="preserve">3.2</w:t>
            </w:r>
          </w:p>
        </w:tc>
      </w:tr>
      <w:tr>
        <w:tc>
          <w:tcPr>
            <w:tcW w:w="5400" w:type="dxa"/>
          </w:tcPr>
          <w:p>
            <w:pPr>
              <w:pStyle w:val="Compact"/>
              <w:spacing w:after="40" w:before="40"/>
              <w:jc w:val="left"/>
            </w:pPr>
            <w:r>
              <w:t xml:space="preserve">Brazil</w:t>
            </w:r>
          </w:p>
        </w:tc>
        <w:tc>
          <w:tcPr>
            <w:tcW w:w="3600" w:type="dxa"/>
          </w:tcPr>
          <w:p>
            <w:pPr>
              <w:pStyle w:val="Compact"/>
              <w:spacing w:after="40" w:before="40"/>
              <w:jc w:val="left"/>
            </w:pPr>
            <w:r>
              <w:t xml:space="preserve">216.0</w:t>
            </w:r>
          </w:p>
        </w:tc>
      </w:tr>
      <w:tr>
        <w:tc>
          <w:tcPr>
            <w:tcW w:w="5400" w:type="dxa"/>
          </w:tcPr>
          <w:p>
            <w:pPr>
              <w:pStyle w:val="Compact"/>
              <w:spacing w:after="40" w:before="40"/>
              <w:jc w:val="left"/>
            </w:pPr>
            <w:r>
              <w:t xml:space="preserve">Bulgaria</w:t>
            </w:r>
          </w:p>
        </w:tc>
        <w:tc>
          <w:tcPr>
            <w:tcW w:w="3600" w:type="dxa"/>
          </w:tcPr>
          <w:p>
            <w:pPr>
              <w:pStyle w:val="Compact"/>
              <w:spacing w:after="40" w:before="40"/>
              <w:jc w:val="left"/>
            </w:pPr>
            <w:r>
              <w:t xml:space="preserve">6.4</w:t>
            </w:r>
          </w:p>
        </w:tc>
      </w:tr>
      <w:tr>
        <w:tc>
          <w:tcPr>
            <w:tcW w:w="5400" w:type="dxa"/>
          </w:tcPr>
          <w:p>
            <w:pPr>
              <w:pStyle w:val="Compact"/>
              <w:spacing w:after="40" w:before="40"/>
              <w:jc w:val="left"/>
            </w:pPr>
            <w:r>
              <w:t xml:space="preserve">Canada</w:t>
            </w:r>
          </w:p>
        </w:tc>
        <w:tc>
          <w:tcPr>
            <w:tcW w:w="3600" w:type="dxa"/>
          </w:tcPr>
          <w:p>
            <w:pPr>
              <w:pStyle w:val="Compact"/>
              <w:spacing w:after="40" w:before="40"/>
              <w:jc w:val="left"/>
            </w:pPr>
            <w:r>
              <w:t xml:space="preserve">40.0</w:t>
            </w:r>
          </w:p>
        </w:tc>
      </w:tr>
      <w:tr>
        <w:tc>
          <w:tcPr>
            <w:tcW w:w="5400" w:type="dxa"/>
          </w:tcPr>
          <w:p>
            <w:pPr>
              <w:pStyle w:val="Compact"/>
              <w:spacing w:after="40" w:before="40"/>
              <w:jc w:val="left"/>
            </w:pPr>
            <w:r>
              <w:t xml:space="preserve">China</w:t>
            </w:r>
          </w:p>
        </w:tc>
        <w:tc>
          <w:tcPr>
            <w:tcW w:w="3600" w:type="dxa"/>
          </w:tcPr>
          <w:p>
            <w:pPr>
              <w:pStyle w:val="Compact"/>
              <w:spacing w:after="40" w:before="40"/>
              <w:jc w:val="left"/>
            </w:pPr>
            <w:r>
              <w:t xml:space="preserve">1412.0</w:t>
            </w:r>
          </w:p>
        </w:tc>
      </w:tr>
      <w:tr>
        <w:tc>
          <w:tcPr>
            <w:tcW w:w="5400" w:type="dxa"/>
          </w:tcPr>
          <w:p>
            <w:pPr>
              <w:pStyle w:val="Compact"/>
              <w:spacing w:after="40" w:before="40"/>
              <w:jc w:val="left"/>
            </w:pPr>
            <w:r>
              <w:t xml:space="preserve">Colombia</w:t>
            </w:r>
          </w:p>
        </w:tc>
        <w:tc>
          <w:tcPr>
            <w:tcW w:w="3600" w:type="dxa"/>
          </w:tcPr>
          <w:p>
            <w:pPr>
              <w:pStyle w:val="Compact"/>
              <w:spacing w:after="40" w:before="40"/>
              <w:jc w:val="left"/>
            </w:pPr>
            <w:r>
              <w:t xml:space="preserve">52.0</w:t>
            </w:r>
          </w:p>
        </w:tc>
      </w:tr>
      <w:tr>
        <w:tc>
          <w:tcPr>
            <w:tcW w:w="5400" w:type="dxa"/>
          </w:tcPr>
          <w:p>
            <w:pPr>
              <w:pStyle w:val="Compact"/>
              <w:spacing w:after="40" w:before="40"/>
              <w:jc w:val="left"/>
            </w:pPr>
            <w:r>
              <w:t xml:space="preserve">Croatia</w:t>
            </w:r>
          </w:p>
        </w:tc>
        <w:tc>
          <w:tcPr>
            <w:tcW w:w="3600" w:type="dxa"/>
          </w:tcPr>
          <w:p>
            <w:pPr>
              <w:pStyle w:val="Compact"/>
              <w:spacing w:after="40" w:before="40"/>
              <w:jc w:val="left"/>
            </w:pPr>
            <w:r>
              <w:t xml:space="preserve">3.9</w:t>
            </w:r>
          </w:p>
        </w:tc>
      </w:tr>
      <w:tr>
        <w:tc>
          <w:tcPr>
            <w:tcW w:w="5400" w:type="dxa"/>
          </w:tcPr>
          <w:p>
            <w:pPr>
              <w:pStyle w:val="Compact"/>
              <w:spacing w:after="40" w:before="40"/>
              <w:jc w:val="left"/>
            </w:pPr>
            <w:r>
              <w:t xml:space="preserve">Cyprus</w:t>
            </w:r>
          </w:p>
        </w:tc>
        <w:tc>
          <w:tcPr>
            <w:tcW w:w="3600" w:type="dxa"/>
          </w:tcPr>
          <w:p>
            <w:pPr>
              <w:pStyle w:val="Compact"/>
              <w:spacing w:after="40" w:before="40"/>
              <w:jc w:val="left"/>
            </w:pPr>
            <w:r>
              <w:t xml:space="preserve">1.26</w:t>
            </w:r>
          </w:p>
        </w:tc>
      </w:tr>
      <w:tr>
        <w:tc>
          <w:tcPr>
            <w:tcW w:w="5400" w:type="dxa"/>
          </w:tcPr>
          <w:p>
            <w:pPr>
              <w:pStyle w:val="Compact"/>
              <w:spacing w:after="40" w:before="40"/>
              <w:jc w:val="left"/>
            </w:pPr>
            <w:r>
              <w:t xml:space="preserve">Czechia</w:t>
            </w:r>
          </w:p>
        </w:tc>
        <w:tc>
          <w:tcPr>
            <w:tcW w:w="3600" w:type="dxa"/>
          </w:tcPr>
          <w:p>
            <w:pPr>
              <w:pStyle w:val="Compact"/>
              <w:spacing w:after="40" w:before="40"/>
              <w:jc w:val="left"/>
            </w:pPr>
            <w:r>
              <w:t xml:space="preserve">10.9</w:t>
            </w:r>
          </w:p>
        </w:tc>
      </w:tr>
      <w:tr>
        <w:tc>
          <w:tcPr>
            <w:tcW w:w="5400" w:type="dxa"/>
          </w:tcPr>
          <w:p>
            <w:pPr>
              <w:pStyle w:val="Compact"/>
              <w:spacing w:after="40" w:before="40"/>
              <w:jc w:val="left"/>
            </w:pPr>
            <w:r>
              <w:t xml:space="preserve">Denmark</w:t>
            </w:r>
          </w:p>
        </w:tc>
        <w:tc>
          <w:tcPr>
            <w:tcW w:w="3600" w:type="dxa"/>
          </w:tcPr>
          <w:p>
            <w:pPr>
              <w:pStyle w:val="Compact"/>
              <w:spacing w:after="40" w:before="40"/>
              <w:jc w:val="left"/>
            </w:pPr>
            <w:r>
              <w:t xml:space="preserve">5.9</w:t>
            </w:r>
          </w:p>
        </w:tc>
      </w:tr>
      <w:tr>
        <w:tc>
          <w:tcPr>
            <w:tcW w:w="5400" w:type="dxa"/>
          </w:tcPr>
          <w:p>
            <w:pPr>
              <w:pStyle w:val="Compact"/>
              <w:spacing w:after="40" w:before="40"/>
              <w:jc w:val="left"/>
            </w:pPr>
            <w:r>
              <w:t xml:space="preserve">Egypt</w:t>
            </w:r>
          </w:p>
        </w:tc>
        <w:tc>
          <w:tcPr>
            <w:tcW w:w="3600" w:type="dxa"/>
          </w:tcPr>
          <w:p>
            <w:pPr>
              <w:pStyle w:val="Compact"/>
              <w:spacing w:after="40" w:before="40"/>
              <w:jc w:val="left"/>
            </w:pPr>
            <w:r>
              <w:t xml:space="preserve">112.0</w:t>
            </w:r>
          </w:p>
        </w:tc>
      </w:tr>
      <w:tr>
        <w:tc>
          <w:tcPr>
            <w:tcW w:w="5400" w:type="dxa"/>
          </w:tcPr>
          <w:p>
            <w:pPr>
              <w:pStyle w:val="Compact"/>
              <w:spacing w:after="40" w:before="40"/>
              <w:jc w:val="left"/>
            </w:pPr>
            <w:r>
              <w:t xml:space="preserve">Estonia</w:t>
            </w:r>
          </w:p>
        </w:tc>
        <w:tc>
          <w:tcPr>
            <w:tcW w:w="3600" w:type="dxa"/>
          </w:tcPr>
          <w:p>
            <w:pPr>
              <w:pStyle w:val="Compact"/>
              <w:spacing w:after="40" w:before="40"/>
              <w:jc w:val="left"/>
            </w:pPr>
            <w:r>
              <w:t xml:space="preserve">1.37</w:t>
            </w:r>
          </w:p>
        </w:tc>
      </w:tr>
      <w:tr>
        <w:tc>
          <w:tcPr>
            <w:tcW w:w="5400" w:type="dxa"/>
          </w:tcPr>
          <w:p>
            <w:pPr>
              <w:pStyle w:val="Compact"/>
              <w:spacing w:after="40" w:before="40"/>
              <w:jc w:val="left"/>
            </w:pPr>
            <w:r>
              <w:t xml:space="preserve">Finland</w:t>
            </w:r>
          </w:p>
        </w:tc>
        <w:tc>
          <w:tcPr>
            <w:tcW w:w="3600" w:type="dxa"/>
          </w:tcPr>
          <w:p>
            <w:pPr>
              <w:pStyle w:val="Compact"/>
              <w:spacing w:after="40" w:before="40"/>
              <w:jc w:val="left"/>
            </w:pPr>
            <w:r>
              <w:t xml:space="preserve">5.6</w:t>
            </w:r>
          </w:p>
        </w:tc>
      </w:tr>
      <w:tr>
        <w:tc>
          <w:tcPr>
            <w:tcW w:w="5400" w:type="dxa"/>
          </w:tcPr>
          <w:p>
            <w:pPr>
              <w:pStyle w:val="Compact"/>
              <w:spacing w:after="40" w:before="40"/>
              <w:jc w:val="left"/>
            </w:pPr>
            <w:r>
              <w:t xml:space="preserve">France</w:t>
            </w:r>
          </w:p>
        </w:tc>
        <w:tc>
          <w:tcPr>
            <w:tcW w:w="3600" w:type="dxa"/>
          </w:tcPr>
          <w:p>
            <w:pPr>
              <w:pStyle w:val="Compact"/>
              <w:spacing w:after="40" w:before="40"/>
              <w:jc w:val="left"/>
            </w:pPr>
            <w:r>
              <w:t xml:space="preserve">68.0</w:t>
            </w:r>
          </w:p>
        </w:tc>
      </w:tr>
      <w:tr>
        <w:tc>
          <w:tcPr>
            <w:tcW w:w="5400" w:type="dxa"/>
          </w:tcPr>
          <w:p>
            <w:pPr>
              <w:pStyle w:val="Compact"/>
              <w:spacing w:after="40" w:before="40"/>
              <w:jc w:val="left"/>
            </w:pPr>
            <w:r>
              <w:t xml:space="preserve">Georgia</w:t>
            </w:r>
          </w:p>
        </w:tc>
        <w:tc>
          <w:tcPr>
            <w:tcW w:w="3600" w:type="dxa"/>
          </w:tcPr>
          <w:p>
            <w:pPr>
              <w:pStyle w:val="Compact"/>
              <w:spacing w:after="40" w:before="40"/>
              <w:jc w:val="left"/>
            </w:pPr>
            <w:r>
              <w:t xml:space="preserve">3.69</w:t>
            </w:r>
          </w:p>
        </w:tc>
      </w:tr>
      <w:tr>
        <w:tc>
          <w:tcPr>
            <w:tcW w:w="5400" w:type="dxa"/>
          </w:tcPr>
          <w:p>
            <w:pPr>
              <w:pStyle w:val="Compact"/>
              <w:spacing w:after="40" w:before="40"/>
              <w:jc w:val="left"/>
            </w:pPr>
            <w:r>
              <w:t xml:space="preserve">Germany</w:t>
            </w:r>
          </w:p>
        </w:tc>
        <w:tc>
          <w:tcPr>
            <w:tcW w:w="3600" w:type="dxa"/>
          </w:tcPr>
          <w:p>
            <w:pPr>
              <w:pStyle w:val="Compact"/>
              <w:spacing w:after="40" w:before="40"/>
              <w:jc w:val="left"/>
            </w:pPr>
            <w:r>
              <w:t xml:space="preserve">84.0</w:t>
            </w:r>
          </w:p>
        </w:tc>
      </w:tr>
      <w:tr>
        <w:tc>
          <w:tcPr>
            <w:tcW w:w="5400" w:type="dxa"/>
          </w:tcPr>
          <w:p>
            <w:pPr>
              <w:pStyle w:val="Compact"/>
              <w:spacing w:after="40" w:before="40"/>
              <w:jc w:val="left"/>
            </w:pPr>
            <w:r>
              <w:t xml:space="preserve">Greece</w:t>
            </w:r>
          </w:p>
        </w:tc>
        <w:tc>
          <w:tcPr>
            <w:tcW w:w="3600" w:type="dxa"/>
          </w:tcPr>
          <w:p>
            <w:pPr>
              <w:pStyle w:val="Compact"/>
              <w:spacing w:after="40" w:before="40"/>
              <w:jc w:val="left"/>
            </w:pPr>
            <w:r>
              <w:t xml:space="preserve">10.4</w:t>
            </w:r>
          </w:p>
        </w:tc>
      </w:tr>
      <w:tr>
        <w:tc>
          <w:tcPr>
            <w:tcW w:w="5400" w:type="dxa"/>
          </w:tcPr>
          <w:p>
            <w:pPr>
              <w:pStyle w:val="Compact"/>
              <w:spacing w:after="40" w:before="40"/>
              <w:jc w:val="left"/>
            </w:pPr>
            <w:r>
              <w:t xml:space="preserve">Hungary</w:t>
            </w:r>
          </w:p>
        </w:tc>
        <w:tc>
          <w:tcPr>
            <w:tcW w:w="3600" w:type="dxa"/>
          </w:tcPr>
          <w:p>
            <w:pPr>
              <w:pStyle w:val="Compact"/>
              <w:spacing w:after="40" w:before="40"/>
              <w:jc w:val="left"/>
            </w:pPr>
            <w:r>
              <w:t xml:space="preserve">9.6</w:t>
            </w:r>
          </w:p>
        </w:tc>
      </w:tr>
      <w:tr>
        <w:tc>
          <w:tcPr>
            <w:tcW w:w="5400" w:type="dxa"/>
          </w:tcPr>
          <w:p>
            <w:pPr>
              <w:pStyle w:val="Compact"/>
              <w:spacing w:after="40" w:before="40"/>
              <w:jc w:val="left"/>
            </w:pPr>
            <w:r>
              <w:t xml:space="preserve">Iceland</w:t>
            </w:r>
          </w:p>
        </w:tc>
        <w:tc>
          <w:tcPr>
            <w:tcW w:w="3600" w:type="dxa"/>
          </w:tcPr>
          <w:p>
            <w:pPr>
              <w:pStyle w:val="Compact"/>
              <w:spacing w:after="40" w:before="40"/>
              <w:jc w:val="left"/>
            </w:pPr>
            <w:r>
              <w:t xml:space="preserve">0.39</w:t>
            </w:r>
          </w:p>
        </w:tc>
      </w:tr>
      <w:tr>
        <w:tc>
          <w:tcPr>
            <w:tcW w:w="5400" w:type="dxa"/>
          </w:tcPr>
          <w:p>
            <w:pPr>
              <w:pStyle w:val="Compact"/>
              <w:spacing w:after="40" w:before="40"/>
              <w:jc w:val="left"/>
            </w:pPr>
            <w:r>
              <w:t xml:space="preserve">India</w:t>
            </w:r>
          </w:p>
        </w:tc>
        <w:tc>
          <w:tcPr>
            <w:tcW w:w="3600" w:type="dxa"/>
          </w:tcPr>
          <w:p>
            <w:pPr>
              <w:pStyle w:val="Compact"/>
              <w:spacing w:after="40" w:before="40"/>
              <w:jc w:val="left"/>
            </w:pPr>
            <w:r>
              <w:t xml:space="preserve">1430.0</w:t>
            </w:r>
          </w:p>
        </w:tc>
      </w:tr>
      <w:tr>
        <w:tc>
          <w:tcPr>
            <w:tcW w:w="5400" w:type="dxa"/>
          </w:tcPr>
          <w:p>
            <w:pPr>
              <w:pStyle w:val="Compact"/>
              <w:spacing w:after="40" w:before="40"/>
              <w:jc w:val="left"/>
            </w:pPr>
            <w:r>
              <w:t xml:space="preserve">Indonesia</w:t>
            </w:r>
          </w:p>
        </w:tc>
        <w:tc>
          <w:tcPr>
            <w:tcW w:w="3600" w:type="dxa"/>
          </w:tcPr>
          <w:p>
            <w:pPr>
              <w:pStyle w:val="Compact"/>
              <w:spacing w:after="40" w:before="40"/>
              <w:jc w:val="left"/>
            </w:pPr>
            <w:r>
              <w:t xml:space="preserve">277.0</w:t>
            </w:r>
          </w:p>
        </w:tc>
      </w:tr>
      <w:tr>
        <w:tc>
          <w:tcPr>
            <w:tcW w:w="5400" w:type="dxa"/>
          </w:tcPr>
          <w:p>
            <w:pPr>
              <w:pStyle w:val="Compact"/>
              <w:spacing w:after="40" w:before="40"/>
              <w:jc w:val="left"/>
            </w:pPr>
            <w:r>
              <w:t xml:space="preserve">Ireland</w:t>
            </w:r>
          </w:p>
        </w:tc>
        <w:tc>
          <w:tcPr>
            <w:tcW w:w="3600" w:type="dxa"/>
          </w:tcPr>
          <w:p>
            <w:pPr>
              <w:pStyle w:val="Compact"/>
              <w:spacing w:after="40" w:before="40"/>
              <w:jc w:val="left"/>
            </w:pPr>
            <w:r>
              <w:t xml:space="preserve">5.3</w:t>
            </w:r>
          </w:p>
        </w:tc>
      </w:tr>
      <w:tr>
        <w:tc>
          <w:tcPr>
            <w:tcW w:w="5400" w:type="dxa"/>
          </w:tcPr>
          <w:p>
            <w:pPr>
              <w:pStyle w:val="Compact"/>
              <w:spacing w:after="40" w:before="40"/>
              <w:jc w:val="left"/>
            </w:pPr>
            <w:r>
              <w:t xml:space="preserve">Israel</w:t>
            </w:r>
          </w:p>
        </w:tc>
        <w:tc>
          <w:tcPr>
            <w:tcW w:w="3600" w:type="dxa"/>
          </w:tcPr>
          <w:p>
            <w:pPr>
              <w:pStyle w:val="Compact"/>
              <w:spacing w:after="40" w:before="40"/>
              <w:jc w:val="left"/>
            </w:pPr>
            <w:r>
              <w:t xml:space="preserve">9.8</w:t>
            </w:r>
          </w:p>
        </w:tc>
      </w:tr>
      <w:tr>
        <w:tc>
          <w:tcPr>
            <w:tcW w:w="5400" w:type="dxa"/>
          </w:tcPr>
          <w:p>
            <w:pPr>
              <w:pStyle w:val="Compact"/>
              <w:spacing w:after="40" w:before="40"/>
              <w:jc w:val="left"/>
            </w:pPr>
            <w:r>
              <w:t xml:space="preserve">Italy</w:t>
            </w:r>
          </w:p>
        </w:tc>
        <w:tc>
          <w:tcPr>
            <w:tcW w:w="3600" w:type="dxa"/>
          </w:tcPr>
          <w:p>
            <w:pPr>
              <w:pStyle w:val="Compact"/>
              <w:spacing w:after="40" w:before="40"/>
              <w:jc w:val="left"/>
            </w:pPr>
            <w:r>
              <w:t xml:space="preserve">58.9</w:t>
            </w:r>
          </w:p>
        </w:tc>
      </w:tr>
      <w:tr>
        <w:tc>
          <w:tcPr>
            <w:tcW w:w="5400" w:type="dxa"/>
          </w:tcPr>
          <w:p>
            <w:pPr>
              <w:pStyle w:val="Compact"/>
              <w:spacing w:after="40" w:before="40"/>
              <w:jc w:val="left"/>
            </w:pPr>
            <w:r>
              <w:t xml:space="preserve">Japan</w:t>
            </w:r>
          </w:p>
        </w:tc>
        <w:tc>
          <w:tcPr>
            <w:tcW w:w="3600" w:type="dxa"/>
          </w:tcPr>
          <w:p>
            <w:pPr>
              <w:pStyle w:val="Compact"/>
              <w:spacing w:after="40" w:before="40"/>
              <w:jc w:val="left"/>
            </w:pPr>
            <w:r>
              <w:t xml:space="preserve">124.0</w:t>
            </w:r>
          </w:p>
        </w:tc>
      </w:tr>
      <w:tr>
        <w:tc>
          <w:tcPr>
            <w:tcW w:w="5400" w:type="dxa"/>
          </w:tcPr>
          <w:p>
            <w:pPr>
              <w:pStyle w:val="Compact"/>
              <w:spacing w:after="40" w:before="40"/>
              <w:jc w:val="left"/>
            </w:pPr>
            <w:r>
              <w:t xml:space="preserve">Kazakhstan</w:t>
            </w:r>
          </w:p>
        </w:tc>
        <w:tc>
          <w:tcPr>
            <w:tcW w:w="3600" w:type="dxa"/>
          </w:tcPr>
          <w:p>
            <w:pPr>
              <w:pStyle w:val="Compact"/>
              <w:spacing w:after="40" w:before="40"/>
              <w:jc w:val="left"/>
            </w:pPr>
            <w:r>
              <w:t xml:space="preserve">19.6</w:t>
            </w:r>
          </w:p>
        </w:tc>
      </w:tr>
      <w:tr>
        <w:tc>
          <w:tcPr>
            <w:tcW w:w="5400" w:type="dxa"/>
          </w:tcPr>
          <w:p>
            <w:pPr>
              <w:pStyle w:val="Compact"/>
              <w:spacing w:after="40" w:before="40"/>
              <w:jc w:val="left"/>
            </w:pPr>
            <w:r>
              <w:t xml:space="preserve">Kosovo</w:t>
            </w:r>
          </w:p>
        </w:tc>
        <w:tc>
          <w:tcPr>
            <w:tcW w:w="3600" w:type="dxa"/>
          </w:tcPr>
          <w:p>
            <w:pPr>
              <w:pStyle w:val="Compact"/>
              <w:spacing w:after="40" w:before="40"/>
              <w:jc w:val="left"/>
            </w:pPr>
            <w:r>
              <w:t xml:space="preserve">1.8</w:t>
            </w:r>
          </w:p>
        </w:tc>
      </w:tr>
      <w:tr>
        <w:tc>
          <w:tcPr>
            <w:tcW w:w="5400" w:type="dxa"/>
          </w:tcPr>
          <w:p>
            <w:pPr>
              <w:pStyle w:val="Compact"/>
              <w:spacing w:after="40" w:before="40"/>
              <w:jc w:val="left"/>
            </w:pPr>
            <w:r>
              <w:t xml:space="preserve">Latvia</w:t>
            </w:r>
          </w:p>
        </w:tc>
        <w:tc>
          <w:tcPr>
            <w:tcW w:w="3600" w:type="dxa"/>
          </w:tcPr>
          <w:p>
            <w:pPr>
              <w:pStyle w:val="Compact"/>
              <w:spacing w:after="40" w:before="40"/>
              <w:jc w:val="left"/>
            </w:pPr>
            <w:r>
              <w:t xml:space="preserve">1.88</w:t>
            </w:r>
          </w:p>
        </w:tc>
      </w:tr>
      <w:tr>
        <w:tc>
          <w:tcPr>
            <w:tcW w:w="5400" w:type="dxa"/>
          </w:tcPr>
          <w:p>
            <w:pPr>
              <w:pStyle w:val="Compact"/>
              <w:spacing w:after="40" w:before="40"/>
              <w:jc w:val="left"/>
            </w:pPr>
            <w:r>
              <w:t xml:space="preserve">Lithuania</w:t>
            </w:r>
          </w:p>
        </w:tc>
        <w:tc>
          <w:tcPr>
            <w:tcW w:w="3600" w:type="dxa"/>
          </w:tcPr>
          <w:p>
            <w:pPr>
              <w:pStyle w:val="Compact"/>
              <w:spacing w:after="40" w:before="40"/>
              <w:jc w:val="left"/>
            </w:pPr>
            <w:r>
              <w:t xml:space="preserve">2.86</w:t>
            </w:r>
          </w:p>
        </w:tc>
      </w:tr>
      <w:tr>
        <w:tc>
          <w:tcPr>
            <w:tcW w:w="5400" w:type="dxa"/>
          </w:tcPr>
          <w:p>
            <w:pPr>
              <w:pStyle w:val="Compact"/>
              <w:spacing w:after="40" w:before="40"/>
              <w:jc w:val="left"/>
            </w:pPr>
            <w:r>
              <w:t xml:space="preserve">Luxembourg</w:t>
            </w:r>
          </w:p>
        </w:tc>
        <w:tc>
          <w:tcPr>
            <w:tcW w:w="3600" w:type="dxa"/>
          </w:tcPr>
          <w:p>
            <w:pPr>
              <w:pStyle w:val="Compact"/>
              <w:spacing w:after="40" w:before="40"/>
              <w:jc w:val="left"/>
            </w:pPr>
            <w:r>
              <w:t xml:space="preserve">0.66</w:t>
            </w:r>
          </w:p>
        </w:tc>
      </w:tr>
      <w:tr>
        <w:tc>
          <w:tcPr>
            <w:tcW w:w="5400" w:type="dxa"/>
          </w:tcPr>
          <w:p>
            <w:pPr>
              <w:pStyle w:val="Compact"/>
              <w:spacing w:after="40" w:before="40"/>
              <w:jc w:val="left"/>
            </w:pPr>
            <w:r>
              <w:t xml:space="preserve">Malta</w:t>
            </w:r>
          </w:p>
        </w:tc>
        <w:tc>
          <w:tcPr>
            <w:tcW w:w="3600" w:type="dxa"/>
          </w:tcPr>
          <w:p>
            <w:pPr>
              <w:pStyle w:val="Compact"/>
              <w:spacing w:after="40" w:before="40"/>
              <w:jc w:val="left"/>
            </w:pPr>
            <w:r>
              <w:t xml:space="preserve">0.54</w:t>
            </w:r>
          </w:p>
        </w:tc>
      </w:tr>
      <w:tr>
        <w:tc>
          <w:tcPr>
            <w:tcW w:w="5400" w:type="dxa"/>
          </w:tcPr>
          <w:p>
            <w:pPr>
              <w:pStyle w:val="Compact"/>
              <w:spacing w:after="40" w:before="40"/>
              <w:jc w:val="left"/>
            </w:pPr>
            <w:r>
              <w:t xml:space="preserve">Mexico</w:t>
            </w:r>
          </w:p>
        </w:tc>
        <w:tc>
          <w:tcPr>
            <w:tcW w:w="3600" w:type="dxa"/>
          </w:tcPr>
          <w:p>
            <w:pPr>
              <w:pStyle w:val="Compact"/>
              <w:spacing w:after="40" w:before="40"/>
              <w:jc w:val="left"/>
            </w:pPr>
            <w:r>
              <w:t xml:space="preserve">129.0</w:t>
            </w:r>
          </w:p>
        </w:tc>
      </w:tr>
      <w:tr>
        <w:tc>
          <w:tcPr>
            <w:tcW w:w="5400" w:type="dxa"/>
          </w:tcPr>
          <w:p>
            <w:pPr>
              <w:pStyle w:val="Compact"/>
              <w:spacing w:after="40" w:before="40"/>
              <w:jc w:val="left"/>
            </w:pPr>
            <w:r>
              <w:t xml:space="preserve">Moldova</w:t>
            </w:r>
          </w:p>
        </w:tc>
        <w:tc>
          <w:tcPr>
            <w:tcW w:w="3600" w:type="dxa"/>
          </w:tcPr>
          <w:p>
            <w:pPr>
              <w:pStyle w:val="Compact"/>
              <w:spacing w:after="40" w:before="40"/>
              <w:jc w:val="left"/>
            </w:pPr>
            <w:r>
              <w:t xml:space="preserve">2.51</w:t>
            </w:r>
          </w:p>
        </w:tc>
      </w:tr>
      <w:tr>
        <w:tc>
          <w:tcPr>
            <w:tcW w:w="5400" w:type="dxa"/>
          </w:tcPr>
          <w:p>
            <w:pPr>
              <w:pStyle w:val="Compact"/>
              <w:spacing w:after="40" w:before="40"/>
              <w:jc w:val="left"/>
            </w:pPr>
            <w:r>
              <w:t xml:space="preserve">Montenegro</w:t>
            </w:r>
          </w:p>
        </w:tc>
        <w:tc>
          <w:tcPr>
            <w:tcW w:w="3600" w:type="dxa"/>
          </w:tcPr>
          <w:p>
            <w:pPr>
              <w:pStyle w:val="Compact"/>
              <w:spacing w:after="40" w:before="40"/>
              <w:jc w:val="left"/>
            </w:pPr>
            <w:r>
              <w:t xml:space="preserve">0.62</w:t>
            </w:r>
          </w:p>
        </w:tc>
      </w:tr>
      <w:tr>
        <w:tc>
          <w:tcPr>
            <w:tcW w:w="5400" w:type="dxa"/>
          </w:tcPr>
          <w:p>
            <w:pPr>
              <w:pStyle w:val="Compact"/>
              <w:spacing w:after="40" w:before="40"/>
              <w:jc w:val="left"/>
            </w:pPr>
            <w:r>
              <w:t xml:space="preserve">Netherlands</w:t>
            </w:r>
          </w:p>
        </w:tc>
        <w:tc>
          <w:tcPr>
            <w:tcW w:w="3600" w:type="dxa"/>
          </w:tcPr>
          <w:p>
            <w:pPr>
              <w:pStyle w:val="Compact"/>
              <w:spacing w:after="40" w:before="40"/>
              <w:jc w:val="left"/>
            </w:pPr>
            <w:r>
              <w:t xml:space="preserve">17.9</w:t>
            </w:r>
          </w:p>
        </w:tc>
      </w:tr>
      <w:tr>
        <w:tc>
          <w:tcPr>
            <w:tcW w:w="5400" w:type="dxa"/>
          </w:tcPr>
          <w:p>
            <w:pPr>
              <w:pStyle w:val="Compact"/>
              <w:spacing w:after="40" w:before="40"/>
              <w:jc w:val="left"/>
            </w:pPr>
            <w:r>
              <w:t xml:space="preserve">Nigeria</w:t>
            </w:r>
          </w:p>
        </w:tc>
        <w:tc>
          <w:tcPr>
            <w:tcW w:w="3600" w:type="dxa"/>
          </w:tcPr>
          <w:p>
            <w:pPr>
              <w:pStyle w:val="Compact"/>
              <w:spacing w:after="40" w:before="40"/>
              <w:jc w:val="left"/>
            </w:pPr>
            <w:r>
              <w:t xml:space="preserve">223.0</w:t>
            </w:r>
          </w:p>
        </w:tc>
      </w:tr>
      <w:tr>
        <w:tc>
          <w:tcPr>
            <w:tcW w:w="5400" w:type="dxa"/>
          </w:tcPr>
          <w:p>
            <w:pPr>
              <w:pStyle w:val="Compact"/>
              <w:spacing w:after="40" w:before="40"/>
              <w:jc w:val="left"/>
            </w:pPr>
            <w:r>
              <w:t xml:space="preserve">North Macedonia</w:t>
            </w:r>
          </w:p>
        </w:tc>
        <w:tc>
          <w:tcPr>
            <w:tcW w:w="3600" w:type="dxa"/>
          </w:tcPr>
          <w:p>
            <w:pPr>
              <w:pStyle w:val="Compact"/>
              <w:spacing w:after="40" w:before="40"/>
              <w:jc w:val="left"/>
            </w:pPr>
            <w:r>
              <w:t xml:space="preserve">1.8</w:t>
            </w:r>
          </w:p>
        </w:tc>
      </w:tr>
      <w:tr>
        <w:tc>
          <w:tcPr>
            <w:tcW w:w="5400" w:type="dxa"/>
          </w:tcPr>
          <w:p>
            <w:pPr>
              <w:pStyle w:val="Compact"/>
              <w:spacing w:after="40" w:before="40"/>
              <w:jc w:val="left"/>
            </w:pPr>
            <w:r>
              <w:t xml:space="preserve">Norway</w:t>
            </w:r>
          </w:p>
        </w:tc>
        <w:tc>
          <w:tcPr>
            <w:tcW w:w="3600" w:type="dxa"/>
          </w:tcPr>
          <w:p>
            <w:pPr>
              <w:pStyle w:val="Compact"/>
              <w:spacing w:after="40" w:before="40"/>
              <w:jc w:val="left"/>
            </w:pPr>
            <w:r>
              <w:t xml:space="preserve">5.5</w:t>
            </w:r>
          </w:p>
        </w:tc>
      </w:tr>
      <w:tr>
        <w:tc>
          <w:tcPr>
            <w:tcW w:w="5400" w:type="dxa"/>
          </w:tcPr>
          <w:p>
            <w:pPr>
              <w:pStyle w:val="Compact"/>
              <w:spacing w:after="40" w:before="40"/>
              <w:jc w:val="left"/>
            </w:pPr>
            <w:r>
              <w:t xml:space="preserve">Philippines</w:t>
            </w:r>
          </w:p>
        </w:tc>
        <w:tc>
          <w:tcPr>
            <w:tcW w:w="3600" w:type="dxa"/>
          </w:tcPr>
          <w:p>
            <w:pPr>
              <w:pStyle w:val="Compact"/>
              <w:spacing w:after="40" w:before="40"/>
              <w:jc w:val="left"/>
            </w:pPr>
            <w:r>
              <w:t xml:space="preserve">117.0</w:t>
            </w:r>
          </w:p>
        </w:tc>
      </w:tr>
      <w:tr>
        <w:tc>
          <w:tcPr>
            <w:tcW w:w="5400" w:type="dxa"/>
          </w:tcPr>
          <w:p>
            <w:pPr>
              <w:pStyle w:val="Compact"/>
              <w:spacing w:after="40" w:before="40"/>
              <w:jc w:val="left"/>
            </w:pPr>
            <w:r>
              <w:t xml:space="preserve">Poland</w:t>
            </w:r>
          </w:p>
        </w:tc>
        <w:tc>
          <w:tcPr>
            <w:tcW w:w="3600" w:type="dxa"/>
          </w:tcPr>
          <w:p>
            <w:pPr>
              <w:pStyle w:val="Compact"/>
              <w:spacing w:after="40" w:before="40"/>
              <w:jc w:val="left"/>
            </w:pPr>
            <w:r>
              <w:t xml:space="preserve">36.7</w:t>
            </w:r>
          </w:p>
        </w:tc>
      </w:tr>
      <w:tr>
        <w:tc>
          <w:tcPr>
            <w:tcW w:w="5400" w:type="dxa"/>
          </w:tcPr>
          <w:p>
            <w:pPr>
              <w:pStyle w:val="Compact"/>
              <w:spacing w:after="40" w:before="40"/>
              <w:jc w:val="left"/>
            </w:pPr>
            <w:r>
              <w:t xml:space="preserve">Portugal</w:t>
            </w:r>
          </w:p>
        </w:tc>
        <w:tc>
          <w:tcPr>
            <w:tcW w:w="3600" w:type="dxa"/>
          </w:tcPr>
          <w:p>
            <w:pPr>
              <w:pStyle w:val="Compact"/>
              <w:spacing w:after="40" w:before="40"/>
              <w:jc w:val="left"/>
            </w:pPr>
            <w:r>
              <w:t xml:space="preserve">10.4</w:t>
            </w:r>
          </w:p>
        </w:tc>
      </w:tr>
      <w:tr>
        <w:tc>
          <w:tcPr>
            <w:tcW w:w="5400" w:type="dxa"/>
          </w:tcPr>
          <w:p>
            <w:pPr>
              <w:pStyle w:val="Compact"/>
              <w:spacing w:after="40" w:before="40"/>
              <w:jc w:val="left"/>
            </w:pPr>
            <w:r>
              <w:t xml:space="preserve">Romania</w:t>
            </w:r>
          </w:p>
        </w:tc>
        <w:tc>
          <w:tcPr>
            <w:tcW w:w="3600" w:type="dxa"/>
          </w:tcPr>
          <w:p>
            <w:pPr>
              <w:pStyle w:val="Compact"/>
              <w:spacing w:after="40" w:before="40"/>
              <w:jc w:val="left"/>
            </w:pPr>
            <w:r>
              <w:t xml:space="preserve">19.0</w:t>
            </w:r>
          </w:p>
        </w:tc>
      </w:tr>
      <w:tr>
        <w:tc>
          <w:tcPr>
            <w:tcW w:w="5400" w:type="dxa"/>
          </w:tcPr>
          <w:p>
            <w:pPr>
              <w:pStyle w:val="Compact"/>
              <w:spacing w:after="40" w:before="40"/>
              <w:jc w:val="left"/>
            </w:pPr>
            <w:r>
              <w:t xml:space="preserve">Russia</w:t>
            </w:r>
          </w:p>
        </w:tc>
        <w:tc>
          <w:tcPr>
            <w:tcW w:w="3600" w:type="dxa"/>
          </w:tcPr>
          <w:p>
            <w:pPr>
              <w:pStyle w:val="Compact"/>
              <w:spacing w:after="40" w:before="40"/>
              <w:jc w:val="left"/>
            </w:pPr>
            <w:r>
              <w:t xml:space="preserve">144.0</w:t>
            </w:r>
          </w:p>
        </w:tc>
      </w:tr>
      <w:tr>
        <w:tc>
          <w:tcPr>
            <w:tcW w:w="5400" w:type="dxa"/>
          </w:tcPr>
          <w:p>
            <w:pPr>
              <w:pStyle w:val="Compact"/>
              <w:spacing w:after="40" w:before="40"/>
              <w:jc w:val="left"/>
            </w:pPr>
            <w:r>
              <w:t xml:space="preserve">Serbia</w:t>
            </w:r>
          </w:p>
        </w:tc>
        <w:tc>
          <w:tcPr>
            <w:tcW w:w="3600" w:type="dxa"/>
          </w:tcPr>
          <w:p>
            <w:pPr>
              <w:pStyle w:val="Compact"/>
              <w:spacing w:after="40" w:before="40"/>
              <w:jc w:val="left"/>
            </w:pPr>
            <w:r>
              <w:t xml:space="preserve">6.6</w:t>
            </w:r>
          </w:p>
        </w:tc>
      </w:tr>
      <w:tr>
        <w:tc>
          <w:tcPr>
            <w:tcW w:w="5400" w:type="dxa"/>
          </w:tcPr>
          <w:p>
            <w:pPr>
              <w:pStyle w:val="Compact"/>
              <w:spacing w:after="40" w:before="40"/>
              <w:jc w:val="left"/>
            </w:pPr>
            <w:r>
              <w:t xml:space="preserve">Slovakia</w:t>
            </w:r>
          </w:p>
        </w:tc>
        <w:tc>
          <w:tcPr>
            <w:tcW w:w="3600" w:type="dxa"/>
          </w:tcPr>
          <w:p>
            <w:pPr>
              <w:pStyle w:val="Compact"/>
              <w:spacing w:after="40" w:before="40"/>
              <w:jc w:val="left"/>
            </w:pPr>
            <w:r>
              <w:t xml:space="preserve">5.4</w:t>
            </w:r>
          </w:p>
        </w:tc>
      </w:tr>
      <w:tr>
        <w:tc>
          <w:tcPr>
            <w:tcW w:w="5400" w:type="dxa"/>
          </w:tcPr>
          <w:p>
            <w:pPr>
              <w:pStyle w:val="Compact"/>
              <w:spacing w:after="40" w:before="40"/>
              <w:jc w:val="left"/>
            </w:pPr>
            <w:r>
              <w:t xml:space="preserve">Slovenia</w:t>
            </w:r>
          </w:p>
        </w:tc>
        <w:tc>
          <w:tcPr>
            <w:tcW w:w="3600" w:type="dxa"/>
          </w:tcPr>
          <w:p>
            <w:pPr>
              <w:pStyle w:val="Compact"/>
              <w:spacing w:after="40" w:before="40"/>
              <w:jc w:val="left"/>
            </w:pPr>
            <w:r>
              <w:t xml:space="preserve">2.1</w:t>
            </w:r>
          </w:p>
        </w:tc>
      </w:tr>
      <w:tr>
        <w:tc>
          <w:tcPr>
            <w:tcW w:w="5400" w:type="dxa"/>
          </w:tcPr>
          <w:p>
            <w:pPr>
              <w:pStyle w:val="Compact"/>
              <w:spacing w:after="40" w:before="40"/>
              <w:jc w:val="left"/>
            </w:pPr>
            <w:r>
              <w:t xml:space="preserve">Spain</w:t>
            </w:r>
          </w:p>
        </w:tc>
        <w:tc>
          <w:tcPr>
            <w:tcW w:w="3600" w:type="dxa"/>
          </w:tcPr>
          <w:p>
            <w:pPr>
              <w:pStyle w:val="Compact"/>
              <w:spacing w:after="40" w:before="40"/>
              <w:jc w:val="left"/>
            </w:pPr>
            <w:r>
              <w:t xml:space="preserve">48.4</w:t>
            </w:r>
          </w:p>
        </w:tc>
      </w:tr>
      <w:tr>
        <w:tc>
          <w:tcPr>
            <w:tcW w:w="5400" w:type="dxa"/>
          </w:tcPr>
          <w:p>
            <w:pPr>
              <w:pStyle w:val="Compact"/>
              <w:spacing w:after="40" w:before="40"/>
              <w:jc w:val="left"/>
            </w:pPr>
            <w:r>
              <w:t xml:space="preserve">Sudan</w:t>
            </w:r>
          </w:p>
        </w:tc>
        <w:tc>
          <w:tcPr>
            <w:tcW w:w="3600" w:type="dxa"/>
          </w:tcPr>
          <w:p>
            <w:pPr>
              <w:pStyle w:val="Compact"/>
              <w:spacing w:after="40" w:before="40"/>
              <w:jc w:val="left"/>
            </w:pPr>
            <w:r>
              <w:t xml:space="preserve">48.0</w:t>
            </w:r>
          </w:p>
        </w:tc>
      </w:tr>
      <w:tr>
        <w:tc>
          <w:tcPr>
            <w:tcW w:w="5400" w:type="dxa"/>
          </w:tcPr>
          <w:p>
            <w:pPr>
              <w:pStyle w:val="Compact"/>
              <w:spacing w:after="40" w:before="40"/>
              <w:jc w:val="left"/>
            </w:pPr>
            <w:r>
              <w:t xml:space="preserve">Sweden</w:t>
            </w:r>
          </w:p>
        </w:tc>
        <w:tc>
          <w:tcPr>
            <w:tcW w:w="3600" w:type="dxa"/>
          </w:tcPr>
          <w:p>
            <w:pPr>
              <w:pStyle w:val="Compact"/>
              <w:spacing w:after="40" w:before="40"/>
              <w:jc w:val="left"/>
            </w:pPr>
            <w:r>
              <w:t xml:space="preserve">10.5</w:t>
            </w:r>
          </w:p>
        </w:tc>
      </w:tr>
      <w:tr>
        <w:tc>
          <w:tcPr>
            <w:tcW w:w="5400" w:type="dxa"/>
          </w:tcPr>
          <w:p>
            <w:pPr>
              <w:pStyle w:val="Compact"/>
              <w:spacing w:after="40" w:before="40"/>
              <w:jc w:val="left"/>
            </w:pPr>
            <w:r>
              <w:t xml:space="preserve">Switzerland</w:t>
            </w:r>
          </w:p>
        </w:tc>
        <w:tc>
          <w:tcPr>
            <w:tcW w:w="3600" w:type="dxa"/>
          </w:tcPr>
          <w:p>
            <w:pPr>
              <w:pStyle w:val="Compact"/>
              <w:spacing w:after="40" w:before="40"/>
              <w:jc w:val="left"/>
            </w:pPr>
            <w:r>
              <w:t xml:space="preserve">8.8</w:t>
            </w:r>
          </w:p>
        </w:tc>
      </w:tr>
      <w:tr>
        <w:tc>
          <w:tcPr>
            <w:tcW w:w="5400" w:type="dxa"/>
          </w:tcPr>
          <w:p>
            <w:pPr>
              <w:pStyle w:val="Compact"/>
              <w:spacing w:after="40" w:before="40"/>
              <w:jc w:val="left"/>
            </w:pPr>
            <w:r>
              <w:t xml:space="preserve">Taiwan</w:t>
            </w:r>
          </w:p>
        </w:tc>
        <w:tc>
          <w:tcPr>
            <w:tcW w:w="3600" w:type="dxa"/>
          </w:tcPr>
          <w:p>
            <w:pPr>
              <w:pStyle w:val="Compact"/>
              <w:spacing w:after="40" w:before="40"/>
              <w:jc w:val="left"/>
            </w:pPr>
            <w:r>
              <w:t xml:space="preserve">23.4</w:t>
            </w:r>
          </w:p>
        </w:tc>
      </w:tr>
      <w:tr>
        <w:tc>
          <w:tcPr>
            <w:tcW w:w="5400" w:type="dxa"/>
          </w:tcPr>
          <w:p>
            <w:pPr>
              <w:pStyle w:val="Compact"/>
              <w:spacing w:after="40" w:before="40"/>
              <w:jc w:val="left"/>
            </w:pPr>
            <w:r>
              <w:t xml:space="preserve">Türkiye</w:t>
            </w:r>
          </w:p>
        </w:tc>
        <w:tc>
          <w:tcPr>
            <w:tcW w:w="3600" w:type="dxa"/>
          </w:tcPr>
          <w:p>
            <w:pPr>
              <w:pStyle w:val="Compact"/>
              <w:spacing w:after="40" w:before="40"/>
              <w:jc w:val="left"/>
            </w:pPr>
            <w:r>
              <w:t xml:space="preserve">85.3</w:t>
            </w:r>
          </w:p>
        </w:tc>
      </w:tr>
      <w:tr>
        <w:tc>
          <w:tcPr>
            <w:tcW w:w="5400" w:type="dxa"/>
          </w:tcPr>
          <w:p>
            <w:pPr>
              <w:pStyle w:val="Compact"/>
              <w:spacing w:after="40" w:before="40"/>
              <w:jc w:val="left"/>
            </w:pPr>
            <w:r>
              <w:t xml:space="preserve">Ukraine</w:t>
            </w:r>
          </w:p>
        </w:tc>
        <w:tc>
          <w:tcPr>
            <w:tcW w:w="3600" w:type="dxa"/>
          </w:tcPr>
          <w:p>
            <w:pPr>
              <w:pStyle w:val="Compact"/>
              <w:spacing w:after="40" w:before="40"/>
              <w:jc w:val="left"/>
            </w:pPr>
            <w:r>
              <w:t xml:space="preserve">37.0</w:t>
            </w:r>
          </w:p>
        </w:tc>
      </w:tr>
      <w:tr>
        <w:tc>
          <w:tcPr>
            <w:tcW w:w="5400" w:type="dxa"/>
          </w:tcPr>
          <w:p>
            <w:pPr>
              <w:pStyle w:val="Compact"/>
              <w:spacing w:after="40" w:before="40"/>
              <w:jc w:val="left"/>
            </w:pPr>
            <w:r>
              <w:t xml:space="preserve">United Kingdom</w:t>
            </w:r>
          </w:p>
        </w:tc>
        <w:tc>
          <w:tcPr>
            <w:tcW w:w="3600" w:type="dxa"/>
          </w:tcPr>
          <w:p>
            <w:pPr>
              <w:pStyle w:val="Compact"/>
              <w:spacing w:after="40" w:before="40"/>
              <w:jc w:val="left"/>
            </w:pPr>
            <w:r>
              <w:t xml:space="preserve">68.3</w:t>
            </w:r>
          </w:p>
        </w:tc>
      </w:tr>
      <w:tr>
        <w:tc>
          <w:tcPr>
            <w:tcW w:w="5400" w:type="dxa"/>
          </w:tcPr>
          <w:p>
            <w:pPr>
              <w:pStyle w:val="Compact"/>
              <w:spacing w:after="40" w:before="40"/>
              <w:jc w:val="left"/>
            </w:pPr>
            <w:r>
              <w:t xml:space="preserve">United States</w:t>
            </w:r>
          </w:p>
        </w:tc>
        <w:tc>
          <w:tcPr>
            <w:tcW w:w="3600" w:type="dxa"/>
          </w:tcPr>
          <w:p>
            <w:pPr>
              <w:pStyle w:val="Compact"/>
              <w:spacing w:after="40" w:before="40"/>
              <w:jc w:val="left"/>
            </w:pPr>
            <w:r>
              <w:t xml:space="preserve">335.0</w:t>
            </w:r>
          </w:p>
        </w:tc>
      </w:tr>
      <w:tr>
        <w:tc>
          <w:tcPr>
            <w:tcW w:w="5400" w:type="dxa"/>
          </w:tcPr>
          <w:p>
            <w:pPr>
              <w:pStyle w:val="Compact"/>
              <w:spacing w:after="40" w:before="40"/>
              <w:jc w:val="left"/>
            </w:pPr>
            <w:r>
              <w:t xml:space="preserve">Venezuela</w:t>
            </w:r>
          </w:p>
        </w:tc>
        <w:tc>
          <w:tcPr>
            <w:tcW w:w="3600" w:type="dxa"/>
          </w:tcPr>
          <w:p>
            <w:pPr>
              <w:pStyle w:val="Compact"/>
              <w:spacing w:after="40" w:before="40"/>
              <w:jc w:val="left"/>
            </w:pPr>
            <w:r>
              <w:t xml:space="preserve">28.8</w:t>
            </w:r>
          </w:p>
        </w:tc>
      </w:tr>
    </w:tbl>
    <w:bookmarkEnd w:id="41"/>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hAnsi="Times New Roman"/>
      <w:sz w:val="22"/>
      <w:szCs w:val="22"/>
      <w:color w:val="000000"/>
    </w:rPr>
  </w:style>
  <w:style w:styleId="BodyText" w:type="paragraph">
    <w:name w:val="Body Text"/>
    <w:basedOn w:val="Normal"/>
    <w:link w:val="BodyTextChar"/>
    <w:qFormat/>
    <w:pPr>
      <w:spacing w:after="120" w:before="0" w:line="240" w:lineRule="auto"/>
      <w:ind w:firstLine="567"/>
      <w:jc w:val="both"/>
    </w:pPr>
    <w:rPr>
      <w:rFonts w:ascii="Times New Roman" w:cs="Times New Roman" w:hAnsi="Times New Roman"/>
      <w:sz w:val="22"/>
      <w:szCs w:val="22"/>
      <w:color w:val="000000"/>
    </w:rPr>
  </w:style>
  <w:style w:customStyle="1" w:styleId="FirstParagraph" w:type="paragraph">
    <w:name w:val="First Paragraph"/>
    <w:basedOn w:val="BodyText"/>
    <w:next w:val="BodyText"/>
    <w:qFormat/>
    <w:pPr>
      <w:spacing w:after="120" w:before="0" w:line="240" w:lineRule="auto"/>
      <w:ind w:firstLine="567"/>
      <w:jc w:val="both"/>
    </w:pPr>
    <w:rPr>
      <w:rFonts w:ascii="Times New Roman" w:cs="Times New Roman" w:hAnsi="Times New Roman"/>
      <w:sz w:val="22"/>
      <w:szCs w:val="22"/>
      <w:color w:val="000000"/>
    </w:rPr>
  </w:style>
  <w:style w:customStyle="1" w:styleId="Compact" w:type="paragraph">
    <w:name w:val="Compact"/>
    <w:basedOn w:val="BodyText"/>
    <w:qFormat/>
    <w:pPr>
      <w:spacing w:after="20" w:before="20" w:line="240" w:lineRule="auto"/>
      <w:ind w:firstLine="0"/>
      <w:jc w:val="left"/>
    </w:pPr>
    <w:rPr>
      <w:rFonts w:ascii="Times New Roman" w:cs="Times New Roman" w:hAnsi="Times New Roman"/>
      <w:sz w:val="20"/>
      <w:szCs w:val="20"/>
      <w:color w:val="000000"/>
    </w:rPr>
  </w:style>
  <w:style w:styleId="Title" w:type="paragraph">
    <w:name w:val="Title"/>
    <w:basedOn w:val="Normal"/>
    <w:next w:val="BodyText"/>
    <w:qFormat/>
    <w:pPr>
      <w:keepNext/>
      <w:keepLines/>
      <w:jc w:val="center"/>
    </w:pPr>
    <w:rPr>
      <w:rFonts w:ascii="Times New Roman" w:cs="Times New Roman" w:hAnsi="Times New Roman"/>
      <w:b/>
      <w:bCs/>
      <w:sz w:val="22"/>
      <w:szCs w:val="22"/>
      <w:color w:val="000000"/>
    </w:rPr>
  </w:style>
  <w:style w:styleId="Subtitle" w:type="paragraph">
    <w:name w:val="Subtitle"/>
    <w:basedOn w:val="Title"/>
    <w:next w:val="BodyText"/>
    <w:qFormat/>
    <w:pPr>
      <w:keepNext/>
      <w:keepLines/>
      <w:jc w:val="center"/>
    </w:pPr>
    <w:rPr>
      <w:rFonts w:ascii="Times New Roman" w:cs="Times New Roman" w:hAnsi="Times New Roman"/>
      <w:sz w:val="22"/>
      <w:szCs w:val="22"/>
      <w:color w:val="000000"/>
    </w:rPr>
  </w:style>
  <w:style w:customStyle="1" w:styleId="Author" w:type="paragraph">
    <w:name w:val="Author"/>
    <w:next w:val="BodyText"/>
    <w:qFormat/>
    <w:pPr>
      <w:keepNext/>
      <w:keepLines/>
      <w:jc w:val="center"/>
    </w:pPr>
    <w:rPr>
      <w:rFonts w:ascii="Times New Roman" w:cs="Times New Roman" w:hAnsi="Times New Roman"/>
      <w:sz w:val="22"/>
      <w:szCs w:val="22"/>
      <w:color w:val="000000"/>
    </w:rPr>
  </w:style>
  <w:style w:styleId="Date" w:type="paragraph">
    <w:name w:val="Date"/>
    <w:next w:val="BodyText"/>
    <w:qFormat/>
    <w:pPr>
      <w:keepNext/>
      <w:keepLines/>
      <w:jc w:val="center"/>
    </w:pPr>
    <w:rPr>
      <w:rFonts w:ascii="Times New Roman" w:cs="Times New Roman" w:hAnsi="Times New Roman"/>
      <w:sz w:val="22"/>
      <w:szCs w:val="22"/>
      <w:color w:val="000000"/>
    </w:rPr>
  </w:style>
  <w:style w:customStyle="1" w:styleId="AbstractTitle" w:type="paragraph">
    <w:name w:val="Abstract Title"/>
    <w:basedOn w:val="Normal"/>
    <w:next w:val="Abstract"/>
    <w:qFormat/>
    <w:pPr>
      <w:keepNext/>
      <w:keepLines/>
      <w:jc w:val="center"/>
    </w:pPr>
    <w:rPr>
      <w:rFonts w:ascii="Times New Roman" w:cs="Times New Roman" w:hAnsi="Times New Roman"/>
      <w:b/>
      <w:sz w:val="22"/>
      <w:szCs w:val="22"/>
      <w:color w:val="000000"/>
    </w:rPr>
  </w:style>
  <w:style w:customStyle="1" w:styleId="Abstract" w:type="paragraph">
    <w:name w:val="Abstract"/>
    <w:basedOn w:val="Normal"/>
    <w:next w:val="BodyText"/>
    <w:qFormat/>
    <w:pPr>
      <w:keepNext/>
      <w:keepLines/>
    </w:pPr>
    <w:rPr>
      <w:rFonts w:ascii="Times New Roman" w:cs="Times New Roman" w:hAnsi="Times New Roman"/>
      <w:sz w:val="22"/>
      <w:szCs w:val="22"/>
      <w:color w:val="000000"/>
    </w:rPr>
  </w:style>
  <w:style w:styleId="Bibliography" w:type="paragraph">
    <w:name w:val="Bibliography"/>
    <w:basedOn w:val="Normal"/>
    <w:next w:val="Bibliography"/>
    <w:qFormat/>
    <w:pPr/>
    <w:rPr>
      <w:rFonts w:ascii="Times New Roman" w:cs="Times New Roman" w:hAnsi="Times New Roman"/>
      <w:sz w:val="22"/>
      <w:szCs w:val="22"/>
      <w:color w:val="000000"/>
    </w:rPr>
  </w:style>
  <w:style w:styleId="Heading1" w:type="paragraph">
    <w:name w:val="Heading 1"/>
    <w:basedOn w:val="Normal"/>
    <w:next w:val="BodyText"/>
    <w:uiPriority w:val="9"/>
    <w:qFormat/>
    <w:pPr>
      <w:keepNext/>
      <w:keepLines/>
      <w:outlineLvl w:val="0"/>
      <w:spacing w:after="120" w:before="360" w:line="240" w:lineRule="auto"/>
      <w:ind w:firstLine="0"/>
      <w:jc w:val="left"/>
    </w:pPr>
    <w:rPr>
      <w:rFonts w:ascii="Times New Roman" w:cs="Times New Roman" w:hAnsi="Times New Roman"/>
      <w:b/>
      <w:bCs/>
      <w:sz w:val="26"/>
      <w:szCs w:val="26"/>
      <w:color w:val="000000"/>
    </w:rPr>
  </w:style>
  <w:style w:styleId="Heading2" w:type="paragraph">
    <w:name w:val="Heading 2"/>
    <w:basedOn w:val="Normal"/>
    <w:next w:val="BodyText"/>
    <w:uiPriority w:val="9"/>
    <w:unhideWhenUsed/>
    <w:qFormat/>
    <w:pPr>
      <w:keepNext/>
      <w:keepLines/>
      <w:outlineLvl w:val="1"/>
      <w:spacing w:after="120" w:before="240" w:line="240" w:lineRule="auto"/>
      <w:ind w:firstLine="0"/>
      <w:jc w:val="left"/>
    </w:pPr>
    <w:rPr>
      <w:rFonts w:ascii="Times New Roman" w:cs="Times New Roman" w:hAnsi="Times New Roman"/>
      <w:b/>
      <w:bCs/>
      <w:sz w:val="24"/>
      <w:szCs w:val="24"/>
      <w:color w:val="000000"/>
    </w:rPr>
  </w:style>
  <w:style w:styleId="Heading3" w:type="paragraph">
    <w:name w:val="Heading 3"/>
    <w:basedOn w:val="Normal"/>
    <w:next w:val="BodyText"/>
    <w:uiPriority w:val="9"/>
    <w:unhideWhenUsed/>
    <w:qFormat/>
    <w:pPr>
      <w:keepNext/>
      <w:keepLines/>
      <w:outlineLvl w:val="2"/>
      <w:spacing w:after="120" w:before="240" w:line="240" w:lineRule="auto"/>
    </w:pPr>
    <w:rPr>
      <w:rFonts w:ascii="Times New Roman" w:cs="Times New Roman" w:hAnsi="Times New Roman"/>
      <w:bCs/>
      <w:sz w:val="22"/>
      <w:szCs w:val="22"/>
      <w:color w:val="000000"/>
      <w:b/>
    </w:rPr>
  </w:style>
  <w:style w:styleId="Heading4" w:type="paragraph">
    <w:name w:val="Heading 4"/>
    <w:basedOn w:val="Normal"/>
    <w:next w:val="BodyText"/>
    <w:uiPriority w:val="9"/>
    <w:unhideWhenUsed/>
    <w:qFormat/>
    <w:pPr>
      <w:keepNext/>
      <w:keepLines/>
      <w:outlineLvl w:val="3"/>
      <w:spacing w:after="120" w:before="240" w:line="240" w:lineRule="auto"/>
    </w:pPr>
    <w:rPr>
      <w:rFonts w:ascii="Times New Roman" w:cs="Times New Roman" w:hAnsi="Times New Roman"/>
      <w:bCs/>
      <w:sz w:val="22"/>
      <w:szCs w:val="22"/>
      <w:color w:val="000000"/>
      <w:b/>
    </w:rPr>
  </w:style>
  <w:style w:styleId="Heading5" w:type="paragraph">
    <w:name w:val="Heading 5"/>
    <w:basedOn w:val="Normal"/>
    <w:next w:val="BodyText"/>
    <w:uiPriority w:val="9"/>
    <w:unhideWhenUsed/>
    <w:qFormat/>
    <w:pPr>
      <w:keepNext/>
      <w:keepLines/>
      <w:outlineLvl w:val="4"/>
      <w:spacing w:after="120" w:before="240" w:line="240" w:lineRule="auto"/>
    </w:pPr>
    <w:rPr>
      <w:rFonts w:ascii="Times New Roman" w:cs="Times New Roman" w:hAnsi="Times New Roman"/>
      <w:sz w:val="22"/>
      <w:szCs w:val="22"/>
      <w:color w:val="000000"/>
      <w:b/>
    </w:rPr>
  </w:style>
  <w:style w:styleId="Heading6" w:type="paragraph">
    <w:name w:val="Heading 6"/>
    <w:basedOn w:val="Normal"/>
    <w:next w:val="BodyText"/>
    <w:uiPriority w:val="9"/>
    <w:unhideWhenUsed/>
    <w:qFormat/>
    <w:pPr>
      <w:keepNext/>
      <w:keepLines/>
      <w:outlineLvl w:val="5"/>
      <w:spacing w:after="120" w:before="240" w:line="240" w:lineRule="auto"/>
    </w:pPr>
    <w:rPr>
      <w:rFonts w:ascii="Times New Roman" w:cs="Times New Roman" w:hAnsi="Times New Roman"/>
      <w:sz w:val="22"/>
      <w:szCs w:val="22"/>
      <w:color w:val="000000"/>
      <w:b/>
    </w:rPr>
  </w:style>
  <w:style w:styleId="Heading7" w:type="paragraph">
    <w:name w:val="Heading 7"/>
    <w:basedOn w:val="Normal"/>
    <w:next w:val="BodyText"/>
    <w:uiPriority w:val="9"/>
    <w:unhideWhenUsed/>
    <w:qFormat/>
    <w:pPr>
      <w:keepNext/>
      <w:keepLines/>
      <w:outlineLvl w:val="6"/>
      <w:spacing w:after="120" w:before="240" w:line="240" w:lineRule="auto"/>
    </w:pPr>
    <w:rPr>
      <w:rFonts w:ascii="Times New Roman" w:cs="Times New Roman" w:hAnsi="Times New Roman"/>
      <w:sz w:val="22"/>
      <w:szCs w:val="22"/>
      <w:color w:val="000000"/>
      <w:b/>
    </w:rPr>
  </w:style>
  <w:style w:styleId="Heading8" w:type="paragraph">
    <w:name w:val="Heading 8"/>
    <w:basedOn w:val="Normal"/>
    <w:next w:val="BodyText"/>
    <w:uiPriority w:val="9"/>
    <w:unhideWhenUsed/>
    <w:qFormat/>
    <w:pPr>
      <w:keepNext/>
      <w:keepLines/>
      <w:outlineLvl w:val="7"/>
      <w:spacing w:after="120" w:before="240" w:line="240" w:lineRule="auto"/>
    </w:pPr>
    <w:rPr>
      <w:rFonts w:ascii="Times New Roman" w:cs="Times New Roman" w:hAnsi="Times New Roman"/>
      <w:sz w:val="22"/>
      <w:szCs w:val="22"/>
      <w:color w:val="000000"/>
      <w:b/>
    </w:rPr>
  </w:style>
  <w:style w:styleId="Heading9" w:type="paragraph">
    <w:name w:val="Heading 9"/>
    <w:basedOn w:val="Normal"/>
    <w:next w:val="BodyText"/>
    <w:uiPriority w:val="9"/>
    <w:unhideWhenUsed/>
    <w:qFormat/>
    <w:pPr>
      <w:keepNext/>
      <w:keepLines/>
      <w:outlineLvl w:val="8"/>
      <w:spacing w:after="120" w:before="240" w:line="240" w:lineRule="auto"/>
    </w:pPr>
    <w:rPr>
      <w:rFonts w:ascii="Times New Roman" w:cs="Times New Roman" w:hAnsi="Times New Roman"/>
      <w:sz w:val="22"/>
      <w:szCs w:val="22"/>
      <w:color w:val="000000"/>
      <w:b/>
    </w:rPr>
  </w:style>
  <w:style w:styleId="BlockText" w:type="paragraph">
    <w:name w:val="Block Text"/>
    <w:basedOn w:val="BodyText"/>
    <w:next w:val="BodyText"/>
    <w:uiPriority w:val="9"/>
    <w:unhideWhenUsed/>
    <w:qFormat/>
    <w:pPr>
      <w:ind w:firstLine="0" w:left="480" w:right="480"/>
    </w:pPr>
    <w:rPr>
      <w:rFonts w:ascii="Times New Roman" w:cs="Times New Roman" w:hAnsi="Times New Roman"/>
      <w:sz w:val="22"/>
      <w:szCs w:val="22"/>
      <w:color w:val="000000"/>
    </w:rPr>
  </w:style>
  <w:style w:styleId="FootnoteText" w:type="paragraph">
    <w:name w:val="Footnote Text"/>
    <w:basedOn w:val="Normal"/>
    <w:next w:val="FootnoteText"/>
    <w:uiPriority w:val="9"/>
    <w:unhideWhenUsed/>
    <w:qFormat/>
    <w:rPr>
      <w:rFonts w:ascii="Times New Roman" w:cs="Times New Roman" w:hAnsi="Times New Roman"/>
      <w:sz w:val="22"/>
      <w:szCs w:val="22"/>
      <w:color w:val="000000"/>
    </w:rPr>
  </w:style>
  <w:style w:default="1" w:styleId="DefaultParagraphFont" w:type="character">
    <w:name w:val="Default Paragraph Font"/>
    <w:semiHidden/>
    <w:unhideWhenUsed/>
    <w:rPr>
      <w:rFonts w:ascii="Times New Roman" w:cs="Times New Roman" w:hAnsi="Times New Roman"/>
      <w:sz w:val="22"/>
      <w:szCs w:val="22"/>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cs="Times New Roman" w:hAnsi="Times New Roman"/>
      <w:sz w:val="22"/>
      <w:szCs w:val="22"/>
      <w:color w:val="000000"/>
    </w:rPr>
  </w:style>
  <w:style w:customStyle="1" w:styleId="DefinitionTerm" w:type="paragraph">
    <w:name w:val="Definition Term"/>
    <w:basedOn w:val="Normal"/>
    <w:next w:val="Definition"/>
    <w:pPr>
      <w:keepNext/>
      <w:keepLines/>
    </w:pPr>
    <w:rPr>
      <w:rFonts w:ascii="Times New Roman" w:cs="Times New Roman" w:hAnsi="Times New Roman"/>
      <w:b/>
      <w:sz w:val="22"/>
      <w:szCs w:val="22"/>
      <w:color w:val="000000"/>
    </w:rPr>
  </w:style>
  <w:style w:customStyle="1" w:styleId="Definition" w:type="paragraph">
    <w:name w:val="Definition"/>
    <w:basedOn w:val="Normal"/>
    <w:rPr>
      <w:rFonts w:ascii="Times New Roman" w:cs="Times New Roman" w:hAnsi="Times New Roman"/>
      <w:sz w:val="22"/>
      <w:szCs w:val="22"/>
      <w:color w:val="000000"/>
    </w:rPr>
  </w:style>
  <w:style w:styleId="Caption" w:type="paragraph">
    <w:name w:val="Caption"/>
    <w:basedOn w:val="Normal"/>
    <w:link w:val="BodyTextChar"/>
    <w:pPr>
      <w:keepNext/>
      <w:spacing w:after="120" w:before="120" w:line="240" w:lineRule="auto"/>
      <w:ind w:firstLine="0"/>
      <w:jc w:val="center"/>
    </w:pPr>
    <w:rPr>
      <w:rFonts w:ascii="Times New Roman" w:cs="Times New Roman" w:hAnsi="Times New Roman"/>
      <w:i/>
      <w:iCs/>
      <w:sz w:val="20"/>
      <w:szCs w:val="20"/>
      <w:color w:val="000000"/>
    </w:rPr>
  </w:style>
  <w:style w:customStyle="1" w:styleId="TableCaption" w:type="paragraph">
    <w:name w:val="Table Caption"/>
    <w:basedOn w:val="Caption"/>
    <w:pPr>
      <w:keepNext/>
    </w:pPr>
    <w:rPr>
      <w:rFonts w:ascii="Times New Roman" w:cs="Times New Roman" w:hAnsi="Times New Roman"/>
      <w:sz w:val="22"/>
      <w:szCs w:val="22"/>
      <w:color w:val="000000"/>
    </w:rPr>
  </w:style>
  <w:style w:customStyle="1" w:styleId="ImageCaption" w:type="paragraph">
    <w:name w:val="Image Caption"/>
    <w:basedOn w:val="Caption"/>
    <w:rPr>
      <w:rFonts w:ascii="Times New Roman" w:cs="Times New Roman" w:hAnsi="Times New Roman"/>
      <w:sz w:val="22"/>
      <w:szCs w:val="22"/>
      <w:color w:val="000000"/>
    </w:rPr>
  </w:style>
  <w:style w:customStyle="1" w:styleId="Figure" w:type="paragraph">
    <w:name w:val="Figure"/>
    <w:basedOn w:val="Normal"/>
    <w:rPr>
      <w:rFonts w:ascii="Times New Roman" w:cs="Times New Roman" w:hAnsi="Times New Roman"/>
      <w:sz w:val="22"/>
      <w:szCs w:val="22"/>
      <w:color w:val="000000"/>
    </w:rPr>
  </w:style>
  <w:style w:customStyle="1" w:styleId="CaptionedFigure" w:type="paragraph">
    <w:name w:val="Captioned Figure"/>
    <w:basedOn w:val="Figure"/>
    <w:pPr>
      <w:keepNext/>
    </w:pPr>
    <w:rPr>
      <w:rFonts w:ascii="Times New Roman" w:cs="Times New Roman" w:hAnsi="Times New Roman"/>
      <w:sz w:val="22"/>
      <w:szCs w:val="22"/>
      <w:color w:val="000000"/>
    </w:rPr>
  </w:style>
  <w:style w:customStyle="1" w:styleId="BodyTextChar" w:type="character">
    <w:name w:val="Body Text Char"/>
    <w:basedOn w:val="DefaultParagraphFont"/>
    <w:link w:val="BodyText"/>
    <w:rPr>
      <w:rFonts w:ascii="Times New Roman" w:cs="Times New Roman" w:hAnsi="Times New Roman"/>
      <w:sz w:val="22"/>
      <w:szCs w:val="22"/>
      <w:color w:val="000000"/>
    </w:rPr>
  </w:style>
  <w:style w:customStyle="1" w:styleId="VerbatimChar" w:type="character">
    <w:name w:val="Verbatim Char"/>
    <w:basedOn w:val="BodyTextChar"/>
    <w:rPr>
      <w:rFonts w:ascii="Courier New" w:cs="Courier New" w:hAnsi="Courier New"/>
      <w:sz w:val="20"/>
      <w:szCs w:val="20"/>
      <w:color w:val="000000"/>
    </w:rPr>
  </w:style>
  <w:style w:customStyle="1" w:styleId="SectionNumber" w:type="character">
    <w:name w:val="Section Number"/>
    <w:basedOn w:val="BodyTextChar"/>
    <w:rPr>
      <w:rFonts w:ascii="Times New Roman" w:cs="Times New Roman" w:hAnsi="Times New Roman"/>
      <w:sz w:val="22"/>
      <w:szCs w:val="22"/>
      <w:color w:val="000000"/>
    </w:rPr>
  </w:style>
  <w:style w:styleId="FootnoteReference" w:type="character">
    <w:name w:val="Footnote Reference"/>
    <w:basedOn w:val="BodyTextChar"/>
    <w:rPr>
      <w:rFonts w:ascii="Times New Roman" w:cs="Times New Roman" w:hAnsi="Times New Roman"/>
      <w:vertAlign w:val="superscript"/>
      <w:sz w:val="22"/>
      <w:szCs w:val="22"/>
      <w:color w:val="000000"/>
    </w:rPr>
  </w:style>
  <w:style w:styleId="Hyperlink" w:type="character">
    <w:name w:val="Hyperlink"/>
    <w:basedOn w:val="BodyTextChar"/>
    <w:rPr>
      <w:rFonts w:ascii="Times New Roman" w:cs="Times New Roman" w:hAnsi="Times New Roman"/>
      <w:sz w:val="22"/>
      <w:szCs w:val="22"/>
      <w:color w:val="000000"/>
      <w:u w:val="none"/>
    </w:rPr>
  </w:style>
  <w:style w:styleId="TOCHeading" w:type="paragraph">
    <w:name w:val="TOC Heading"/>
    <w:basedOn w:val="Heading1"/>
    <w:next w:val="BodyText"/>
    <w:uiPriority w:val="39"/>
    <w:unhideWhenUsed/>
    <w:qFormat/>
    <w:pPr>
      <w:outlineLvl w:val="9"/>
    </w:pPr>
    <w:rPr>
      <w:rFonts w:ascii="Times New Roman" w:cs="Times New Roman" w:hAnsi="Times New Roman"/>
      <w:b w:val="0"/>
      <w:bCs w:val="0"/>
      <w:sz w:val="22"/>
      <w:szCs w:val="22"/>
      <w:color w:val="000000"/>
    </w:rPr>
  </w:style>
  <w:style w:customStyle="1" w:styleId="SourceCode" w:type="paragraph">
    <w:name w:val="Source Code"/>
    <w:basedOn w:val="Normal"/>
    <w:link w:val="VerbatimChar"/>
    <w:pPr>
      <w:spacing w:after="120" w:before="0" w:line="240" w:lineRule="auto"/>
      <w:ind w:left="567" w:firstLine="0"/>
      <w:jc w:val="left"/>
    </w:pPr>
    <w:rPr>
      <w:rFonts w:ascii="Courier New" w:cs="Courier New" w:hAnsi="Courier New"/>
      <w:sz w:val="20"/>
      <w:szCs w:val="20"/>
      <w:color w:val="000000"/>
    </w:rPr>
  </w:style>
  <w:style w:customStyle="1" w:styleId="KeywordTok" w:type="character">
    <w:name w:val="KeywordTok"/>
    <w:basedOn w:val="VerbatimChar"/>
    <w:rPr>
      <w:rFonts w:ascii="Times New Roman" w:cs="Times New Roman" w:hAnsi="Times New Roman"/>
      <w:b/>
      <w:sz w:val="22"/>
      <w:szCs w:val="22"/>
      <w:color w:val="000000"/>
    </w:rPr>
  </w:style>
  <w:style w:customStyle="1" w:styleId="DataTypeTok" w:type="character">
    <w:name w:val="DataTypeTok"/>
    <w:basedOn w:val="VerbatimChar"/>
    <w:rPr>
      <w:rFonts w:ascii="Times New Roman" w:cs="Times New Roman" w:hAnsi="Times New Roman"/>
      <w:sz w:val="22"/>
      <w:szCs w:val="22"/>
      <w:color w:val="000000"/>
    </w:rPr>
  </w:style>
  <w:style w:customStyle="1" w:styleId="DecValTok" w:type="character">
    <w:name w:val="DecValTok"/>
    <w:basedOn w:val="VerbatimChar"/>
    <w:rPr>
      <w:rFonts w:ascii="Times New Roman" w:cs="Times New Roman" w:hAnsi="Times New Roman"/>
      <w:sz w:val="22"/>
      <w:szCs w:val="22"/>
      <w:color w:val="000000"/>
    </w:rPr>
  </w:style>
  <w:style w:customStyle="1" w:styleId="BaseNTok" w:type="character">
    <w:name w:val="BaseNTok"/>
    <w:basedOn w:val="VerbatimChar"/>
    <w:rPr>
      <w:rFonts w:ascii="Times New Roman" w:cs="Times New Roman" w:hAnsi="Times New Roman"/>
      <w:sz w:val="22"/>
      <w:szCs w:val="22"/>
      <w:color w:val="000000"/>
    </w:rPr>
  </w:style>
  <w:style w:customStyle="1" w:styleId="FloatTok" w:type="character">
    <w:name w:val="FloatTok"/>
    <w:basedOn w:val="VerbatimChar"/>
    <w:rPr>
      <w:rFonts w:ascii="Times New Roman" w:cs="Times New Roman" w:hAnsi="Times New Roman"/>
      <w:sz w:val="22"/>
      <w:szCs w:val="22"/>
      <w:color w:val="000000"/>
    </w:rPr>
  </w:style>
  <w:style w:customStyle="1" w:styleId="ConstantTok" w:type="character">
    <w:name w:val="ConstantTok"/>
    <w:basedOn w:val="VerbatimChar"/>
    <w:rPr>
      <w:rFonts w:ascii="Times New Roman" w:cs="Times New Roman" w:hAnsi="Times New Roman"/>
      <w:sz w:val="22"/>
      <w:szCs w:val="22"/>
      <w:color w:val="000000"/>
    </w:rPr>
  </w:style>
  <w:style w:customStyle="1" w:styleId="CharTok" w:type="character">
    <w:name w:val="CharTok"/>
    <w:basedOn w:val="VerbatimChar"/>
    <w:rPr>
      <w:rFonts w:ascii="Times New Roman" w:cs="Times New Roman" w:hAnsi="Times New Roman"/>
      <w:sz w:val="22"/>
      <w:szCs w:val="22"/>
      <w:color w:val="000000"/>
    </w:rPr>
  </w:style>
  <w:style w:customStyle="1" w:styleId="SpecialCharTok" w:type="character">
    <w:name w:val="SpecialCharTok"/>
    <w:basedOn w:val="VerbatimChar"/>
    <w:rPr>
      <w:rFonts w:ascii="Times New Roman" w:cs="Times New Roman" w:hAnsi="Times New Roman"/>
      <w:sz w:val="22"/>
      <w:szCs w:val="22"/>
      <w:color w:val="000000"/>
    </w:rPr>
  </w:style>
  <w:style w:customStyle="1" w:styleId="StringTok" w:type="character">
    <w:name w:val="StringTok"/>
    <w:basedOn w:val="VerbatimChar"/>
    <w:rPr>
      <w:rFonts w:ascii="Times New Roman" w:cs="Times New Roman" w:hAnsi="Times New Roman"/>
      <w:sz w:val="22"/>
      <w:szCs w:val="22"/>
      <w:color w:val="000000"/>
    </w:rPr>
  </w:style>
  <w:style w:customStyle="1" w:styleId="VerbatimStringTok" w:type="character">
    <w:name w:val="VerbatimStringTok"/>
    <w:basedOn w:val="VerbatimChar"/>
    <w:rPr>
      <w:rFonts w:ascii="Times New Roman" w:cs="Times New Roman" w:hAnsi="Times New Roman"/>
      <w:sz w:val="22"/>
      <w:szCs w:val="22"/>
      <w:color w:val="000000"/>
    </w:rPr>
  </w:style>
  <w:style w:customStyle="1" w:styleId="SpecialStringTok" w:type="character">
    <w:name w:val="SpecialStringTok"/>
    <w:basedOn w:val="VerbatimChar"/>
    <w:rPr>
      <w:rFonts w:ascii="Times New Roman" w:cs="Times New Roman" w:hAnsi="Times New Roman"/>
      <w:sz w:val="22"/>
      <w:szCs w:val="22"/>
      <w:color w:val="000000"/>
    </w:rPr>
  </w:style>
  <w:style w:customStyle="1" w:styleId="ImportTok" w:type="character">
    <w:name w:val="ImportTok"/>
    <w:basedOn w:val="VerbatimChar"/>
    <w:rPr>
      <w:rFonts w:ascii="Times New Roman" w:cs="Times New Roman" w:hAnsi="Times New Roman"/>
      <w:b/>
      <w:sz w:val="22"/>
      <w:szCs w:val="22"/>
      <w:color w:val="000000"/>
    </w:rPr>
  </w:style>
  <w:style w:customStyle="1" w:styleId="CommentTok" w:type="character">
    <w:name w:val="CommentTok"/>
    <w:basedOn w:val="VerbatimChar"/>
    <w:rPr>
      <w:rFonts w:ascii="Times New Roman" w:cs="Times New Roman" w:hAnsi="Times New Roman"/>
      <w:i/>
      <w:sz w:val="22"/>
      <w:szCs w:val="22"/>
      <w:color w:val="000000"/>
    </w:rPr>
  </w:style>
  <w:style w:customStyle="1" w:styleId="DocumentationTok" w:type="character">
    <w:name w:val="DocumentationTok"/>
    <w:basedOn w:val="VerbatimChar"/>
    <w:rPr>
      <w:rFonts w:ascii="Times New Roman" w:cs="Times New Roman" w:hAnsi="Times New Roman"/>
      <w:i/>
      <w:sz w:val="22"/>
      <w:szCs w:val="22"/>
      <w:color w:val="000000"/>
    </w:rPr>
  </w:style>
  <w:style w:customStyle="1" w:styleId="AnnotationTok" w:type="character">
    <w:name w:val="AnnotationTok"/>
    <w:basedOn w:val="VerbatimChar"/>
    <w:rPr>
      <w:rFonts w:ascii="Times New Roman" w:cs="Times New Roman" w:hAnsi="Times New Roman"/>
      <w:b/>
      <w:i/>
      <w:sz w:val="22"/>
      <w:szCs w:val="22"/>
      <w:color w:val="000000"/>
    </w:rPr>
  </w:style>
  <w:style w:customStyle="1" w:styleId="CommentVarTok" w:type="character">
    <w:name w:val="CommentVarTok"/>
    <w:basedOn w:val="VerbatimChar"/>
    <w:rPr>
      <w:rFonts w:ascii="Times New Roman" w:cs="Times New Roman" w:hAnsi="Times New Roman"/>
      <w:b/>
      <w:i/>
      <w:sz w:val="22"/>
      <w:szCs w:val="22"/>
      <w:color w:val="000000"/>
    </w:rPr>
  </w:style>
  <w:style w:customStyle="1" w:styleId="OtherTok" w:type="character">
    <w:name w:val="OtherTok"/>
    <w:basedOn w:val="VerbatimChar"/>
    <w:rPr>
      <w:rFonts w:ascii="Times New Roman" w:cs="Times New Roman" w:hAnsi="Times New Roman"/>
      <w:sz w:val="22"/>
      <w:szCs w:val="22"/>
      <w:color w:val="000000"/>
    </w:rPr>
  </w:style>
  <w:style w:customStyle="1" w:styleId="FunctionTok" w:type="character">
    <w:name w:val="FunctionTok"/>
    <w:basedOn w:val="VerbatimChar"/>
    <w:rPr>
      <w:rFonts w:ascii="Times New Roman" w:cs="Times New Roman" w:hAnsi="Times New Roman"/>
      <w:sz w:val="22"/>
      <w:szCs w:val="22"/>
      <w:color w:val="000000"/>
    </w:rPr>
  </w:style>
  <w:style w:customStyle="1" w:styleId="VariableTok" w:type="character">
    <w:name w:val="VariableTok"/>
    <w:basedOn w:val="VerbatimChar"/>
    <w:rPr>
      <w:rFonts w:ascii="Times New Roman" w:cs="Times New Roman" w:hAnsi="Times New Roman"/>
      <w:sz w:val="22"/>
      <w:szCs w:val="22"/>
      <w:color w:val="000000"/>
    </w:rPr>
  </w:style>
  <w:style w:customStyle="1" w:styleId="ControlFlowTok" w:type="character">
    <w:name w:val="ControlFlowTok"/>
    <w:basedOn w:val="VerbatimChar"/>
    <w:rPr>
      <w:rFonts w:ascii="Times New Roman" w:cs="Times New Roman" w:hAnsi="Times New Roman"/>
      <w:b/>
      <w:sz w:val="22"/>
      <w:szCs w:val="22"/>
      <w:color w:val="000000"/>
    </w:rPr>
  </w:style>
  <w:style w:customStyle="1" w:styleId="OperatorTok" w:type="character">
    <w:name w:val="OperatorTok"/>
    <w:basedOn w:val="VerbatimChar"/>
    <w:rPr>
      <w:rFonts w:ascii="Times New Roman" w:cs="Times New Roman" w:hAnsi="Times New Roman"/>
      <w:sz w:val="22"/>
      <w:szCs w:val="22"/>
      <w:color w:val="000000"/>
    </w:rPr>
  </w:style>
  <w:style w:customStyle="1" w:styleId="BuiltInTok" w:type="character">
    <w:name w:val="BuiltInTok"/>
    <w:basedOn w:val="VerbatimChar"/>
    <w:rPr>
      <w:rFonts w:ascii="Times New Roman" w:cs="Times New Roman" w:hAnsi="Times New Roman"/>
      <w:sz w:val="22"/>
      <w:szCs w:val="22"/>
      <w:color w:val="000000"/>
    </w:rPr>
  </w:style>
  <w:style w:customStyle="1" w:styleId="ExtensionTok" w:type="character">
    <w:name w:val="ExtensionTok"/>
    <w:basedOn w:val="VerbatimChar"/>
    <w:rPr>
      <w:rFonts w:ascii="Times New Roman" w:cs="Times New Roman" w:hAnsi="Times New Roman"/>
      <w:sz w:val="22"/>
      <w:szCs w:val="22"/>
      <w:color w:val="000000"/>
    </w:rPr>
  </w:style>
  <w:style w:customStyle="1" w:styleId="PreprocessorTok" w:type="character">
    <w:name w:val="PreprocessorTok"/>
    <w:basedOn w:val="VerbatimChar"/>
    <w:rPr>
      <w:rFonts w:ascii="Times New Roman" w:cs="Times New Roman" w:hAnsi="Times New Roman"/>
      <w:sz w:val="22"/>
      <w:szCs w:val="22"/>
      <w:color w:val="000000"/>
    </w:rPr>
  </w:style>
  <w:style w:customStyle="1" w:styleId="AttributeTok" w:type="character">
    <w:name w:val="AttributeTok"/>
    <w:basedOn w:val="VerbatimChar"/>
    <w:rPr>
      <w:rFonts w:ascii="Times New Roman" w:cs="Times New Roman" w:hAnsi="Times New Roman"/>
      <w:sz w:val="22"/>
      <w:szCs w:val="22"/>
      <w:color w:val="000000"/>
    </w:rPr>
  </w:style>
  <w:style w:customStyle="1" w:styleId="RegionMarkerTok" w:type="character">
    <w:name w:val="RegionMarkerTok"/>
    <w:basedOn w:val="VerbatimChar"/>
    <w:rPr>
      <w:rFonts w:ascii="Times New Roman" w:cs="Times New Roman" w:hAnsi="Times New Roman"/>
      <w:sz w:val="22"/>
      <w:szCs w:val="22"/>
      <w:color w:val="000000"/>
    </w:rPr>
  </w:style>
  <w:style w:customStyle="1" w:styleId="InformationTok" w:type="character">
    <w:name w:val="InformationTok"/>
    <w:basedOn w:val="VerbatimChar"/>
    <w:rPr>
      <w:rFonts w:ascii="Times New Roman" w:cs="Times New Roman" w:hAnsi="Times New Roman"/>
      <w:b/>
      <w:i/>
      <w:sz w:val="22"/>
      <w:szCs w:val="22"/>
      <w:color w:val="000000"/>
    </w:rPr>
  </w:style>
  <w:style w:customStyle="1" w:styleId="WarningTok" w:type="character">
    <w:name w:val="WarningTok"/>
    <w:basedOn w:val="VerbatimChar"/>
    <w:rPr>
      <w:rFonts w:ascii="Times New Roman" w:cs="Times New Roman" w:hAnsi="Times New Roman"/>
      <w:b/>
      <w:i/>
      <w:sz w:val="22"/>
      <w:szCs w:val="22"/>
      <w:color w:val="000000"/>
    </w:rPr>
  </w:style>
  <w:style w:customStyle="1" w:styleId="AlertTok" w:type="character">
    <w:name w:val="AlertTok"/>
    <w:basedOn w:val="VerbatimChar"/>
    <w:rPr>
      <w:rFonts w:ascii="Times New Roman" w:cs="Times New Roman" w:hAnsi="Times New Roman"/>
      <w:b/>
      <w:sz w:val="22"/>
      <w:szCs w:val="22"/>
      <w:color w:val="000000"/>
    </w:rPr>
  </w:style>
  <w:style w:customStyle="1" w:styleId="ErrorTok" w:type="character">
    <w:name w:val="ErrorTok"/>
    <w:basedOn w:val="VerbatimChar"/>
    <w:rPr>
      <w:rFonts w:ascii="Times New Roman" w:cs="Times New Roman" w:hAnsi="Times New Roman"/>
      <w:b/>
      <w:sz w:val="22"/>
      <w:szCs w:val="22"/>
      <w:color w:val="000000"/>
    </w:rPr>
  </w:style>
  <w:style w:customStyle="1" w:styleId="NormalTok" w:type="character">
    <w:name w:val="NormalTok"/>
    <w:basedOn w:val="VerbatimChar"/>
    <w:rPr>
      <w:rFonts w:ascii="Times New Roman" w:cs="Times New Roman" w:hAnsi="Times New Roman"/>
      <w:sz w:val="22"/>
      <w:szCs w:val="22"/>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s://cordis.europa.eu/project/id/101132671" TargetMode="External" /><Relationship Type="http://schemas.openxmlformats.org/officeDocument/2006/relationships/hyperlink" Id="rId32" Target="mailto:info@deconspirator-project.eu" TargetMode="External" /></Relationships>
</file>

<file path=word/_rels/footnotes.xml.rels><?xml version="1.0" encoding="UTF-8"?><Relationships xmlns="http://schemas.openxmlformats.org/package/2006/relationships"><Relationship Type="http://schemas.openxmlformats.org/officeDocument/2006/relationships/hyperlink" Id="rId20" Target="https://cordis.europa.eu/project/id/101132671" TargetMode="External" /><Relationship Type="http://schemas.openxmlformats.org/officeDocument/2006/relationships/hyperlink" Id="rId32" Target="mailto:info@deconspirator-project.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2026-09-30T15:42:04Z</dcterms:created>
  <dcterms:modified xsi:type="dcterms:W3CDTF">2026-09-30T15:42:04Z</dcterms:modified>
</cp:coreProperties>
</file>

<file path=docProps/custom.xml><?xml version="1.0" encoding="utf-8"?>
<Properties xmlns="http://schemas.openxmlformats.org/officeDocument/2006/custom-properties" xmlns:vt="http://schemas.openxmlformats.org/officeDocument/2006/docPropsVTypes"/>
</file>