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7597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1</w:t>
      </w:r>
    </w:p>
    <w:p w14:paraId="5F3B176B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8FE3D7B" w14:textId="77777777" w:rsidR="00151C56" w:rsidRP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4C89A12D" w14:textId="77777777" w:rsidR="00151C56" w:rsidRDefault="00151C56" w:rsidP="00151C56">
      <w:pPr>
        <w:ind w:left="2124"/>
        <w:jc w:val="both"/>
        <w:rPr>
          <w:sz w:val="28"/>
        </w:rPr>
      </w:pPr>
    </w:p>
    <w:p w14:paraId="56F9212D" w14:textId="77777777" w:rsidR="00151C56" w:rsidRDefault="00151C56" w:rsidP="00151C56">
      <w:pPr>
        <w:ind w:left="2832" w:firstLine="708"/>
        <w:rPr>
          <w:b/>
          <w:sz w:val="28"/>
        </w:rPr>
      </w:pPr>
      <w:r w:rsidRPr="00151C56">
        <w:rPr>
          <w:b/>
          <w:sz w:val="28"/>
        </w:rPr>
        <w:t>Сведения о публикационной активности научной организации</w:t>
      </w:r>
    </w:p>
    <w:p w14:paraId="2E7A8F6B" w14:textId="77777777" w:rsidR="004C5848" w:rsidRDefault="003514F8" w:rsidP="004C584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2EDCCE12" w14:textId="77777777" w:rsidR="004C5848" w:rsidRPr="00654BDD" w:rsidRDefault="004C5848" w:rsidP="004C5848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B50F8" wp14:editId="1C3E3C06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4719A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rcpVCO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7DA45FA" w14:textId="77777777" w:rsidR="004C5848" w:rsidRPr="00151C56" w:rsidRDefault="004C5848" w:rsidP="00151C56">
      <w:pPr>
        <w:ind w:left="2832" w:firstLine="708"/>
        <w:rPr>
          <w:b/>
          <w:sz w:val="28"/>
        </w:rPr>
      </w:pPr>
    </w:p>
    <w:p w14:paraId="3BBB85ED" w14:textId="77777777" w:rsidR="00151C56" w:rsidRDefault="00151C56" w:rsidP="00151C56">
      <w:pPr>
        <w:pStyle w:val="a3"/>
        <w:ind w:left="0"/>
        <w:jc w:val="both"/>
        <w:rPr>
          <w:sz w:val="28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51"/>
        <w:gridCol w:w="919"/>
        <w:gridCol w:w="1275"/>
        <w:gridCol w:w="2835"/>
        <w:gridCol w:w="1724"/>
        <w:gridCol w:w="2032"/>
        <w:gridCol w:w="1850"/>
      </w:tblGrid>
      <w:tr w:rsidR="00F27B39" w14:paraId="66715C2F" w14:textId="77777777" w:rsidTr="00F27B39">
        <w:trPr>
          <w:jc w:val="center"/>
        </w:trPr>
        <w:tc>
          <w:tcPr>
            <w:tcW w:w="4151" w:type="dxa"/>
            <w:vAlign w:val="center"/>
          </w:tcPr>
          <w:p w14:paraId="3A4532A6" w14:textId="21EF2D43" w:rsidR="00A12384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  <w:lang w:val="en-US"/>
              </w:rPr>
              <w:t>DOI</w:t>
            </w:r>
            <w:r w:rsidRPr="00F27B39">
              <w:rPr>
                <w:b/>
                <w:sz w:val="28"/>
                <w:szCs w:val="28"/>
              </w:rPr>
              <w:t xml:space="preserve"> статьи</w:t>
            </w:r>
            <w:r w:rsidR="00F27B39" w:rsidRPr="00F27B39">
              <w:rPr>
                <w:b/>
                <w:sz w:val="28"/>
                <w:szCs w:val="28"/>
              </w:rPr>
              <w:t xml:space="preserve"> </w:t>
            </w:r>
            <w:r w:rsidR="00A12384" w:rsidRPr="00F27B39">
              <w:rPr>
                <w:b/>
                <w:sz w:val="28"/>
                <w:szCs w:val="28"/>
              </w:rPr>
              <w:t xml:space="preserve">(при отсутствии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DOI</w:t>
            </w:r>
            <w:r w:rsidR="00A12384" w:rsidRPr="00F27B39">
              <w:rPr>
                <w:b/>
                <w:sz w:val="28"/>
                <w:szCs w:val="28"/>
              </w:rPr>
              <w:t xml:space="preserve"> номер </w:t>
            </w:r>
            <w:proofErr w:type="spellStart"/>
            <w:r w:rsidR="00A12384" w:rsidRPr="00F27B39">
              <w:rPr>
                <w:b/>
                <w:sz w:val="28"/>
                <w:szCs w:val="28"/>
                <w:lang w:val="en-US"/>
              </w:rPr>
              <w:t>WoS</w:t>
            </w:r>
            <w:proofErr w:type="spellEnd"/>
            <w:r w:rsidR="00A12384" w:rsidRPr="00F27B39">
              <w:rPr>
                <w:b/>
                <w:sz w:val="28"/>
                <w:szCs w:val="28"/>
              </w:rPr>
              <w:t xml:space="preserve"> или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Scopus</w:t>
            </w:r>
            <w:r w:rsidR="00A12384" w:rsidRPr="00F27B3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19" w:type="dxa"/>
            <w:vAlign w:val="center"/>
          </w:tcPr>
          <w:p w14:paraId="0BB4CE0B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Квартиль</w:t>
            </w:r>
          </w:p>
        </w:tc>
        <w:tc>
          <w:tcPr>
            <w:tcW w:w="1275" w:type="dxa"/>
            <w:vAlign w:val="center"/>
          </w:tcPr>
          <w:p w14:paraId="32513744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авторов статьи</w:t>
            </w:r>
          </w:p>
        </w:tc>
        <w:tc>
          <w:tcPr>
            <w:tcW w:w="2835" w:type="dxa"/>
            <w:vAlign w:val="center"/>
          </w:tcPr>
          <w:p w14:paraId="70C1F92D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Авторы публикации</w:t>
            </w:r>
          </w:p>
        </w:tc>
        <w:tc>
          <w:tcPr>
            <w:tcW w:w="1724" w:type="dxa"/>
            <w:vAlign w:val="center"/>
          </w:tcPr>
          <w:p w14:paraId="5C812C81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аффиляций автора</w:t>
            </w:r>
          </w:p>
        </w:tc>
        <w:tc>
          <w:tcPr>
            <w:tcW w:w="2032" w:type="dxa"/>
            <w:vAlign w:val="center"/>
          </w:tcPr>
          <w:p w14:paraId="62954620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Перечень тем автора, результаты которых использованы в статье</w:t>
            </w:r>
          </w:p>
        </w:tc>
        <w:tc>
          <w:tcPr>
            <w:tcW w:w="1850" w:type="dxa"/>
            <w:vAlign w:val="center"/>
          </w:tcPr>
          <w:p w14:paraId="13B01DBB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Примечания</w:t>
            </w:r>
          </w:p>
        </w:tc>
      </w:tr>
      <w:tr w:rsidR="00F27B39" w:rsidRPr="00B67906" w14:paraId="75A6CAC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EA5B55" w14:textId="77777777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10.4213/mzm11201</w:t>
            </w:r>
          </w:p>
        </w:tc>
        <w:tc>
          <w:tcPr>
            <w:tcW w:w="919" w:type="dxa"/>
            <w:vAlign w:val="center"/>
          </w:tcPr>
          <w:p w14:paraId="2ABE80B4" w14:textId="303F7D5A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Align w:val="center"/>
          </w:tcPr>
          <w:p w14:paraId="695C5566" w14:textId="0EB8B353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6452C5C" w14:textId="17CC3456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6C37406" w14:textId="10007AF2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4709A2" w14:textId="19FB33C6" w:rsidR="008B4CB3" w:rsidRPr="00F27B39" w:rsidRDefault="000A6D42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174964A5" w14:textId="5B3FCBD1" w:rsidR="008B4CB3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Безусловно сходящиеся интерполяционные рациональные сплайны // Математические заметки – 2018 – Т.103. – Вып.4. – С.592–603.</w:t>
            </w:r>
          </w:p>
        </w:tc>
      </w:tr>
      <w:tr w:rsidR="00F27B39" w:rsidRPr="00B67906" w14:paraId="178B9F8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582D6A8" w14:textId="29D61B7D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10.21538/0134-4889-2018-24-3-164-175</w:t>
            </w:r>
          </w:p>
        </w:tc>
        <w:tc>
          <w:tcPr>
            <w:tcW w:w="919" w:type="dxa"/>
            <w:vAlign w:val="center"/>
          </w:tcPr>
          <w:p w14:paraId="4771CE50" w14:textId="77777777" w:rsidR="005D486D" w:rsidRPr="00BF25E1" w:rsidRDefault="005D486D" w:rsidP="005A3B6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404A063" w14:textId="15E944C8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089E12F" w14:textId="5EBED040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490C594" w14:textId="59482281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0F8A231" w14:textId="7E57E47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733381" w14:textId="0E383C78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Ковыпуклая интерполяция сплайнами по трехточечным рациональным интерполянтам // Труды института математики и механики УрО РАН – 2018 – Т.24. – №3. – С.164-175.</w:t>
            </w:r>
          </w:p>
        </w:tc>
      </w:tr>
      <w:tr w:rsidR="00F27B39" w:rsidRPr="00B67906" w14:paraId="4497FC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A623678" w14:textId="3BD61397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10.31029/demr.9.7</w:t>
            </w:r>
          </w:p>
        </w:tc>
        <w:tc>
          <w:tcPr>
            <w:tcW w:w="919" w:type="dxa"/>
            <w:vAlign w:val="center"/>
          </w:tcPr>
          <w:p w14:paraId="54D097D9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15E3C24" w14:textId="1EBA4E37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73628E3" w14:textId="4B87100B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3CB774F" w14:textId="1EAC35B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FAD12CD" w14:textId="4F9532BA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B71B1E" w14:textId="7E2C5D97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Выпуклая интерполяция рациональными сплайн-функциями класса C^2 // Дагестанские электронные математические известия – 2018 – Вып.9. – С.62-67.</w:t>
            </w:r>
          </w:p>
        </w:tc>
      </w:tr>
      <w:tr w:rsidR="00F27B39" w:rsidRPr="00B67906" w14:paraId="173D49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F09E022" w14:textId="60979443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10.31029/demr.10.2</w:t>
            </w:r>
          </w:p>
        </w:tc>
        <w:tc>
          <w:tcPr>
            <w:tcW w:w="919" w:type="dxa"/>
            <w:vAlign w:val="center"/>
          </w:tcPr>
          <w:p w14:paraId="58E8478D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20DC5D6" w14:textId="3CC6D739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56B85DF" w14:textId="333B7728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48FBA1C4" w14:textId="0B56FE0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879A94D" w14:textId="235BBA0B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6E60EBA7" w14:textId="6A07A515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Рамазанов А.-Р.К., Магомедова В.Г. Ковыпуклая интерполяция рациональными сплайн-функциями по равномерным сеткам узлов // Дагестанские электронные математические известия – 2018 – Вып.10. – С.13-22</w:t>
            </w:r>
          </w:p>
        </w:tc>
      </w:tr>
      <w:tr w:rsidR="00F27B39" w:rsidRPr="00B67906" w14:paraId="7320621D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2A1F6C" w14:textId="0E4EE0C6" w:rsidR="005D486D" w:rsidRPr="00F27B39" w:rsidRDefault="00867EEB" w:rsidP="005A3B6E">
            <w:pPr>
              <w:pStyle w:val="a3"/>
              <w:ind w:left="0"/>
              <w:jc w:val="center"/>
            </w:pPr>
            <w:r w:rsidRPr="00F27B39">
              <w:t>10.21779/2542-0321-2018-33-1-67-77</w:t>
            </w:r>
          </w:p>
        </w:tc>
        <w:tc>
          <w:tcPr>
            <w:tcW w:w="919" w:type="dxa"/>
            <w:vAlign w:val="center"/>
          </w:tcPr>
          <w:p w14:paraId="5C0435D1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8918CFC" w14:textId="54FAC912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2DA7543" w14:textId="20F79423" w:rsidR="005D486D" w:rsidRPr="00F27B39" w:rsidRDefault="00867EE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41D183C0" w14:textId="3400A6E2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B832B2" w14:textId="7D0C257A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E7D9741" w14:textId="1904D90E" w:rsidR="005D486D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Кадиев Р.И., Шахбанова З.И. Устойчивость решений линейных дифференциальных уравнений ИТО с запаздыванием второго порядка // Вестник Дагестанского государственного университета. Серия 1. Естественные науки – 2018 – Т.33. – Вып.1. – С.67-77</w:t>
            </w:r>
          </w:p>
        </w:tc>
      </w:tr>
      <w:tr w:rsidR="00F27B39" w:rsidRPr="00C95FE1" w14:paraId="370B71F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C60FA02" w14:textId="2E928E03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10.4236/am.2018.93019</w:t>
            </w:r>
          </w:p>
        </w:tc>
        <w:tc>
          <w:tcPr>
            <w:tcW w:w="919" w:type="dxa"/>
            <w:vAlign w:val="center"/>
          </w:tcPr>
          <w:p w14:paraId="6F63E1C9" w14:textId="77777777" w:rsidR="00F058D6" w:rsidRPr="00F27B39" w:rsidRDefault="00F058D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5D9CBA9" w14:textId="475ECA0D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F67051B" w14:textId="478396EE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5E3BE088" w14:textId="1E420680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A21A7D5" w14:textId="7C73874C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8307BD5" w14:textId="63ADAE4E" w:rsidR="00F058D6" w:rsidRPr="00042A0B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B91240">
              <w:rPr>
                <w:sz w:val="16"/>
                <w:szCs w:val="16"/>
                <w:lang w:val="en-US"/>
              </w:rPr>
              <w:t xml:space="preserve">Lev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Idels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Ramazan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Ponosov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. Stability of High-Order Linear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Itô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 Equations with Delays // Applied Mathematics – 2018 – Vol.9. – №.3. – Pp.250-263</w:t>
            </w:r>
          </w:p>
        </w:tc>
      </w:tr>
      <w:tr w:rsidR="00F27B39" w:rsidRPr="00042A0B" w14:paraId="03B07AE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8357F91" w14:textId="062A3256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lastRenderedPageBreak/>
              <w:t>10.1155/2018/7490936</w:t>
            </w:r>
          </w:p>
        </w:tc>
        <w:tc>
          <w:tcPr>
            <w:tcW w:w="919" w:type="dxa"/>
            <w:vAlign w:val="center"/>
          </w:tcPr>
          <w:p w14:paraId="776BA78D" w14:textId="3A08410E" w:rsidR="00F058D6" w:rsidRPr="00F27B39" w:rsidRDefault="000451EF" w:rsidP="005A3B6E">
            <w:pPr>
              <w:pStyle w:val="a3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7807D02B" w14:textId="1BD9C73D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EC9FCE0" w14:textId="169500D6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05F715F0" w14:textId="6D4DDE04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731155A0" w14:textId="3DD9EF4E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7B0ED93A" w14:textId="77D93AB2" w:rsidR="00F058D6" w:rsidRPr="00042A0B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B91240">
              <w:rPr>
                <w:sz w:val="16"/>
                <w:szCs w:val="16"/>
                <w:lang w:val="en-US"/>
              </w:rPr>
              <w:t xml:space="preserve">Ramazan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B91240">
              <w:rPr>
                <w:sz w:val="16"/>
                <w:szCs w:val="16"/>
                <w:lang w:val="en-US"/>
              </w:rPr>
              <w:t>Ponosov</w:t>
            </w:r>
            <w:proofErr w:type="spellEnd"/>
            <w:r w:rsidRPr="00B91240">
              <w:rPr>
                <w:sz w:val="16"/>
                <w:szCs w:val="16"/>
                <w:lang w:val="en-US"/>
              </w:rPr>
              <w:t>. Lyapunov Stability of the Generalized Stochastic Pantograph Equation // Journal of Mathematics – 2018 – Vol. 2018. Article ID 7490936. 9pp.</w:t>
            </w:r>
          </w:p>
        </w:tc>
      </w:tr>
      <w:tr w:rsidR="00F27B39" w:rsidRPr="00B67906" w14:paraId="2D9D41D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6710D6" w14:textId="04B0511F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t>10.18411/spc-12-10-2018-13</w:t>
            </w:r>
          </w:p>
        </w:tc>
        <w:tc>
          <w:tcPr>
            <w:tcW w:w="919" w:type="dxa"/>
            <w:vAlign w:val="center"/>
          </w:tcPr>
          <w:p w14:paraId="20FDA854" w14:textId="77777777" w:rsidR="00E25204" w:rsidRPr="00F27B39" w:rsidRDefault="00E25204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3E2F560A" w14:textId="0D615273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90487F6" w14:textId="69A4CCE2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7DE0C965" w14:textId="7254E266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39B3083" w14:textId="3D7E5D43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63A0DF24" w14:textId="523935FE" w:rsidR="00E25204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Кадиев Р.И., Поносов А.В. Стохастическая устойчивость и допустимые пары пространств // Научные тенденции: Вопросы точных и технических наук – 2018 – С.49-52.</w:t>
            </w:r>
          </w:p>
        </w:tc>
      </w:tr>
      <w:tr w:rsidR="00F27B39" w:rsidRPr="00B67906" w14:paraId="1B7E3BE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4F3C62D" w14:textId="5A490B9B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10.31029/demr.10.1</w:t>
            </w:r>
          </w:p>
        </w:tc>
        <w:tc>
          <w:tcPr>
            <w:tcW w:w="919" w:type="dxa"/>
            <w:vAlign w:val="center"/>
          </w:tcPr>
          <w:p w14:paraId="1706637F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B23CCFC" w14:textId="49016654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77BD52F" w14:textId="23D0282A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44AE4CCF" w14:textId="2ED2358F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6DC567C7" w14:textId="515D7CF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492B418B" w14:textId="4738343F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Сиражудинов М.М., Джамалудинова С.П. О G-компактности некоторых классов эллиптических операторов второго порядка // Дагестанские электронные математические известия – 2018 – Вып.10. – С.1-12.</w:t>
            </w:r>
          </w:p>
        </w:tc>
      </w:tr>
      <w:tr w:rsidR="00F27B39" w:rsidRPr="00B67906" w14:paraId="069EC79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CCCE8E" w14:textId="5C6912B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10.21779/2542-0321-2018-33-4-95-101</w:t>
            </w:r>
          </w:p>
        </w:tc>
        <w:tc>
          <w:tcPr>
            <w:tcW w:w="919" w:type="dxa"/>
            <w:vAlign w:val="center"/>
          </w:tcPr>
          <w:p w14:paraId="501CFBEC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2F95A84" w14:textId="5DE7810E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121BE6" w14:textId="716B6D89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58C504E5" w14:textId="4156110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959BAD5" w14:textId="1DD77DD4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2261379A" w14:textId="2BB12DD6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Сиражудинов М.М. Оценки погрешности усреднения периодической задачи для уравнения Бельтрами // Вестник Дагестанского государственного университета. Серия 1. Естественные науки – 2018 – Т.33. – Вып.4. – С.95-101.</w:t>
            </w:r>
          </w:p>
        </w:tc>
      </w:tr>
      <w:tr w:rsidR="00F27B39" w:rsidRPr="00B67906" w14:paraId="48841A65" w14:textId="77777777" w:rsidTr="00F27B39">
        <w:trPr>
          <w:trHeight w:val="255"/>
          <w:jc w:val="center"/>
        </w:trPr>
        <w:tc>
          <w:tcPr>
            <w:tcW w:w="4151" w:type="dxa"/>
            <w:vMerge w:val="restart"/>
            <w:vAlign w:val="center"/>
          </w:tcPr>
          <w:p w14:paraId="145BD1FC" w14:textId="3E4E53CD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10.31029/demr.10.3</w:t>
            </w:r>
          </w:p>
        </w:tc>
        <w:tc>
          <w:tcPr>
            <w:tcW w:w="919" w:type="dxa"/>
            <w:vMerge w:val="restart"/>
            <w:vAlign w:val="center"/>
          </w:tcPr>
          <w:p w14:paraId="21937A21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1C105B4" w14:textId="5DF1ABD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5048954" w14:textId="3DCCBF8C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2A154B89" w14:textId="541710BC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0DFF8F74" w14:textId="04EF047A" w:rsidR="000358BB" w:rsidRPr="00F27B39" w:rsidRDefault="006E717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02F0FF6" w14:textId="510AF04A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Шарапудинов Т.И., Шарапудинов И.И. Ортогональные по Соболеву полиномы, порожденные модифицированными </w:t>
            </w:r>
            <w:r w:rsidRPr="00B91240">
              <w:rPr>
                <w:sz w:val="16"/>
                <w:szCs w:val="16"/>
              </w:rPr>
              <w:lastRenderedPageBreak/>
              <w:t>полиномами Лагерра и задача Коши для систем ОДУ // Дагестанские электронные математические известия – 2018 – Вып.10. – С.23-40.</w:t>
            </w:r>
          </w:p>
        </w:tc>
      </w:tr>
      <w:tr w:rsidR="00F27B39" w:rsidRPr="00B67906" w14:paraId="27C327E2" w14:textId="77777777" w:rsidTr="00F27B39">
        <w:trPr>
          <w:trHeight w:val="255"/>
          <w:jc w:val="center"/>
        </w:trPr>
        <w:tc>
          <w:tcPr>
            <w:tcW w:w="4151" w:type="dxa"/>
            <w:vMerge/>
            <w:vAlign w:val="center"/>
          </w:tcPr>
          <w:p w14:paraId="72EA3C20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F118B2B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F14A7B1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6721E8C" w14:textId="68815DE0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Шарапудинов Т.И.</w:t>
            </w:r>
          </w:p>
        </w:tc>
        <w:tc>
          <w:tcPr>
            <w:tcW w:w="1724" w:type="dxa"/>
            <w:vAlign w:val="center"/>
          </w:tcPr>
          <w:p w14:paraId="730AB467" w14:textId="45FB4872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CB7C18F" w14:textId="4CB9F830" w:rsidR="000358BB" w:rsidRPr="00F27B39" w:rsidRDefault="006E717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0898BC1" w14:textId="77777777" w:rsidR="000358BB" w:rsidRPr="00BF25E1" w:rsidRDefault="000358BB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4277C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F58038" w14:textId="091CD62D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10.4213/im8536</w:t>
            </w:r>
          </w:p>
        </w:tc>
        <w:tc>
          <w:tcPr>
            <w:tcW w:w="919" w:type="dxa"/>
            <w:vAlign w:val="center"/>
          </w:tcPr>
          <w:p w14:paraId="7B448A8E" w14:textId="06AE6A8F" w:rsidR="000358BB" w:rsidRPr="00F27B39" w:rsidRDefault="00FE35A3" w:rsidP="005A3B6E">
            <w:pPr>
              <w:pStyle w:val="a3"/>
              <w:tabs>
                <w:tab w:val="left" w:pos="540"/>
                <w:tab w:val="center" w:pos="697"/>
              </w:tabs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0F845BDB" w14:textId="040D325C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63C4942F" w14:textId="4DC7C63F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0775AEB0" w14:textId="0951B43D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B3E2E7F" w14:textId="77777777" w:rsidR="000358BB" w:rsidRPr="00F27B39" w:rsidRDefault="003A351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48BB40B9" w14:textId="364BF03B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2AEC82E" w14:textId="0C270C2E" w:rsidR="000358BB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Системы функций, ортогональные по Соболеву, ассоциированные с ортогональной системой // Известия Российской академии наук. Серия математическая – 2018 – Т.82. – Вып.1. – С.225-258.</w:t>
            </w:r>
          </w:p>
        </w:tc>
      </w:tr>
      <w:tr w:rsidR="00F27B39" w:rsidRPr="00B67906" w14:paraId="266EEAF9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310E35E" w14:textId="17ADDBC5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10.1134/S0374064118010065</w:t>
            </w:r>
          </w:p>
        </w:tc>
        <w:tc>
          <w:tcPr>
            <w:tcW w:w="919" w:type="dxa"/>
            <w:vMerge w:val="restart"/>
            <w:vAlign w:val="center"/>
          </w:tcPr>
          <w:p w14:paraId="39EF46D8" w14:textId="3DC0E144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2B7DA111" w14:textId="2B8EC153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D98D66E" w14:textId="5EF5EDF0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3B66F7DA" w14:textId="2F0DCAE3" w:rsidR="003A351C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83F4161" w14:textId="296DD06E" w:rsidR="003A351C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 xml:space="preserve">2, </w:t>
            </w:r>
            <w:r w:rsidR="003A351C" w:rsidRPr="00F27B39">
              <w:t>0202-2017-00</w:t>
            </w:r>
            <w:r w:rsidR="003A351C" w:rsidRPr="00F27B39">
              <w:rPr>
                <w:lang w:val="en-US"/>
              </w:rPr>
              <w:t>0</w:t>
            </w:r>
            <w:r w:rsidR="003A351C"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DBC289D" w14:textId="4F730F84" w:rsidR="003A351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Магомед-Касумов М.Г. О представлении решения задачи Коши рядом Фурье по полиномам, ортогональным по Соболеву, порожденным многочленами Лагерра // Дифференциальные уравнения – 2018 – Т.54. – №1. – С.51.</w:t>
            </w:r>
          </w:p>
        </w:tc>
      </w:tr>
      <w:tr w:rsidR="00F27B39" w:rsidRPr="00B67906" w14:paraId="6E543B9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839276E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3AA59B1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93F8DA8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62A1BE7" w14:textId="76170A49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87D5DC2" w14:textId="43346299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C82CA71" w14:textId="683D85A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09D51B4" w14:textId="77777777" w:rsidR="00E77D66" w:rsidRPr="00BF25E1" w:rsidRDefault="00E77D6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7A3F2A0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307EB120" w14:textId="6E85E3AE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10.18500/1816-9791-2018-18-2-196-205</w:t>
            </w:r>
          </w:p>
        </w:tc>
        <w:tc>
          <w:tcPr>
            <w:tcW w:w="919" w:type="dxa"/>
            <w:vMerge w:val="restart"/>
            <w:vAlign w:val="center"/>
          </w:tcPr>
          <w:p w14:paraId="075DE4FB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826282F" w14:textId="217C7CA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AE052FD" w14:textId="65EDF5FF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ADC8B6C" w14:textId="656C8E9B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9DDB46E" w14:textId="241BBC1C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5FC617" w14:textId="533911F7" w:rsidR="00E77D66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 – 2018 – Т.18. – Вып.2. – С.196-</w:t>
            </w:r>
            <w:r w:rsidRPr="00B91240">
              <w:rPr>
                <w:sz w:val="16"/>
                <w:szCs w:val="16"/>
              </w:rPr>
              <w:lastRenderedPageBreak/>
              <w:t>205.</w:t>
            </w:r>
          </w:p>
        </w:tc>
      </w:tr>
      <w:tr w:rsidR="00F27B39" w:rsidRPr="00B67906" w14:paraId="5A1229D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643B7DC5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5954CFE6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5B88286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2740B99" w14:textId="04A913E3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Гусейнов И.Г.</w:t>
            </w:r>
          </w:p>
        </w:tc>
        <w:tc>
          <w:tcPr>
            <w:tcW w:w="1724" w:type="dxa"/>
            <w:vAlign w:val="center"/>
          </w:tcPr>
          <w:p w14:paraId="28EDB9E9" w14:textId="10A7B16B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01E481" w14:textId="0F23621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AA7FFEE" w14:textId="77777777" w:rsidR="00E77D66" w:rsidRPr="00BF25E1" w:rsidRDefault="00E77D6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2AFE8796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C4240" w14:textId="2083FE8B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10.3103%2FS1066369X18090074</w:t>
            </w:r>
          </w:p>
        </w:tc>
        <w:tc>
          <w:tcPr>
            <w:tcW w:w="919" w:type="dxa"/>
            <w:vMerge w:val="restart"/>
            <w:vAlign w:val="center"/>
          </w:tcPr>
          <w:p w14:paraId="6DE6519C" w14:textId="3414D344" w:rsidR="00322A21" w:rsidRPr="00F27B39" w:rsidRDefault="00F27B39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37D5CF00" w14:textId="0B33CD73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072FA42" w14:textId="608E4210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5F785D9" w14:textId="4AA5E89C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2048F2C" w14:textId="77777777" w:rsidR="002A3D9D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33D6C7CD" w14:textId="73F56BA4" w:rsidR="00322A21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 w:val="restart"/>
            <w:vAlign w:val="center"/>
          </w:tcPr>
          <w:p w14:paraId="51BBC196" w14:textId="2C9109FE" w:rsidR="00322A21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И.И., Магомед-Касумов М.Г. О средних Валле–Пуссена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 – 2018 – №9. – С.68-80.</w:t>
            </w:r>
          </w:p>
        </w:tc>
      </w:tr>
      <w:tr w:rsidR="00F27B39" w:rsidRPr="00B67906" w14:paraId="16747FF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1A45525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8632324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E47E67C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1761F030" w14:textId="4C894EEE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2348280F" w14:textId="59D994F1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92F588F" w14:textId="77777777" w:rsidR="002A3D9D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223595A4" w14:textId="186521AB" w:rsidR="00322A21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/>
            <w:vAlign w:val="center"/>
          </w:tcPr>
          <w:p w14:paraId="7CBA69A9" w14:textId="77777777" w:rsidR="00322A21" w:rsidRPr="00BF25E1" w:rsidRDefault="00322A2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82F63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5E7A8E" w14:textId="0D5F0BD4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10.4213/sm8910</w:t>
            </w:r>
          </w:p>
        </w:tc>
        <w:tc>
          <w:tcPr>
            <w:tcW w:w="919" w:type="dxa"/>
            <w:vAlign w:val="center"/>
          </w:tcPr>
          <w:p w14:paraId="5990602B" w14:textId="554932E1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12C62F82" w14:textId="5D49BAA4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5819588E" w14:textId="10908EAF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5F67209E" w14:textId="14BE8C7E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8E2AC9" w14:textId="77777777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125B2FDB" w14:textId="360C34F1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4F47B1F5" w14:textId="627B3AF1" w:rsidR="00327FF0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 – 2018 – Т.209. – №9. – С.142-170.</w:t>
            </w:r>
          </w:p>
        </w:tc>
      </w:tr>
      <w:tr w:rsidR="00F27B39" w:rsidRPr="00B67906" w14:paraId="655EC40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72BAF1D" w14:textId="7238864E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10.31029/demr.9.5</w:t>
            </w:r>
          </w:p>
        </w:tc>
        <w:tc>
          <w:tcPr>
            <w:tcW w:w="919" w:type="dxa"/>
            <w:vAlign w:val="center"/>
          </w:tcPr>
          <w:p w14:paraId="01E9A1F0" w14:textId="77777777" w:rsidR="002C09DC" w:rsidRPr="00F27B39" w:rsidRDefault="002C09DC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7AF622B7" w14:textId="34C9EB3F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4F9EBEF8" w14:textId="415297A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810FDA6" w14:textId="1891556A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EDF7CB4" w14:textId="79AEB1BF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3EBFF675" w14:textId="7E7B7D1A" w:rsidR="002C09D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Шарапудинов И.И. О приближенном решении задачи Коши для системы ОДУ посредством системы $1,\, x,\, \{\frac{\sqrt{2}}{\pi n}\sin(\pi nx)\}_{n=1}^\infty$ // Дагестанские электронные математические известия – 2018 – Вып.9. – С.33-51</w:t>
            </w:r>
          </w:p>
        </w:tc>
      </w:tr>
      <w:tr w:rsidR="00F27B39" w:rsidRPr="00B67906" w14:paraId="62187DAC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F929B4D" w14:textId="4A81EEA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10.31029/demr.9.8</w:t>
            </w:r>
          </w:p>
        </w:tc>
        <w:tc>
          <w:tcPr>
            <w:tcW w:w="919" w:type="dxa"/>
            <w:vAlign w:val="center"/>
          </w:tcPr>
          <w:p w14:paraId="365CCE9C" w14:textId="77777777" w:rsidR="002C09DC" w:rsidRPr="00F27B39" w:rsidRDefault="002C09DC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16F1768" w14:textId="2E745F30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DE1B75D" w14:textId="417489B5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74448AC" w14:textId="2ED3B35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A4B8D0" w14:textId="637403F5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2</w:t>
            </w:r>
            <w:r w:rsidRPr="00F27B39">
              <w:t>, 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3</w:t>
            </w:r>
          </w:p>
        </w:tc>
        <w:tc>
          <w:tcPr>
            <w:tcW w:w="1850" w:type="dxa"/>
            <w:vAlign w:val="center"/>
          </w:tcPr>
          <w:p w14:paraId="1752E499" w14:textId="0F5D0452" w:rsidR="002C09DC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Шарапудинов И.И. О существовании и единственности решений ОДУ с разрывной правой частью и </w:t>
            </w:r>
            <w:r w:rsidRPr="00B91240">
              <w:rPr>
                <w:sz w:val="16"/>
                <w:szCs w:val="16"/>
              </w:rPr>
              <w:lastRenderedPageBreak/>
              <w:t>ортогональных по Соболеву системах функций // Дагестанские электронные математические известия – 2018 – Вып.9. – С.68-75.</w:t>
            </w:r>
          </w:p>
        </w:tc>
      </w:tr>
      <w:tr w:rsidR="00F27B39" w:rsidRPr="00B67906" w14:paraId="3723459C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609A233F" w14:textId="0843E42B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10.31029/demr.9.2</w:t>
            </w:r>
          </w:p>
        </w:tc>
        <w:tc>
          <w:tcPr>
            <w:tcW w:w="919" w:type="dxa"/>
            <w:vMerge w:val="restart"/>
            <w:vAlign w:val="center"/>
          </w:tcPr>
          <w:p w14:paraId="14471A15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06C04437" w14:textId="2F950C94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905A862" w14:textId="7BCE15CE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09196623" w14:textId="587786D6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E6FF879" w14:textId="66947780" w:rsidR="00E144EE" w:rsidRPr="00F27B39" w:rsidRDefault="00A5199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189C16CC" w14:textId="72325112" w:rsidR="00E144EE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Магомед-Касумов М.Г., Магомедов С.Р. Быстрое вычисление линейных комбинаций соболевских функций, порожденных функциями Хаара // Дагестанские электронные математические известия – 2018 – Вып.9. – С.7-14</w:t>
            </w:r>
          </w:p>
        </w:tc>
      </w:tr>
      <w:tr w:rsidR="00F27B39" w:rsidRPr="00B67906" w14:paraId="1731124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5F323FAC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5C186B2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C593302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5068D1F" w14:textId="6A5BA28A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7760BD58" w14:textId="7C7C9F7F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54CC610" w14:textId="71F963A7" w:rsidR="00E144EE" w:rsidRPr="00F27B39" w:rsidRDefault="00A5199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7D573FA2" w14:textId="77777777" w:rsidR="00E144EE" w:rsidRPr="00BF25E1" w:rsidRDefault="00E144EE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20A8A7A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097F5E7" w14:textId="1C274B8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10.31029/demr.10.5</w:t>
            </w:r>
          </w:p>
        </w:tc>
        <w:tc>
          <w:tcPr>
            <w:tcW w:w="919" w:type="dxa"/>
            <w:vMerge w:val="restart"/>
            <w:vAlign w:val="center"/>
          </w:tcPr>
          <w:p w14:paraId="70C18844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4B958161" w14:textId="2ABB963A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19136A3" w14:textId="797EF7E6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AE9E13B" w14:textId="16F921AD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972825A" w14:textId="6E8DABB5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38FFA285" w14:textId="316B0883" w:rsidR="00335EE2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// Дагестанские электронные математические известия – 2018 – Вып.10. – С.50-60</w:t>
            </w:r>
          </w:p>
        </w:tc>
      </w:tr>
      <w:tr w:rsidR="00F27B39" w:rsidRPr="00B67906" w14:paraId="14C8D778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96F5312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ED2B0D5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3D6A64E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CB6F0C1" w14:textId="76960799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513EDD9A" w14:textId="74AE690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3C82D57" w14:textId="6200E3E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61805EFC" w14:textId="77777777" w:rsidR="00335EE2" w:rsidRPr="00BF25E1" w:rsidRDefault="00335EE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FB1A9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4A18D" w14:textId="5EC4D2C8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10.31029/demr.9.6</w:t>
            </w:r>
          </w:p>
        </w:tc>
        <w:tc>
          <w:tcPr>
            <w:tcW w:w="919" w:type="dxa"/>
            <w:vMerge w:val="restart"/>
            <w:vAlign w:val="center"/>
          </w:tcPr>
          <w:p w14:paraId="49466508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2C9EB056" w14:textId="11C4C364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EDF9135" w14:textId="2D476AD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41D28069" w14:textId="1EE50E2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43951409" w14:textId="302AAAA4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2E7995" w14:textId="515127A7" w:rsidR="00BD6087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 xml:space="preserve">Султанахмедов М.С., Шах-Эмиров Т.Н. Алгоритм быстрого дискретного преобразования для сумм Фурье по ортогональным по Соболеву полиномам, порожденным полиномами Чебышева первого рода // </w:t>
            </w:r>
            <w:r w:rsidRPr="00B91240">
              <w:rPr>
                <w:sz w:val="16"/>
                <w:szCs w:val="16"/>
              </w:rPr>
              <w:lastRenderedPageBreak/>
              <w:t>Дагестанские электронные математические известия – 2018 – Вып.9. – С.52-61</w:t>
            </w:r>
          </w:p>
        </w:tc>
      </w:tr>
      <w:tr w:rsidR="00F27B39" w:rsidRPr="00B67906" w14:paraId="525CC93D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A376440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A0DC5D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D6B93BB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30F69D7" w14:textId="27DB309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215C2F27" w14:textId="545D4942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89C109" w14:textId="6FE119A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07BF5642" w14:textId="77777777" w:rsidR="00BD6087" w:rsidRPr="00BF25E1" w:rsidRDefault="00BD608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CB49155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CA109E4" w14:textId="6AAE4D7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10.31029/demr.10.6</w:t>
            </w:r>
          </w:p>
        </w:tc>
        <w:tc>
          <w:tcPr>
            <w:tcW w:w="919" w:type="dxa"/>
            <w:vMerge w:val="restart"/>
            <w:vAlign w:val="center"/>
          </w:tcPr>
          <w:p w14:paraId="59055CC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DC4F5D1" w14:textId="609A0CC0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8171D41" w14:textId="10E81A9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39CA27A5" w14:textId="3351ABF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B5FC766" w14:textId="5F3FD02A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4716175" w14:textId="6E55169B" w:rsidR="00BD6087" w:rsidRPr="00BF25E1" w:rsidRDefault="00B9124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91240">
              <w:rPr>
                <w:sz w:val="16"/>
                <w:szCs w:val="16"/>
              </w:rPr>
              <w:t>Султанахмедов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 – 2018 – Вып.10. – 9 c.</w:t>
            </w:r>
          </w:p>
        </w:tc>
      </w:tr>
      <w:tr w:rsidR="00F27B39" w:rsidRPr="00B67906" w14:paraId="4C04F00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46383CD3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6824769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EFA826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B697B9D" w14:textId="2E21D17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48B819EA" w14:textId="626EC0B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9C704CA" w14:textId="4DE4F710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30FB0F8" w14:textId="77777777" w:rsidR="00BD6087" w:rsidRPr="00BF25E1" w:rsidRDefault="00BD608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63942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4797038" w14:textId="7CB864CC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10.18500/1816-9791-2018-18-1-4-16</w:t>
            </w:r>
          </w:p>
        </w:tc>
        <w:tc>
          <w:tcPr>
            <w:tcW w:w="919" w:type="dxa"/>
            <w:vAlign w:val="center"/>
          </w:tcPr>
          <w:p w14:paraId="71D30435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7556CCD" w14:textId="106EAF0C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3BBE94" w14:textId="1B045647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160AFFE5" w14:textId="013E1D41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F07BCA6" w14:textId="74B82A63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26DCF895" w14:textId="69BC0D3F" w:rsidR="00BD6087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 Аппроксимативные свойства дискретных сумм Фурье для некоторых кусочно-линейных функций // Известия Саратовского университета. Новая серия. Серия Математика. Механика. Информатика – 2018 – Т.18. – Вып.1. – С.4-16.</w:t>
            </w:r>
          </w:p>
        </w:tc>
      </w:tr>
      <w:tr w:rsidR="00F27B39" w:rsidRPr="00B67906" w14:paraId="259FBAB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DB9D2B7" w14:textId="3F7D8367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10.31029/demr.9.1</w:t>
            </w:r>
          </w:p>
        </w:tc>
        <w:tc>
          <w:tcPr>
            <w:tcW w:w="919" w:type="dxa"/>
            <w:vMerge w:val="restart"/>
            <w:vAlign w:val="center"/>
          </w:tcPr>
          <w:p w14:paraId="3CD58D9F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67A6F01D" w14:textId="4D26E846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A568332" w14:textId="066EB297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33F3D5E7" w14:textId="5FC5F710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61D65C" w14:textId="73DB0C16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069604A" w14:textId="0999BB88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Г.Г., Гаджимирзаев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 – 2018 – Вып.9. – С.1-6</w:t>
            </w:r>
          </w:p>
        </w:tc>
      </w:tr>
      <w:tr w:rsidR="00F27B39" w:rsidRPr="00B67906" w14:paraId="34B07B1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BCA00E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0F916747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833BBAD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3B3AE1E" w14:textId="33815D7E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F2B9FAC" w14:textId="48A40118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7995D1B" w14:textId="068EC211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1195A390" w14:textId="77777777" w:rsidR="00A319D3" w:rsidRPr="00BF25E1" w:rsidRDefault="00A319D3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6317CCBD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71700364" w14:textId="463DEC75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10.31029/demr.10.4</w:t>
            </w:r>
          </w:p>
        </w:tc>
        <w:tc>
          <w:tcPr>
            <w:tcW w:w="919" w:type="dxa"/>
            <w:vMerge w:val="restart"/>
            <w:vAlign w:val="center"/>
          </w:tcPr>
          <w:p w14:paraId="713EF6D5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17902B9D" w14:textId="33733953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0E5DE9C" w14:textId="666AEA4F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5D99BF77" w14:textId="2EABCBA4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E532C4B" w14:textId="0FB01E7C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07D720F3" w14:textId="6A1A2F69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Акниев Г.Г., Гаджимирзаев Р.М. Быстрый алгоритм приближенного нахождения решения задачи Коши для ОДУ // Дагестанские электронные математические известия – 2018 – Вып. 10. – С.41-49</w:t>
            </w:r>
          </w:p>
        </w:tc>
      </w:tr>
      <w:tr w:rsidR="00F27B39" w:rsidRPr="00B67906" w14:paraId="044D4E27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3164CEC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991C08B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79460EC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2572210" w14:textId="728E2E98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13C2A1F9" w14:textId="539E7C39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CC7F23" w14:textId="02106C0E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C36259A" w14:textId="77777777" w:rsidR="00A319D3" w:rsidRPr="00BF25E1" w:rsidRDefault="00A319D3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4FEB1B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BBF367" w14:textId="7D882E6E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10.21779/2542-0321-2018-33-4-89-94</w:t>
            </w:r>
          </w:p>
        </w:tc>
        <w:tc>
          <w:tcPr>
            <w:tcW w:w="919" w:type="dxa"/>
            <w:vAlign w:val="center"/>
          </w:tcPr>
          <w:p w14:paraId="597589F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D3A9084" w14:textId="6C6A365B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AC6CBE2" w14:textId="598983C5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57884BDB" w14:textId="0B91089E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2D2F796" w14:textId="2811B032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127105F8" w14:textId="1835FC3B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Меджидов З.Г., Джабраилова Л.М. Восстановление финитной функции в полосе по ее интегралам вдоль гипербол одного семейства // Вестник Дагестанского государственного университета. Серия 1. Естественные науки – 2018 – Т.33. – Вып.4. – С.89-94</w:t>
            </w:r>
          </w:p>
        </w:tc>
      </w:tr>
      <w:tr w:rsidR="00F27B39" w:rsidRPr="00B67906" w14:paraId="66CDC1F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9F4A348" w14:textId="47D91975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10.31029/demr.10.7</w:t>
            </w:r>
          </w:p>
        </w:tc>
        <w:tc>
          <w:tcPr>
            <w:tcW w:w="919" w:type="dxa"/>
            <w:vMerge w:val="restart"/>
            <w:vAlign w:val="center"/>
          </w:tcPr>
          <w:p w14:paraId="0928C6EB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7C63DCF7" w14:textId="6EB27C36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E20E765" w14:textId="40D18D5F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6F59C450" w14:textId="42293E6B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61CD1ADC" w14:textId="6FC5B8E3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 w:val="restart"/>
            <w:vAlign w:val="center"/>
          </w:tcPr>
          <w:p w14:paraId="148C560C" w14:textId="007EB6C3" w:rsidR="000915F1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Меджидов З.Г., Гаммадов Ш.М. Обращение V–преобразования Радона в круге по неполным данным // Дагестанские электронные математические известия – 2018 – Вып. 10. – 8 c.</w:t>
            </w:r>
          </w:p>
        </w:tc>
      </w:tr>
      <w:tr w:rsidR="00F27B39" w:rsidRPr="00B67906" w14:paraId="3624C20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E96A54C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45057E2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9485BEF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7FBA9C6" w14:textId="264D1061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Гаммадов Ш.М.</w:t>
            </w:r>
          </w:p>
        </w:tc>
        <w:tc>
          <w:tcPr>
            <w:tcW w:w="1724" w:type="dxa"/>
            <w:vAlign w:val="center"/>
          </w:tcPr>
          <w:p w14:paraId="0CAD1BDA" w14:textId="757A1AA6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1224AD" w14:textId="0F52CBBD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/>
            <w:vAlign w:val="center"/>
          </w:tcPr>
          <w:p w14:paraId="1B1600AE" w14:textId="77777777" w:rsidR="000915F1" w:rsidRPr="00BF25E1" w:rsidRDefault="000915F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C240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B34E7A1" w14:textId="7054AA32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10.31029/demr.9.9</w:t>
            </w:r>
          </w:p>
        </w:tc>
        <w:tc>
          <w:tcPr>
            <w:tcW w:w="919" w:type="dxa"/>
            <w:vAlign w:val="center"/>
          </w:tcPr>
          <w:p w14:paraId="77A6D7D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B33077" w14:textId="7B123653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33572BA9" w14:textId="5F96675C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А.М.</w:t>
            </w:r>
          </w:p>
        </w:tc>
        <w:tc>
          <w:tcPr>
            <w:tcW w:w="1724" w:type="dxa"/>
            <w:vAlign w:val="center"/>
          </w:tcPr>
          <w:p w14:paraId="3232B17C" w14:textId="280827E3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DCFB9A3" w14:textId="44777EC7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5118905" w14:textId="6348F227" w:rsidR="00A319D3" w:rsidRPr="00BF25E1" w:rsidRDefault="00042BB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BB9">
              <w:rPr>
                <w:sz w:val="16"/>
                <w:szCs w:val="16"/>
              </w:rPr>
              <w:t>Магомедов А.М., Лавренченко С.А. Автоматизация создания тестовых единиц по языку программирования // Дагестанские электронные математические известия – 2018 – Вып.9. – C.76-80</w:t>
            </w:r>
          </w:p>
        </w:tc>
      </w:tr>
      <w:tr w:rsidR="00F27B39" w:rsidRPr="00B67906" w14:paraId="41F365C2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32CD8F4" w14:textId="272EB8C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lastRenderedPageBreak/>
              <w:t>10.18500/1816-9791-2018-18-1-17-24</w:t>
            </w:r>
          </w:p>
        </w:tc>
        <w:tc>
          <w:tcPr>
            <w:tcW w:w="919" w:type="dxa"/>
            <w:vAlign w:val="center"/>
          </w:tcPr>
          <w:p w14:paraId="3A8BCAF4" w14:textId="77777777" w:rsidR="006E0319" w:rsidRPr="00F27B39" w:rsidRDefault="006E0319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FF5C2F7" w14:textId="4672B51B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2454CC8" w14:textId="11D02F2C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79F6056" w14:textId="399AA35A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83F8841" w14:textId="2E3DF04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Align w:val="center"/>
          </w:tcPr>
          <w:p w14:paraId="285AE441" w14:textId="5328E794" w:rsidR="006E0319" w:rsidRPr="00BF25E1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D10B42">
              <w:rPr>
                <w:sz w:val="16"/>
                <w:szCs w:val="16"/>
              </w:rPr>
              <w:t>Гаджимирзаев Р.М. Рекуррентные соотношения для полиномов, ортонормированных по Соболеву, порожденных полиномами Лагерра // Изв. Сарат. ун-та. Нов. сер. Сер. Математика. Механика. Информатика – 2018 – Т.18. – Вып.1. – С.17–24.</w:t>
            </w:r>
          </w:p>
        </w:tc>
      </w:tr>
      <w:tr w:rsidR="00F27B39" w:rsidRPr="00A92768" w14:paraId="5317D3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1939CA4" w14:textId="4B312CF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10.15393/j3.art.2018.4390</w:t>
            </w:r>
          </w:p>
        </w:tc>
        <w:tc>
          <w:tcPr>
            <w:tcW w:w="919" w:type="dxa"/>
            <w:vAlign w:val="center"/>
          </w:tcPr>
          <w:p w14:paraId="06ED1F44" w14:textId="5D67B55D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51D52574" w14:textId="1907F607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790AC45B" w14:textId="61762AFB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D1BC282" w14:textId="0D5BC11E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D01BAFD" w14:textId="4F71E53A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666F3381" w14:textId="6AB23F07" w:rsidR="006E0319" w:rsidRPr="00DA1EF9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D10B42">
              <w:rPr>
                <w:sz w:val="16"/>
                <w:szCs w:val="16"/>
                <w:lang w:val="en-US"/>
              </w:rPr>
              <w:t>Gadzhimirzaev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R.M. Approximative properties of Fourier–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Meixner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sums // 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Проблемы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B42">
              <w:rPr>
                <w:sz w:val="16"/>
                <w:szCs w:val="16"/>
                <w:lang w:val="en-US"/>
              </w:rPr>
              <w:t>анализа</w:t>
            </w:r>
            <w:proofErr w:type="spellEnd"/>
            <w:r w:rsidRPr="00D10B42">
              <w:rPr>
                <w:sz w:val="16"/>
                <w:szCs w:val="16"/>
                <w:lang w:val="en-US"/>
              </w:rPr>
              <w:t>. Issues Anal – 2018 – Т.7(25). – Вып.1. – С.23-40</w:t>
            </w:r>
          </w:p>
        </w:tc>
      </w:tr>
      <w:tr w:rsidR="00F27B39" w:rsidRPr="00B67906" w14:paraId="09480E0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1A9897" w14:textId="23AA6D8A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10.23671/VNC.2018.3.17961</w:t>
            </w:r>
          </w:p>
        </w:tc>
        <w:tc>
          <w:tcPr>
            <w:tcW w:w="919" w:type="dxa"/>
            <w:vAlign w:val="center"/>
          </w:tcPr>
          <w:p w14:paraId="1B5CBBB0" w14:textId="77777777" w:rsidR="00DE3A26" w:rsidRPr="00F27B39" w:rsidRDefault="00DE3A2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F9918D1" w14:textId="4E41DB30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F59E783" w14:textId="4F82ACB5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77136168" w14:textId="632887A6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D8CC44C" w14:textId="24E8DABA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C5378A4" w14:textId="54B624E5" w:rsidR="00DE3A26" w:rsidRPr="00BF25E1" w:rsidRDefault="00D10B4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D10B42">
              <w:rPr>
                <w:sz w:val="16"/>
                <w:szCs w:val="16"/>
              </w:rPr>
              <w:t>Гаджимирзаев Р.М. Аппроксимативные свойства специальных рядов по полиномам Мейкснера // Владикавк. мат. журн. – 2018 – Т.20. – Вып.3. – С.21-36</w:t>
            </w:r>
          </w:p>
        </w:tc>
      </w:tr>
      <w:tr w:rsidR="00F27B39" w:rsidRPr="00B67906" w14:paraId="619AFB74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1D6390C" w14:textId="50DBBF9E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10.31029/demr.9.4</w:t>
            </w:r>
          </w:p>
        </w:tc>
        <w:tc>
          <w:tcPr>
            <w:tcW w:w="919" w:type="dxa"/>
            <w:vAlign w:val="center"/>
          </w:tcPr>
          <w:p w14:paraId="72575D12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C9A61F8" w14:textId="1952F57B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69AD2642" w14:textId="491F38AF" w:rsidR="00160DC1" w:rsidRPr="00F27B39" w:rsidRDefault="00DD23E2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2A1908A" w14:textId="1EA0246F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B32BA72" w14:textId="70D49B53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427B015" w14:textId="6BCB2BCC" w:rsidR="00160DC1" w:rsidRPr="00BF25E1" w:rsidRDefault="002B1D3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2B1D36">
              <w:rPr>
                <w:sz w:val="16"/>
                <w:szCs w:val="16"/>
              </w:rPr>
              <w:t>Рамазанов М.К., Муртазаев А.К.</w:t>
            </w:r>
            <w:r>
              <w:rPr>
                <w:sz w:val="16"/>
                <w:szCs w:val="16"/>
              </w:rPr>
              <w:t xml:space="preserve"> </w:t>
            </w:r>
            <w:r w:rsidRPr="002B1D36">
              <w:rPr>
                <w:sz w:val="16"/>
                <w:szCs w:val="16"/>
              </w:rPr>
              <w:t>Компьютерное моделирование критических свойств фрустрированной модели Изинга</w:t>
            </w:r>
            <w:r>
              <w:rPr>
                <w:sz w:val="16"/>
                <w:szCs w:val="16"/>
              </w:rPr>
              <w:t xml:space="preserve"> // </w:t>
            </w:r>
            <w:r w:rsidRPr="002B1D36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</w:t>
            </w:r>
            <w:r w:rsidRPr="002B1D36">
              <w:rPr>
                <w:sz w:val="16"/>
                <w:szCs w:val="16"/>
              </w:rPr>
              <w:t>Вып.9. С.26-32</w:t>
            </w:r>
          </w:p>
        </w:tc>
      </w:tr>
      <w:tr w:rsidR="00F27B39" w:rsidRPr="00B67906" w14:paraId="0D531E6B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1AD8B94" w14:textId="03863CFC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10.21779/2542-0321-2018-33-2-45-50</w:t>
            </w:r>
          </w:p>
        </w:tc>
        <w:tc>
          <w:tcPr>
            <w:tcW w:w="919" w:type="dxa"/>
            <w:vAlign w:val="center"/>
          </w:tcPr>
          <w:p w14:paraId="49D05899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8E3C963" w14:textId="4FDE4FFC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4</w:t>
            </w:r>
          </w:p>
        </w:tc>
        <w:tc>
          <w:tcPr>
            <w:tcW w:w="2835" w:type="dxa"/>
            <w:vAlign w:val="center"/>
          </w:tcPr>
          <w:p w14:paraId="35B1B2B5" w14:textId="4A656DCC" w:rsidR="00160DC1" w:rsidRPr="00F27B39" w:rsidRDefault="00DD23E2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7D219820" w14:textId="69472357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0CD603AE" w14:textId="56204E8D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957EE06" w14:textId="396B6D16" w:rsidR="00160DC1" w:rsidRPr="00BF25E1" w:rsidRDefault="00B77AA4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77AA4">
              <w:rPr>
                <w:sz w:val="16"/>
                <w:szCs w:val="16"/>
              </w:rPr>
              <w:t>Муртазаев А.К., Рамазанов М.К., Бадиев М.К., Муртазаев К.Ш.</w:t>
            </w:r>
            <w:r>
              <w:rPr>
                <w:sz w:val="16"/>
                <w:szCs w:val="16"/>
              </w:rPr>
              <w:t xml:space="preserve"> </w:t>
            </w:r>
            <w:r w:rsidRPr="00B77AA4">
              <w:rPr>
                <w:sz w:val="16"/>
                <w:szCs w:val="16"/>
              </w:rPr>
              <w:t xml:space="preserve">Исследование фазовых переходов в </w:t>
            </w:r>
            <w:r w:rsidRPr="00B77AA4">
              <w:rPr>
                <w:sz w:val="16"/>
                <w:szCs w:val="16"/>
              </w:rPr>
              <w:lastRenderedPageBreak/>
              <w:t xml:space="preserve">трехмерной модели Изинга на треугольной решетке </w:t>
            </w:r>
            <w:r>
              <w:rPr>
                <w:sz w:val="16"/>
                <w:szCs w:val="16"/>
              </w:rPr>
              <w:t xml:space="preserve">// </w:t>
            </w:r>
            <w:r w:rsidRPr="00B77AA4">
              <w:rPr>
                <w:sz w:val="16"/>
                <w:szCs w:val="16"/>
              </w:rPr>
              <w:t>Вестник Дагестанского государственного университета. Серия 1. Естественные науки</w:t>
            </w:r>
            <w:r>
              <w:rPr>
                <w:sz w:val="16"/>
                <w:szCs w:val="16"/>
              </w:rPr>
              <w:t xml:space="preserve">. 2018. </w:t>
            </w:r>
            <w:r w:rsidRPr="00B77AA4">
              <w:rPr>
                <w:sz w:val="16"/>
                <w:szCs w:val="16"/>
              </w:rPr>
              <w:t>Т.33. Вып.2. С.45-50</w:t>
            </w:r>
          </w:p>
        </w:tc>
      </w:tr>
      <w:tr w:rsidR="00F27B39" w:rsidRPr="00B67906" w14:paraId="74030A9E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8C2B83A" w14:textId="3970E7AD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lastRenderedPageBreak/>
              <w:t>10.21883/FTT.2018.09.46401.059</w:t>
            </w:r>
          </w:p>
        </w:tc>
        <w:tc>
          <w:tcPr>
            <w:tcW w:w="919" w:type="dxa"/>
            <w:vMerge w:val="restart"/>
            <w:vAlign w:val="center"/>
          </w:tcPr>
          <w:p w14:paraId="71225C3D" w14:textId="69D17513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Q</w:t>
            </w:r>
            <w:r w:rsidRPr="00F27B39">
              <w:rPr>
                <w:lang w:val="en-US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14:paraId="4E3981D3" w14:textId="238541AE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0F366AA0" w14:textId="0B3FF407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5A52FFA" w14:textId="0A8A9E9C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2E57F9" w14:textId="3D1D1AC1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 w:val="restart"/>
            <w:vAlign w:val="center"/>
          </w:tcPr>
          <w:p w14:paraId="15F1B03E" w14:textId="045CD006" w:rsidR="00AE6549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Муртазаев А.К., Рамазанов М.К., Магомедов М.А., Курбанова Д.Р. Исследование термодинамических свойств модели Изинга на объемно-центрированной кубической решетке с конкурирующими обменными взаимодействиями // Физика твердого тела. – 2018 – Т.60. – Вып.9. – С.1798-1802</w:t>
            </w:r>
          </w:p>
        </w:tc>
      </w:tr>
      <w:tr w:rsidR="00F27B39" w:rsidRPr="00B67906" w14:paraId="789DA96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3BB5645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34E96D1C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A0B8F0E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87BFBA8" w14:textId="4DD416FB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7722157" w14:textId="02F37C8D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075E11F" w14:textId="20983735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354A25EC" w14:textId="77777777" w:rsidR="00AE6549" w:rsidRPr="00BF25E1" w:rsidRDefault="00AE654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3E9B70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3787FA7" w14:textId="6AB4C185" w:rsidR="00160DC1" w:rsidRPr="00F27B39" w:rsidRDefault="00AE6549" w:rsidP="005A3B6E">
            <w:pPr>
              <w:pStyle w:val="a3"/>
              <w:ind w:left="0"/>
              <w:jc w:val="center"/>
            </w:pPr>
            <w:r w:rsidRPr="00F27B39">
              <w:t>10.21779/2542-0321-2018-33-2-40-44</w:t>
            </w:r>
          </w:p>
        </w:tc>
        <w:tc>
          <w:tcPr>
            <w:tcW w:w="919" w:type="dxa"/>
            <w:vAlign w:val="center"/>
          </w:tcPr>
          <w:p w14:paraId="50C5FC2A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67B092" w14:textId="6804ACC4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2EDBEA8" w14:textId="1F38FB12" w:rsidR="00160DC1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55B82944" w14:textId="1664C322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51407AC" w14:textId="1BB142F0" w:rsidR="00160DC1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C770F87" w14:textId="4FFBA7AF" w:rsidR="00160DC1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Бабаев А.Б., Муртазаев А.К., Атаева Г.Я. Термодинамические и критические свойства сильно разбавленной низкоразмерной антиферромагнитной модели Поттса на треугольной решетке // Вестник Дагестанского государственного университета. Серия 1. Естественные науки – 2018 – Т.33. – №2. – С.40-44</w:t>
            </w:r>
          </w:p>
        </w:tc>
      </w:tr>
      <w:tr w:rsidR="00F27B39" w:rsidRPr="00B67906" w14:paraId="23568A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C43629A" w14:textId="2C8F1F93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10.31857/S023408790001936-3</w:t>
            </w:r>
          </w:p>
        </w:tc>
        <w:tc>
          <w:tcPr>
            <w:tcW w:w="919" w:type="dxa"/>
            <w:vAlign w:val="center"/>
          </w:tcPr>
          <w:p w14:paraId="702AB0FE" w14:textId="1E025083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30D4F4A3" w14:textId="09BB091F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74B9EE7F" w14:textId="5855F769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1BFF83D0" w14:textId="36AC1617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347077D6" w14:textId="1E0F2D94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59B22C33" w14:textId="037238DA" w:rsidR="00AE6549" w:rsidRPr="00AC4EAE" w:rsidRDefault="00A92768" w:rsidP="005A3B6E">
            <w:pPr>
              <w:pStyle w:val="a3"/>
              <w:ind w:left="0"/>
              <w:jc w:val="center"/>
            </w:pPr>
            <w:r w:rsidRPr="00A92768">
              <w:rPr>
                <w:sz w:val="16"/>
                <w:szCs w:val="16"/>
              </w:rPr>
              <w:t xml:space="preserve">Муртазаев А.К., Бабаев А.Б. Расчет относительных дисперсий намагниченности и восприимчивости в неупорядоченной модели Изинга. </w:t>
            </w:r>
            <w:r w:rsidRPr="00A92768">
              <w:rPr>
                <w:sz w:val="16"/>
                <w:szCs w:val="16"/>
              </w:rPr>
              <w:lastRenderedPageBreak/>
              <w:t>Результаты компьютерного моделирования // Математическое моделирование. – 2018. – №12. – С.55-62</w:t>
            </w:r>
          </w:p>
        </w:tc>
      </w:tr>
      <w:tr w:rsidR="00F27B39" w:rsidRPr="00B67906" w14:paraId="078F8B1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9FCDEA9" w14:textId="727D74AD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lastRenderedPageBreak/>
              <w:t>10.21779/2542-0321-2018-33-1-57-66</w:t>
            </w:r>
          </w:p>
        </w:tc>
        <w:tc>
          <w:tcPr>
            <w:tcW w:w="919" w:type="dxa"/>
            <w:vAlign w:val="center"/>
          </w:tcPr>
          <w:p w14:paraId="04F6E3B9" w14:textId="77777777" w:rsidR="0047642B" w:rsidRPr="00F27B39" w:rsidRDefault="0047642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E8ADA05" w14:textId="33F7FF3B" w:rsidR="0047642B" w:rsidRPr="00F27B39" w:rsidRDefault="0047642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7FDAB2ED" w14:textId="2DAF2A56" w:rsidR="0047642B" w:rsidRPr="00F27B39" w:rsidRDefault="0047642B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040F2862" w14:textId="080EB2A0" w:rsidR="0047642B" w:rsidRPr="00F27B39" w:rsidRDefault="0047642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548CFBDC" w14:textId="4642B460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FA712F8" w14:textId="6FB81107" w:rsidR="0047642B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Магомедов М.А., Муртазаев А.К., Магомедова Л.К., Исаева М.М. Фазовая диаграмма и структура основного состояния модели Изинга на решетке Кагоме // Вестник Дагестанского государственного университета. Серия 1. Естественные науки – 2018 – Т.33. – Вып.1. – С.57-66.</w:t>
            </w:r>
          </w:p>
        </w:tc>
      </w:tr>
      <w:tr w:rsidR="00F27B39" w:rsidRPr="00B67906" w14:paraId="07A3422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8D7A06A" w14:textId="44B7A353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10.31029/demr.9.3</w:t>
            </w:r>
          </w:p>
        </w:tc>
        <w:tc>
          <w:tcPr>
            <w:tcW w:w="919" w:type="dxa"/>
            <w:vAlign w:val="center"/>
          </w:tcPr>
          <w:p w14:paraId="7331B8AE" w14:textId="77777777" w:rsidR="0047642B" w:rsidRPr="00F27B39" w:rsidRDefault="0047642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586D190" w14:textId="45D8D4CB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30225FF3" w14:textId="2A68471D" w:rsidR="0047642B" w:rsidRPr="00F27B39" w:rsidRDefault="0047642B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1C7B090" w14:textId="6817F8FB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54CD627F" w14:textId="3DE06B41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6488856" w14:textId="6B4C7882" w:rsidR="0047642B" w:rsidRPr="00BF25E1" w:rsidRDefault="00A92768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92768">
              <w:rPr>
                <w:sz w:val="16"/>
                <w:szCs w:val="16"/>
              </w:rPr>
              <w:t>Магомедов М.А., Муртазаев А.К., Магомедова Л.К., Исаева М.М. Исследование модели Поттса с q=3 на треугольной решетке алгоритмом Ванга-Ландау // Дагестанские электронные математические известия – 2018 – Вып.9. – С.15-25</w:t>
            </w:r>
          </w:p>
        </w:tc>
      </w:tr>
      <w:tr w:rsidR="00F27B39" w:rsidRPr="00B67906" w14:paraId="42547F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095D38C" w14:textId="04A8B97E" w:rsidR="00D13BDF" w:rsidRPr="00D13BDF" w:rsidRDefault="00D13BDF" w:rsidP="005A3B6E">
            <w:pPr>
              <w:pStyle w:val="a3"/>
              <w:ind w:left="0"/>
              <w:jc w:val="center"/>
            </w:pPr>
            <w:r w:rsidRPr="00F27B39">
              <w:t>Статья доступна</w:t>
            </w:r>
            <w:r w:rsidRPr="00D13BDF">
              <w:t>:</w:t>
            </w:r>
          </w:p>
          <w:p w14:paraId="1D2DB620" w14:textId="46509E41" w:rsidR="00590AFA" w:rsidRPr="00D13BDF" w:rsidRDefault="007636BD" w:rsidP="005A3B6E">
            <w:pPr>
              <w:pStyle w:val="a3"/>
              <w:ind w:left="0"/>
              <w:jc w:val="center"/>
            </w:pPr>
            <w:hyperlink r:id="rId5" w:history="1">
              <w:r w:rsidR="00D13BDF" w:rsidRPr="00F17E24">
                <w:rPr>
                  <w:rStyle w:val="a6"/>
                </w:rPr>
                <w:t>https://elibrary.ru/item.asp?id=36312898</w:t>
              </w:r>
            </w:hyperlink>
            <w:r w:rsidR="00D13BDF" w:rsidRPr="00D13BDF">
              <w:t xml:space="preserve"> </w:t>
            </w:r>
          </w:p>
        </w:tc>
        <w:tc>
          <w:tcPr>
            <w:tcW w:w="919" w:type="dxa"/>
            <w:vAlign w:val="center"/>
          </w:tcPr>
          <w:p w14:paraId="7DB0A8F0" w14:textId="19291DD6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7D4DEBAE" w14:textId="01739252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1577304" w14:textId="49C1101B" w:rsidR="00590AFA" w:rsidRPr="00F27B39" w:rsidRDefault="00590AFA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02E41D39" w14:textId="0E93BE1E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0441D31A" w14:textId="48904411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C4C332F" w14:textId="75CEDD4D" w:rsidR="005A3B6E" w:rsidRPr="00F27B39" w:rsidRDefault="005A3B6E" w:rsidP="00D13BDF">
            <w:pPr>
              <w:pStyle w:val="a3"/>
              <w:ind w:left="0"/>
              <w:jc w:val="center"/>
            </w:pPr>
            <w:r w:rsidRPr="00F27B39">
              <w:t xml:space="preserve">Номер ещё не вышел в свет. </w:t>
            </w:r>
          </w:p>
        </w:tc>
      </w:tr>
    </w:tbl>
    <w:p w14:paraId="1007BBBE" w14:textId="77777777" w:rsidR="005A3B6E" w:rsidRDefault="005A3B6E" w:rsidP="00151C56">
      <w:pPr>
        <w:ind w:left="9912"/>
        <w:jc w:val="both"/>
        <w:rPr>
          <w:sz w:val="28"/>
        </w:rPr>
      </w:pPr>
    </w:p>
    <w:p w14:paraId="3C70E86C" w14:textId="1DD40060" w:rsidR="00151C56" w:rsidRPr="00151C56" w:rsidRDefault="005A3B6E" w:rsidP="00D13BD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  <w:r w:rsidR="00151C56">
        <w:rPr>
          <w:sz w:val="28"/>
        </w:rPr>
        <w:lastRenderedPageBreak/>
        <w:t>Приложение 2</w:t>
      </w:r>
    </w:p>
    <w:p w14:paraId="52913892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283421DE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303F98B" w14:textId="77777777" w:rsidR="00151C56" w:rsidRDefault="00151C56" w:rsidP="00151C56">
      <w:pPr>
        <w:jc w:val="both"/>
        <w:rPr>
          <w:sz w:val="28"/>
        </w:rPr>
      </w:pPr>
    </w:p>
    <w:p w14:paraId="7A8936AA" w14:textId="77777777" w:rsidR="00151C56" w:rsidRDefault="00151C56" w:rsidP="00151C56">
      <w:pPr>
        <w:jc w:val="center"/>
        <w:rPr>
          <w:b/>
          <w:sz w:val="28"/>
        </w:rPr>
      </w:pPr>
      <w:r w:rsidRPr="00654BDD">
        <w:rPr>
          <w:b/>
          <w:sz w:val="28"/>
        </w:rPr>
        <w:t>Информация о научно-исследовательских работах</w:t>
      </w:r>
    </w:p>
    <w:p w14:paraId="7D030A9F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78BB6121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16476" wp14:editId="56C7B1C5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C0CE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+a4wEAANk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478A3A6E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701"/>
        <w:gridCol w:w="5529"/>
        <w:gridCol w:w="1275"/>
        <w:gridCol w:w="1418"/>
        <w:gridCol w:w="1147"/>
      </w:tblGrid>
      <w:tr w:rsidR="00151C56" w:rsidRPr="00C163A9" w14:paraId="6C4B1CD6" w14:textId="77777777" w:rsidTr="00C95FE1">
        <w:tc>
          <w:tcPr>
            <w:tcW w:w="1101" w:type="dxa"/>
          </w:tcPr>
          <w:p w14:paraId="1CF06927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Уникальный номер темы в Информационной системе</w:t>
            </w:r>
          </w:p>
        </w:tc>
        <w:tc>
          <w:tcPr>
            <w:tcW w:w="2409" w:type="dxa"/>
          </w:tcPr>
          <w:p w14:paraId="4DFEB2D1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Название темы</w:t>
            </w:r>
          </w:p>
        </w:tc>
        <w:tc>
          <w:tcPr>
            <w:tcW w:w="1701" w:type="dxa"/>
          </w:tcPr>
          <w:p w14:paraId="3F1ED7D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направления Программы фундаментальных научных исследований государственных академий наук на 2013-2020 годы</w:t>
            </w:r>
          </w:p>
        </w:tc>
        <w:tc>
          <w:tcPr>
            <w:tcW w:w="5529" w:type="dxa"/>
          </w:tcPr>
          <w:p w14:paraId="1D4C0E4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Описание результатов выполнения научной работы</w:t>
            </w:r>
          </w:p>
        </w:tc>
        <w:tc>
          <w:tcPr>
            <w:tcW w:w="1275" w:type="dxa"/>
          </w:tcPr>
          <w:p w14:paraId="09CBACB5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Наименования организаций с государственным участием, совместно реализующих результат выполнения научных работ</w:t>
            </w:r>
          </w:p>
        </w:tc>
        <w:tc>
          <w:tcPr>
            <w:tcW w:w="1418" w:type="dxa"/>
          </w:tcPr>
          <w:p w14:paraId="65AD4E1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институтов инновационного развития, предоставивших поддержку для достижения результатов выполнения научных работ</w:t>
            </w:r>
          </w:p>
        </w:tc>
        <w:tc>
          <w:tcPr>
            <w:tcW w:w="1147" w:type="dxa"/>
          </w:tcPr>
          <w:p w14:paraId="449A3E0C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Источник финансирования научной работы (средства федерального бюджета/гранты фондов/иные источники финансирования)</w:t>
            </w:r>
          </w:p>
        </w:tc>
      </w:tr>
      <w:tr w:rsidR="00151C56" w:rsidRPr="00C163A9" w14:paraId="09F37472" w14:textId="77777777" w:rsidTr="00DD23E2">
        <w:tc>
          <w:tcPr>
            <w:tcW w:w="14580" w:type="dxa"/>
            <w:gridSpan w:val="7"/>
          </w:tcPr>
          <w:p w14:paraId="2C8F210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Наиболее важные результаты</w:t>
            </w:r>
          </w:p>
        </w:tc>
      </w:tr>
      <w:tr w:rsidR="00C95FE1" w:rsidRPr="00C163A9" w14:paraId="3EF89565" w14:textId="77777777" w:rsidTr="00C95FE1">
        <w:tc>
          <w:tcPr>
            <w:tcW w:w="1101" w:type="dxa"/>
          </w:tcPr>
          <w:p w14:paraId="45D918B7" w14:textId="6D323D9D" w:rsidR="00C95FE1" w:rsidRDefault="00C95FE1" w:rsidP="00DD23E2">
            <w:pPr>
              <w:jc w:val="center"/>
              <w:rPr>
                <w:szCs w:val="28"/>
              </w:rPr>
            </w:pPr>
            <w:r>
              <w:rPr>
                <w:b/>
              </w:rPr>
              <w:t>0202-2017-0001</w:t>
            </w:r>
          </w:p>
        </w:tc>
        <w:tc>
          <w:tcPr>
            <w:tcW w:w="2409" w:type="dxa"/>
          </w:tcPr>
          <w:p w14:paraId="349609A2" w14:textId="2E722AA5" w:rsidR="00C95FE1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 xml:space="preserve">Разработка алгоритмов и создание наукоемкого </w:t>
            </w:r>
            <w:r w:rsidRPr="00C95FE1">
              <w:rPr>
                <w:szCs w:val="28"/>
              </w:rPr>
              <w:lastRenderedPageBreak/>
              <w:t>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      </w:r>
          </w:p>
        </w:tc>
        <w:tc>
          <w:tcPr>
            <w:tcW w:w="1701" w:type="dxa"/>
          </w:tcPr>
          <w:p w14:paraId="7AFC6DEE" w14:textId="77777777" w:rsidR="00C95FE1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37BA4CE3" w14:textId="31DE56C9" w:rsidR="002C5C5A" w:rsidRPr="002C5C5A" w:rsidRDefault="002C5C5A" w:rsidP="002C5C5A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>1. Рассмотрена задача о численной реализации итерационного процесса для решения задачи Коши для ОДУ с использованием ортогональных по Соболеву функций,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порожденных косинусами, </w:t>
            </w:r>
            <w:r w:rsidRPr="002C5C5A">
              <w:rPr>
                <w:szCs w:val="28"/>
              </w:rPr>
              <w:lastRenderedPageBreak/>
              <w:t>функциями Хаара и полиномами Чебышева первого рода.</w:t>
            </w:r>
          </w:p>
          <w:p w14:paraId="22EDFFEB" w14:textId="365389B7" w:rsidR="002C5C5A" w:rsidRPr="002C5C5A" w:rsidRDefault="002C5C5A" w:rsidP="002C5C5A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>Составлены алгоритмы, реализующие указанный итерационный процесс с применением быстрых преобразований. Разработаны программы и проведен ряд численных экспериментов, которые показывают, что ряды Фурье по порождённым функциям являются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удобным инструментом для решения дифференциальных уравнений.</w:t>
            </w:r>
          </w:p>
          <w:p w14:paraId="4B2F09DB" w14:textId="7302BD8E" w:rsidR="002C5C5A" w:rsidRPr="002C5C5A" w:rsidRDefault="002C5C5A" w:rsidP="002C5C5A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>2. В связи с задачей существования двудольных графов заданного порядка, не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допускающих интервальной реберной раскраски, обнаружены способы усиления фильтрации изоморфных графов. Разработан алгоритм для перечисления разбиений прямоугольника с использованием лишь операции над целыми числами.</w:t>
            </w:r>
          </w:p>
          <w:p w14:paraId="30B0406A" w14:textId="6DCF3C24" w:rsidR="002C5C5A" w:rsidRPr="002C5C5A" w:rsidRDefault="002C5C5A" w:rsidP="002C5C5A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>3. Предложен новый алгоритм автоматизированного компьютерного формирования тестовых заданий по основам программирования. Разработаны задания, тесты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и программное обеспечение для межрегиональной олимпиады по программированию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>среди вузов СКФО (участие приняли 34 команды).</w:t>
            </w:r>
          </w:p>
          <w:p w14:paraId="41123ABF" w14:textId="2AC6384E" w:rsidR="00C95FE1" w:rsidRPr="00C163A9" w:rsidRDefault="002C5C5A" w:rsidP="002C5C5A">
            <w:pPr>
              <w:jc w:val="both"/>
              <w:rPr>
                <w:szCs w:val="28"/>
              </w:rPr>
            </w:pPr>
            <w:r w:rsidRPr="002C5C5A">
              <w:rPr>
                <w:szCs w:val="28"/>
              </w:rPr>
              <w:t xml:space="preserve">4. Получены новые результаты в области математического моделирования сложных физических систем: выполнены исследования магнитных структур основного состояния и термодинамических свойств антиферромагнитной модели </w:t>
            </w:r>
            <w:proofErr w:type="spellStart"/>
            <w:r w:rsidRPr="002C5C5A">
              <w:rPr>
                <w:szCs w:val="28"/>
              </w:rPr>
              <w:t>Изинга</w:t>
            </w:r>
            <w:proofErr w:type="spellEnd"/>
            <w:r w:rsidRPr="002C5C5A">
              <w:rPr>
                <w:szCs w:val="28"/>
              </w:rPr>
              <w:t xml:space="preserve"> на </w:t>
            </w:r>
            <w:proofErr w:type="spellStart"/>
            <w:r w:rsidRPr="002C5C5A">
              <w:rPr>
                <w:szCs w:val="28"/>
              </w:rPr>
              <w:t>объёмноцентрированной</w:t>
            </w:r>
            <w:proofErr w:type="spellEnd"/>
            <w:r w:rsidRPr="002C5C5A">
              <w:rPr>
                <w:szCs w:val="28"/>
              </w:rPr>
              <w:t xml:space="preserve"> кубической решетке с конкурирующими обменными взаимодействиями; на основе метода Монте-Карло рассчитаны относительные дисперсии намагниченности и восприимчивости в </w:t>
            </w:r>
            <w:r w:rsidRPr="002C5C5A">
              <w:rPr>
                <w:szCs w:val="28"/>
              </w:rPr>
              <w:lastRenderedPageBreak/>
              <w:t>трёхмерной неупорядоченной спиновой решеточной модели</w:t>
            </w:r>
            <w:r>
              <w:rPr>
                <w:szCs w:val="28"/>
              </w:rPr>
              <w:t xml:space="preserve"> </w:t>
            </w:r>
            <w:proofErr w:type="spellStart"/>
            <w:r w:rsidRPr="002C5C5A">
              <w:rPr>
                <w:szCs w:val="28"/>
              </w:rPr>
              <w:t>Изинга</w:t>
            </w:r>
            <w:proofErr w:type="spellEnd"/>
            <w:r w:rsidRPr="002C5C5A">
              <w:rPr>
                <w:szCs w:val="28"/>
              </w:rPr>
              <w:t xml:space="preserve"> в зависимости от концентрации спинов; методом </w:t>
            </w:r>
            <w:proofErr w:type="spellStart"/>
            <w:r w:rsidRPr="002C5C5A">
              <w:rPr>
                <w:szCs w:val="28"/>
              </w:rPr>
              <w:t>Ванга</w:t>
            </w:r>
            <w:proofErr w:type="spellEnd"/>
            <w:r w:rsidRPr="002C5C5A">
              <w:rPr>
                <w:szCs w:val="28"/>
              </w:rPr>
              <w:t xml:space="preserve"> – Ландау исследована</w:t>
            </w:r>
            <w:r>
              <w:rPr>
                <w:szCs w:val="28"/>
              </w:rPr>
              <w:t xml:space="preserve"> </w:t>
            </w:r>
            <w:r w:rsidRPr="002C5C5A">
              <w:rPr>
                <w:szCs w:val="28"/>
              </w:rPr>
              <w:t xml:space="preserve">модель </w:t>
            </w:r>
            <w:proofErr w:type="spellStart"/>
            <w:r w:rsidRPr="002C5C5A">
              <w:rPr>
                <w:szCs w:val="28"/>
              </w:rPr>
              <w:t>Поттса</w:t>
            </w:r>
            <w:proofErr w:type="spellEnd"/>
            <w:r w:rsidRPr="002C5C5A">
              <w:rPr>
                <w:szCs w:val="28"/>
              </w:rPr>
              <w:t xml:space="preserve"> с числом состояний на треугольной решётке с учётом обменного взаимо</w:t>
            </w:r>
            <w:bookmarkStart w:id="0" w:name="_GoBack"/>
            <w:bookmarkEnd w:id="0"/>
            <w:r w:rsidRPr="002C5C5A">
              <w:rPr>
                <w:szCs w:val="28"/>
              </w:rPr>
              <w:t>действия между первыми и вторыми ближайшими соседями.</w:t>
            </w:r>
          </w:p>
        </w:tc>
        <w:tc>
          <w:tcPr>
            <w:tcW w:w="1275" w:type="dxa"/>
          </w:tcPr>
          <w:p w14:paraId="736491D1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743AF65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150A15F2" w14:textId="77777777" w:rsidR="00C95FE1" w:rsidRDefault="00C95FE1" w:rsidP="00DD23E2">
            <w:pPr>
              <w:jc w:val="center"/>
              <w:rPr>
                <w:szCs w:val="28"/>
              </w:rPr>
            </w:pPr>
          </w:p>
        </w:tc>
      </w:tr>
      <w:tr w:rsidR="00151C56" w:rsidRPr="00C163A9" w14:paraId="49424DA7" w14:textId="77777777" w:rsidTr="00C95FE1">
        <w:tc>
          <w:tcPr>
            <w:tcW w:w="1101" w:type="dxa"/>
          </w:tcPr>
          <w:p w14:paraId="5BC6FDE6" w14:textId="3B950DB8" w:rsidR="00151C56" w:rsidRPr="00C95FE1" w:rsidRDefault="00C95FE1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lastRenderedPageBreak/>
              <w:t>0202-2017-000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2409" w:type="dxa"/>
          </w:tcPr>
          <w:p w14:paraId="7C073B24" w14:textId="5515FC0E" w:rsidR="00151C56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 xml:space="preserve">Асимптотические методы усреднения </w:t>
            </w:r>
            <w:proofErr w:type="spellStart"/>
            <w:r w:rsidRPr="00C95FE1">
              <w:rPr>
                <w:szCs w:val="28"/>
              </w:rPr>
              <w:t>недивергентных</w:t>
            </w:r>
            <w:proofErr w:type="spellEnd"/>
            <w:r w:rsidRPr="00C95FE1">
              <w:rPr>
                <w:szCs w:val="28"/>
              </w:rPr>
              <w:t xml:space="preserve">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</w:t>
            </w:r>
            <w:r w:rsidRPr="00C95FE1">
              <w:rPr>
                <w:szCs w:val="28"/>
              </w:rPr>
              <w:lastRenderedPageBreak/>
              <w:t>p(x)-лапласианом. Лучевое преобразование векторных и тензорных полей и некоторые его обобщения</w:t>
            </w:r>
          </w:p>
        </w:tc>
        <w:tc>
          <w:tcPr>
            <w:tcW w:w="1701" w:type="dxa"/>
          </w:tcPr>
          <w:p w14:paraId="3C74C512" w14:textId="3B217BC3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58157BA3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1. А</w:t>
            </w:r>
            <w:r w:rsidRPr="006D5B73">
              <w:rPr>
                <w:szCs w:val="28"/>
              </w:rPr>
              <w:t>симптотическими методами получены оценки погрешности усреднения периодической задачи для уравнения Бельтрами,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 xml:space="preserve">с 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-периодическим коэффициентом, где 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 — малый параметр. </w:t>
            </w:r>
          </w:p>
          <w:p w14:paraId="4AA4FF30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2. </w:t>
            </w:r>
            <w:r w:rsidRPr="006D5B73">
              <w:rPr>
                <w:szCs w:val="28"/>
              </w:rPr>
              <w:t xml:space="preserve">Получены оценки погрешности усреднения задачи Дирихле для </w:t>
            </w:r>
            <w:proofErr w:type="spellStart"/>
            <w:r w:rsidRPr="006D5B73">
              <w:rPr>
                <w:szCs w:val="28"/>
              </w:rPr>
              <w:t>недивергентных</w:t>
            </w:r>
            <w:proofErr w:type="spellEnd"/>
            <w:r w:rsidRPr="006D5B73">
              <w:rPr>
                <w:szCs w:val="28"/>
              </w:rPr>
              <w:t xml:space="preserve"> эллиптических операторов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 xml:space="preserve">второго порядка, удовлетворяющих условию </w:t>
            </w:r>
            <w:proofErr w:type="spellStart"/>
            <w:r w:rsidRPr="006D5B73">
              <w:rPr>
                <w:szCs w:val="28"/>
              </w:rPr>
              <w:t>Кордеса</w:t>
            </w:r>
            <w:proofErr w:type="spellEnd"/>
            <w:r w:rsidRPr="006D5B73">
              <w:rPr>
                <w:szCs w:val="28"/>
              </w:rPr>
              <w:t xml:space="preserve"> на разброс собственных значений матрицы коэффициентов (</w:t>
            </w:r>
            <w:r w:rsidRPr="006D5B73">
              <w:rPr>
                <w:rFonts w:ascii="Cambria Math" w:hAnsi="Cambria Math" w:cs="Cambria Math"/>
                <w:szCs w:val="28"/>
              </w:rPr>
              <w:t>𝜀</w:t>
            </w:r>
            <w:r w:rsidRPr="006D5B73">
              <w:rPr>
                <w:szCs w:val="28"/>
              </w:rPr>
              <w:t xml:space="preserve">-периодические функции). </w:t>
            </w:r>
          </w:p>
          <w:p w14:paraId="6A133B08" w14:textId="77777777" w:rsidR="00151C56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3. В</w:t>
            </w:r>
            <w:r w:rsidRPr="006D5B73">
              <w:rPr>
                <w:szCs w:val="28"/>
              </w:rPr>
              <w:t xml:space="preserve">ыделены </w:t>
            </w:r>
            <w:r w:rsidRPr="006D5B73">
              <w:rPr>
                <w:rFonts w:ascii="Cambria Math" w:hAnsi="Cambria Math" w:cs="Cambria Math"/>
                <w:szCs w:val="28"/>
              </w:rPr>
              <w:t>𝐻</w:t>
            </w:r>
            <w:r w:rsidRPr="006D5B73">
              <w:rPr>
                <w:szCs w:val="28"/>
              </w:rPr>
              <w:t xml:space="preserve">-компактные классы </w:t>
            </w:r>
            <w:proofErr w:type="spellStart"/>
            <w:r w:rsidRPr="006D5B73">
              <w:rPr>
                <w:szCs w:val="28"/>
              </w:rPr>
              <w:t>недивергентных</w:t>
            </w:r>
            <w:proofErr w:type="spellEnd"/>
            <w:r w:rsidRPr="006D5B73">
              <w:rPr>
                <w:szCs w:val="28"/>
              </w:rPr>
              <w:t xml:space="preserve"> эллиптических операторов второго порядка с </w:t>
            </w:r>
            <w:proofErr w:type="spellStart"/>
            <w:r w:rsidRPr="006D5B73">
              <w:rPr>
                <w:szCs w:val="28"/>
              </w:rPr>
              <w:t>комплекснозначными</w:t>
            </w:r>
            <w:proofErr w:type="spellEnd"/>
            <w:r w:rsidRPr="006D5B73">
              <w:rPr>
                <w:szCs w:val="28"/>
              </w:rPr>
              <w:t xml:space="preserve"> коэффициентами.</w:t>
            </w:r>
          </w:p>
          <w:p w14:paraId="1E77D982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4. </w:t>
            </w:r>
            <w:r w:rsidRPr="006D5B73">
              <w:rPr>
                <w:szCs w:val="28"/>
              </w:rPr>
              <w:t>Получены достаточные условия моментной устойчивости исследуемых уравнений в терминах положительной обратимости матриц, построенных по исходным уравнениям. Проверена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выполнимость этих условий для конкретных уравнений</w:t>
            </w:r>
            <w:r>
              <w:rPr>
                <w:szCs w:val="28"/>
              </w:rPr>
              <w:t>.</w:t>
            </w:r>
          </w:p>
          <w:p w14:paraId="76D70E42" w14:textId="77777777" w:rsidR="006D5B73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5. Д</w:t>
            </w:r>
            <w:r w:rsidRPr="006D5B73">
              <w:rPr>
                <w:szCs w:val="28"/>
              </w:rPr>
              <w:t>оказано существование и единственность положительного радиально-симметричного решения задачи Дирихле в кольцевой области для одного класса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нелинейных дифференциальных уравнений второго порядка и разработан численный</w:t>
            </w:r>
            <w:r>
              <w:rPr>
                <w:szCs w:val="28"/>
              </w:rPr>
              <w:t xml:space="preserve"> </w:t>
            </w:r>
            <w:r w:rsidRPr="006D5B73">
              <w:rPr>
                <w:szCs w:val="28"/>
              </w:rPr>
              <w:t>метод его построения</w:t>
            </w:r>
            <w:r>
              <w:rPr>
                <w:szCs w:val="28"/>
              </w:rPr>
              <w:t>.</w:t>
            </w:r>
          </w:p>
          <w:p w14:paraId="66B91A14" w14:textId="405C0467" w:rsidR="006D5B73" w:rsidRPr="00C163A9" w:rsidRDefault="006D5B73" w:rsidP="006D5B73">
            <w:pPr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6. </w:t>
            </w:r>
            <w:r w:rsidRPr="006D5B73">
              <w:rPr>
                <w:szCs w:val="28"/>
              </w:rPr>
              <w:t>Решена задача восстановления непрерывно дифференцируемой функции, сосредоточенной в полосе на плоскости, заданной своими интегралами с полиномиальными весами вдоль ветвей гипербол одного семейства. Получена формула обращения</w:t>
            </w:r>
            <w:r>
              <w:rPr>
                <w:szCs w:val="28"/>
              </w:rPr>
              <w:t xml:space="preserve"> </w:t>
            </w:r>
            <w:r w:rsidRPr="006D5B73">
              <w:rPr>
                <w:rFonts w:ascii="Cambria Math" w:hAnsi="Cambria Math" w:cs="Cambria Math"/>
                <w:szCs w:val="28"/>
              </w:rPr>
              <w:t>𝑊</w:t>
            </w:r>
            <w:r w:rsidRPr="006D5B73">
              <w:rPr>
                <w:szCs w:val="28"/>
              </w:rPr>
              <w:t xml:space="preserve"> -преобразования Радона, которое моделирует ослабление интенсивности луча, падающего под некоторым углом на границу круга после отражения с тем же углом.</w:t>
            </w:r>
          </w:p>
        </w:tc>
        <w:tc>
          <w:tcPr>
            <w:tcW w:w="1275" w:type="dxa"/>
          </w:tcPr>
          <w:p w14:paraId="662A699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042207D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2893CD93" w14:textId="61880B2C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2B3EC888" w14:textId="77777777" w:rsidTr="00C95FE1">
        <w:tc>
          <w:tcPr>
            <w:tcW w:w="1101" w:type="dxa"/>
          </w:tcPr>
          <w:p w14:paraId="7D7C5281" w14:textId="1C38919C" w:rsidR="00C95FE1" w:rsidRPr="00C95FE1" w:rsidRDefault="00C95FE1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0202-2017-000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2409" w:type="dxa"/>
          </w:tcPr>
          <w:p w14:paraId="25761208" w14:textId="5827AC77" w:rsidR="00C95FE1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>Теория полиномов, ортогональных по Соболеву. Аппроксимативные свойства рядов Фурье по полиномам, ортогональным по Соболеву. Приложения полиномов, ортогональных по Соболеву</w:t>
            </w:r>
          </w:p>
        </w:tc>
        <w:tc>
          <w:tcPr>
            <w:tcW w:w="1701" w:type="dxa"/>
          </w:tcPr>
          <w:p w14:paraId="3D9E82F7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31FB4AB3" w14:textId="221FAF86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1. Изучены алгебраические и асимптотические свойства функций, ортогональных по Соболеву, порожденных системой полиномов Чебышева первого рода, системой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 xml:space="preserve">косинусов, системой функций </w:t>
            </w:r>
            <w:proofErr w:type="spellStart"/>
            <w:r w:rsidRPr="007636BD">
              <w:rPr>
                <w:szCs w:val="28"/>
              </w:rPr>
              <w:t>Лагерра</w:t>
            </w:r>
            <w:proofErr w:type="spellEnd"/>
            <w:r w:rsidRPr="007636BD">
              <w:rPr>
                <w:szCs w:val="28"/>
              </w:rPr>
              <w:t xml:space="preserve">, системой модифицированных полиномов </w:t>
            </w:r>
            <w:proofErr w:type="spellStart"/>
            <w:r w:rsidRPr="007636BD">
              <w:rPr>
                <w:szCs w:val="28"/>
              </w:rPr>
              <w:t>Лагерра</w:t>
            </w:r>
            <w:proofErr w:type="spellEnd"/>
            <w:r w:rsidRPr="007636BD">
              <w:rPr>
                <w:szCs w:val="28"/>
              </w:rPr>
              <w:t>, системой функций Уолша.</w:t>
            </w:r>
          </w:p>
          <w:p w14:paraId="02B16514" w14:textId="00FD2D94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2. Исследованы вопросы сходимости рядов Фурье по этим системам и в некоторых случаях изучены аппроксимативные свойства частичных сумм указанных рядов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Фурье.</w:t>
            </w:r>
          </w:p>
          <w:p w14:paraId="7F3391FA" w14:textId="4CD71207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3. На основе систем функций, ортогональных по Соболеву, разработаны итерационные алгоритмы для численно-аналитического решения задачи Коши для систем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линейных и нелинейных дифференциальных. Для широкого класса систем функций,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ортогональных по Соболеву, найдены условия, при соблюдении которых сходятся итерационные процессы, на которых основываются указанные алгоритмы для приближенного решения систем дифференциальных уравнений. Ряд разработанных алгоритмов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доведен до численных экспериментов (разработаны прикладные программные пакеты,</w:t>
            </w:r>
          </w:p>
          <w:p w14:paraId="0EECFB51" w14:textId="0F34CB45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 xml:space="preserve">реализующие указанные алгоритмы). Проведенные </w:t>
            </w:r>
            <w:r w:rsidRPr="007636BD">
              <w:rPr>
                <w:szCs w:val="28"/>
              </w:rPr>
              <w:lastRenderedPageBreak/>
              <w:t>эксперименты показывают высокую эффективность предлагаемого численно-аналитического подхода к решению систем дифференциальных и разностных уравнений.</w:t>
            </w:r>
          </w:p>
          <w:p w14:paraId="05131134" w14:textId="25B80FAB" w:rsidR="00C95FE1" w:rsidRPr="00C163A9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 xml:space="preserve">4. </w:t>
            </w:r>
            <w:r w:rsidR="006D5B73">
              <w:rPr>
                <w:szCs w:val="28"/>
              </w:rPr>
              <w:t>Исследованы</w:t>
            </w:r>
            <w:r w:rsidRPr="007636BD">
              <w:rPr>
                <w:szCs w:val="28"/>
              </w:rPr>
              <w:t xml:space="preserve"> вопросы существования и единственности решения задачи Коши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для ОДУ с разрывной правой частью.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1275" w:type="dxa"/>
          </w:tcPr>
          <w:p w14:paraId="4787B8B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3CC5AFCD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06F6203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1F1ACE11" w14:textId="77777777" w:rsidTr="00C95FE1">
        <w:tc>
          <w:tcPr>
            <w:tcW w:w="1101" w:type="dxa"/>
          </w:tcPr>
          <w:p w14:paraId="09039D48" w14:textId="49942117" w:rsidR="00C95FE1" w:rsidRPr="00C95FE1" w:rsidRDefault="00C95FE1" w:rsidP="00DD23E2">
            <w:pPr>
              <w:jc w:val="center"/>
              <w:rPr>
                <w:szCs w:val="28"/>
                <w:lang w:val="en-US"/>
              </w:rPr>
            </w:pPr>
            <w:r>
              <w:rPr>
                <w:b/>
              </w:rPr>
              <w:t>0202-2017-000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2409" w:type="dxa"/>
          </w:tcPr>
          <w:p w14:paraId="6AB586A1" w14:textId="7DF0494A" w:rsidR="00C95FE1" w:rsidRPr="00C163A9" w:rsidRDefault="00C95FE1" w:rsidP="00DD23E2">
            <w:pPr>
              <w:jc w:val="center"/>
              <w:rPr>
                <w:szCs w:val="28"/>
              </w:rPr>
            </w:pPr>
            <w:r w:rsidRPr="00C95FE1">
              <w:rPr>
                <w:szCs w:val="28"/>
              </w:rPr>
              <w:t>Функциональные пространства с переменным показателем и их приложения. Некоторые вопросы теории приближений полиномами, рациональными функциями, сплайнами и вейвлетами</w:t>
            </w:r>
          </w:p>
        </w:tc>
        <w:tc>
          <w:tcPr>
            <w:tcW w:w="1701" w:type="dxa"/>
          </w:tcPr>
          <w:p w14:paraId="50FAC686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799B31AC" w14:textId="77BE380A" w:rsidR="007636BD" w:rsidRPr="007636BD" w:rsidRDefault="007636BD" w:rsidP="007636B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7636BD">
              <w:rPr>
                <w:szCs w:val="28"/>
              </w:rPr>
              <w:t>олучены оценки для приближения дифференцируемых и аналитических функций частичными суммами специальных рядов по ультрасферическим полиномам Якоби со свойством прилипания в точках ±1. Эти результаты</w:t>
            </w:r>
          </w:p>
          <w:p w14:paraId="2AF7864F" w14:textId="77777777" w:rsidR="00C95FE1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являются новыми и носят окончательный характер</w:t>
            </w:r>
            <w:r>
              <w:rPr>
                <w:szCs w:val="28"/>
              </w:rPr>
              <w:t>.</w:t>
            </w:r>
          </w:p>
          <w:p w14:paraId="202247AE" w14:textId="77777777" w:rsidR="007636BD" w:rsidRPr="007636BD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Исследовано поведение функции</w:t>
            </w:r>
          </w:p>
          <w:p w14:paraId="3F9EDC12" w14:textId="79BEBA91" w:rsidR="007636BD" w:rsidRPr="00C163A9" w:rsidRDefault="007636BD" w:rsidP="007636BD">
            <w:pPr>
              <w:jc w:val="both"/>
              <w:rPr>
                <w:szCs w:val="28"/>
              </w:rPr>
            </w:pPr>
            <w:r w:rsidRPr="007636BD">
              <w:rPr>
                <w:szCs w:val="28"/>
              </w:rPr>
              <w:t>Лебега частичных сумм Фурье-</w:t>
            </w:r>
            <w:proofErr w:type="spellStart"/>
            <w:r w:rsidRPr="007636BD">
              <w:rPr>
                <w:szCs w:val="28"/>
              </w:rPr>
              <w:t>Мейкснера</w:t>
            </w:r>
            <w:proofErr w:type="spellEnd"/>
            <w:r w:rsidRPr="007636BD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 xml:space="preserve">Получено решение открытой задачи о </w:t>
            </w:r>
            <w:proofErr w:type="spellStart"/>
            <w:r w:rsidRPr="007636BD">
              <w:rPr>
                <w:szCs w:val="28"/>
              </w:rPr>
              <w:t>ковыпуклой</w:t>
            </w:r>
            <w:proofErr w:type="spellEnd"/>
            <w:r w:rsidRPr="007636BD">
              <w:rPr>
                <w:szCs w:val="28"/>
              </w:rPr>
              <w:t xml:space="preserve"> сплайн-интерполяции с переменой направления выпуклости заданной функции в</w:t>
            </w:r>
            <w:r>
              <w:rPr>
                <w:szCs w:val="28"/>
              </w:rPr>
              <w:t xml:space="preserve"> </w:t>
            </w:r>
            <w:r w:rsidRPr="007636BD">
              <w:rPr>
                <w:szCs w:val="28"/>
              </w:rPr>
              <w:t>случае рациональных сплайн-функций. Исследованы аппроксимативные свойства дискретных сумм Фурье для кусочно-гладких функций и показано, что полученные оценки</w:t>
            </w:r>
            <w:r>
              <w:rPr>
                <w:szCs w:val="28"/>
              </w:rPr>
              <w:t xml:space="preserve"> </w:t>
            </w:r>
            <w:proofErr w:type="spellStart"/>
            <w:r w:rsidRPr="007636BD">
              <w:rPr>
                <w:szCs w:val="28"/>
              </w:rPr>
              <w:t>неулучшаемы</w:t>
            </w:r>
            <w:proofErr w:type="spellEnd"/>
            <w:r w:rsidRPr="007636BD">
              <w:rPr>
                <w:szCs w:val="28"/>
              </w:rPr>
              <w:t xml:space="preserve"> по порядку.</w:t>
            </w:r>
          </w:p>
        </w:tc>
        <w:tc>
          <w:tcPr>
            <w:tcW w:w="1275" w:type="dxa"/>
          </w:tcPr>
          <w:p w14:paraId="4C6D6CC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1CF266F5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1A6490F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73016031" w14:textId="77777777" w:rsidTr="00C95FE1">
        <w:tc>
          <w:tcPr>
            <w:tcW w:w="1101" w:type="dxa"/>
          </w:tcPr>
          <w:p w14:paraId="626036B1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201F204F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652741C7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2E134949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34EF2EC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56E1E659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334ED9A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07A75E7E" w14:textId="77777777" w:rsidTr="00C95FE1">
        <w:tc>
          <w:tcPr>
            <w:tcW w:w="1101" w:type="dxa"/>
          </w:tcPr>
          <w:p w14:paraId="1A83BC6A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4ADFE43B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0A438E5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5CB8707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2ABEEB9B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79616E80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29D9127F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0C95DCD4" w14:textId="77777777" w:rsidTr="00C95FE1">
        <w:tc>
          <w:tcPr>
            <w:tcW w:w="1101" w:type="dxa"/>
          </w:tcPr>
          <w:p w14:paraId="3AE0BEC5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5B0371D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2E3342FD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7F9D9D60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5CAB784A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39329802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64FE587F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3C4E29E0" w14:textId="77777777" w:rsidTr="00C95FE1">
        <w:tc>
          <w:tcPr>
            <w:tcW w:w="1101" w:type="dxa"/>
          </w:tcPr>
          <w:p w14:paraId="6C455893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3B63FC02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05C7B544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5981B1B1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5F8AB1C9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66D347BB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5273B75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1BC58559" w14:textId="77777777" w:rsidTr="00C95FE1">
        <w:tc>
          <w:tcPr>
            <w:tcW w:w="1101" w:type="dxa"/>
          </w:tcPr>
          <w:p w14:paraId="1DA94DF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0320E389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1FC5BA57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7F8A5E97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7A5BC68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2DDC3D07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751E057D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C95FE1" w:rsidRPr="00C163A9" w14:paraId="546DF2B2" w14:textId="77777777" w:rsidTr="00C95FE1">
        <w:tc>
          <w:tcPr>
            <w:tcW w:w="1101" w:type="dxa"/>
          </w:tcPr>
          <w:p w14:paraId="0399616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2E3A7D7E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14ED12C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65F64B7C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34BAC32B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7BDE0A68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1042240E" w14:textId="77777777" w:rsidR="00C95FE1" w:rsidRPr="00C163A9" w:rsidRDefault="00C95FE1" w:rsidP="00DD23E2">
            <w:pPr>
              <w:jc w:val="center"/>
              <w:rPr>
                <w:szCs w:val="28"/>
              </w:rPr>
            </w:pPr>
          </w:p>
        </w:tc>
      </w:tr>
      <w:tr w:rsidR="00151C56" w:rsidRPr="00C163A9" w14:paraId="0399AFED" w14:textId="77777777" w:rsidTr="00DD23E2">
        <w:tc>
          <w:tcPr>
            <w:tcW w:w="14580" w:type="dxa"/>
            <w:gridSpan w:val="7"/>
          </w:tcPr>
          <w:p w14:paraId="0FA9E3E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Результаты, нашедшие практическое применение</w:t>
            </w:r>
          </w:p>
        </w:tc>
      </w:tr>
      <w:tr w:rsidR="00C95FE1" w:rsidRPr="00C163A9" w14:paraId="361E3DB6" w14:textId="77777777" w:rsidTr="00C95FE1">
        <w:tc>
          <w:tcPr>
            <w:tcW w:w="1101" w:type="dxa"/>
          </w:tcPr>
          <w:p w14:paraId="3D878606" w14:textId="77777777" w:rsidR="00C95FE1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132D61E2" w14:textId="77777777" w:rsidR="00C95FE1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4F10DC70" w14:textId="77777777" w:rsidR="00C95FE1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54E59D83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07D888DA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1906DA01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36E624CB" w14:textId="77777777" w:rsidR="00C95FE1" w:rsidRDefault="00C95FE1" w:rsidP="007636BD">
            <w:pPr>
              <w:jc w:val="center"/>
              <w:rPr>
                <w:szCs w:val="28"/>
              </w:rPr>
            </w:pPr>
          </w:p>
        </w:tc>
      </w:tr>
      <w:tr w:rsidR="00C95FE1" w:rsidRPr="00C163A9" w14:paraId="576C92C0" w14:textId="77777777" w:rsidTr="00C95FE1">
        <w:tc>
          <w:tcPr>
            <w:tcW w:w="1101" w:type="dxa"/>
          </w:tcPr>
          <w:p w14:paraId="41325146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4264C252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2E7FA01A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712DD6E4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0699D3AE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565A6E96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6651490E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</w:tr>
      <w:tr w:rsidR="00C95FE1" w:rsidRPr="00C163A9" w14:paraId="2D26C701" w14:textId="77777777" w:rsidTr="00C95FE1">
        <w:tc>
          <w:tcPr>
            <w:tcW w:w="1101" w:type="dxa"/>
          </w:tcPr>
          <w:p w14:paraId="7B46A278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5FD3C3D0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5A0BE3E5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1532A029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523701CF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234D55E4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68E4D0AF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</w:tr>
      <w:tr w:rsidR="00C95FE1" w:rsidRPr="00C163A9" w14:paraId="47715C0F" w14:textId="77777777" w:rsidTr="00C95FE1">
        <w:tc>
          <w:tcPr>
            <w:tcW w:w="1101" w:type="dxa"/>
          </w:tcPr>
          <w:p w14:paraId="43AD4DC0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6A8C972A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2E900CFC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674EFA82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5BED3AB2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36F1A6F7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6F9F2593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</w:tr>
      <w:tr w:rsidR="00C95FE1" w:rsidRPr="00C163A9" w14:paraId="4024ACEE" w14:textId="77777777" w:rsidTr="00C95FE1">
        <w:tc>
          <w:tcPr>
            <w:tcW w:w="1101" w:type="dxa"/>
          </w:tcPr>
          <w:p w14:paraId="62E57567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17D5D4F9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01582529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2D963B0F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77648BE2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675755D9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1C8547EA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</w:tr>
      <w:tr w:rsidR="00C95FE1" w:rsidRPr="00C163A9" w14:paraId="71733F52" w14:textId="77777777" w:rsidTr="00C95FE1">
        <w:tc>
          <w:tcPr>
            <w:tcW w:w="1101" w:type="dxa"/>
          </w:tcPr>
          <w:p w14:paraId="5A0B06E4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74145043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4A5808B5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2E52F706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3FDB70E7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608731F2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3D93FD90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</w:tr>
      <w:tr w:rsidR="00C95FE1" w:rsidRPr="00C163A9" w14:paraId="23AD4B3A" w14:textId="77777777" w:rsidTr="00C95FE1">
        <w:tc>
          <w:tcPr>
            <w:tcW w:w="1101" w:type="dxa"/>
          </w:tcPr>
          <w:p w14:paraId="6D512DF7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5E5D3C43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39DDC6F5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0C267F12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3BE595C1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71AEDA23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5BF3666D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</w:tr>
      <w:tr w:rsidR="00C95FE1" w:rsidRPr="00C163A9" w14:paraId="788A12A9" w14:textId="77777777" w:rsidTr="00C95FE1">
        <w:tc>
          <w:tcPr>
            <w:tcW w:w="1101" w:type="dxa"/>
          </w:tcPr>
          <w:p w14:paraId="4A2BAB90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086195B2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22B89419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1E165308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597C2C7A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0BC3249B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58601171" w14:textId="77777777" w:rsidR="00C95FE1" w:rsidRPr="00C163A9" w:rsidRDefault="00C95FE1" w:rsidP="007636BD">
            <w:pPr>
              <w:jc w:val="center"/>
              <w:rPr>
                <w:szCs w:val="28"/>
              </w:rPr>
            </w:pPr>
          </w:p>
        </w:tc>
      </w:tr>
      <w:tr w:rsidR="00151C56" w:rsidRPr="00C163A9" w14:paraId="222EBE2D" w14:textId="77777777" w:rsidTr="00C95FE1">
        <w:tc>
          <w:tcPr>
            <w:tcW w:w="1101" w:type="dxa"/>
          </w:tcPr>
          <w:p w14:paraId="39FECCBF" w14:textId="6734AB50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409" w:type="dxa"/>
          </w:tcPr>
          <w:p w14:paraId="7F019752" w14:textId="466336A8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14:paraId="7B17201E" w14:textId="276AC70E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5529" w:type="dxa"/>
          </w:tcPr>
          <w:p w14:paraId="41381E80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275" w:type="dxa"/>
          </w:tcPr>
          <w:p w14:paraId="20F6FB3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418" w:type="dxa"/>
          </w:tcPr>
          <w:p w14:paraId="3E10BB0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1147" w:type="dxa"/>
          </w:tcPr>
          <w:p w14:paraId="22E40F61" w14:textId="63FACBD6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</w:tr>
    </w:tbl>
    <w:p w14:paraId="76429830" w14:textId="77777777" w:rsidR="00151C56" w:rsidRPr="00654BDD" w:rsidRDefault="00151C56" w:rsidP="00151C56">
      <w:pPr>
        <w:jc w:val="center"/>
        <w:rPr>
          <w:b/>
          <w:sz w:val="28"/>
        </w:rPr>
      </w:pPr>
    </w:p>
    <w:p w14:paraId="73D57374" w14:textId="77777777" w:rsidR="00151C56" w:rsidRDefault="00151C56" w:rsidP="00151C56">
      <w:pPr>
        <w:jc w:val="both"/>
        <w:rPr>
          <w:sz w:val="28"/>
        </w:rPr>
      </w:pPr>
    </w:p>
    <w:p w14:paraId="5EBB1975" w14:textId="77777777" w:rsidR="00151C56" w:rsidRDefault="00151C56" w:rsidP="00151C56">
      <w:pPr>
        <w:pStyle w:val="a3"/>
        <w:jc w:val="both"/>
        <w:rPr>
          <w:sz w:val="28"/>
        </w:rPr>
      </w:pPr>
    </w:p>
    <w:p w14:paraId="4ACC8222" w14:textId="77777777" w:rsidR="00151C56" w:rsidRDefault="00151C56" w:rsidP="00151C56">
      <w:pPr>
        <w:pStyle w:val="a3"/>
        <w:jc w:val="both"/>
        <w:rPr>
          <w:sz w:val="28"/>
        </w:rPr>
      </w:pPr>
    </w:p>
    <w:p w14:paraId="22A92A05" w14:textId="77777777" w:rsidR="00151C56" w:rsidRDefault="00151C56" w:rsidP="00151C56">
      <w:pPr>
        <w:pStyle w:val="a3"/>
        <w:jc w:val="both"/>
        <w:rPr>
          <w:sz w:val="28"/>
        </w:rPr>
      </w:pPr>
    </w:p>
    <w:p w14:paraId="4EBDC939" w14:textId="77777777" w:rsidR="00151C56" w:rsidRDefault="00151C56" w:rsidP="00151C56">
      <w:pPr>
        <w:pStyle w:val="a3"/>
        <w:jc w:val="both"/>
        <w:rPr>
          <w:sz w:val="28"/>
        </w:rPr>
      </w:pPr>
    </w:p>
    <w:p w14:paraId="61DD6D84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3</w:t>
      </w:r>
    </w:p>
    <w:p w14:paraId="06BF4AAE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3A0B3FF" w14:textId="77777777" w:rsidR="00151C56" w:rsidRDefault="00151C56" w:rsidP="00151C56">
      <w:pPr>
        <w:pStyle w:val="a3"/>
        <w:ind w:left="9487" w:firstLine="425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264614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125B64A1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  <w:r w:rsidRPr="005545FB">
        <w:rPr>
          <w:b/>
          <w:sz w:val="28"/>
          <w:szCs w:val="28"/>
        </w:rPr>
        <w:t>Информация об объектах интеллектуальной собственности</w:t>
      </w:r>
    </w:p>
    <w:p w14:paraId="5730359A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6F8528DD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BC788" wp14:editId="672274A3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9F68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9bFwQe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27D90E8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14853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276"/>
        <w:gridCol w:w="1842"/>
        <w:gridCol w:w="1701"/>
        <w:gridCol w:w="1418"/>
        <w:gridCol w:w="1559"/>
        <w:gridCol w:w="1134"/>
        <w:gridCol w:w="1559"/>
        <w:gridCol w:w="1137"/>
      </w:tblGrid>
      <w:tr w:rsidR="00151C56" w:rsidRPr="00DB64FB" w14:paraId="7184E6F0" w14:textId="77777777" w:rsidTr="00DD23E2">
        <w:tc>
          <w:tcPr>
            <w:tcW w:w="675" w:type="dxa"/>
          </w:tcPr>
          <w:p w14:paraId="062D00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754D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A26538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Изобретения</w:t>
            </w:r>
          </w:p>
          <w:p w14:paraId="6B5F8B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276" w:type="dxa"/>
          </w:tcPr>
          <w:p w14:paraId="4B7E75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Полезные модели (ед.)</w:t>
            </w:r>
          </w:p>
        </w:tc>
        <w:tc>
          <w:tcPr>
            <w:tcW w:w="1842" w:type="dxa"/>
          </w:tcPr>
          <w:p w14:paraId="4D5CF0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Промышленные образцы</w:t>
            </w:r>
          </w:p>
          <w:p w14:paraId="01947E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701" w:type="dxa"/>
          </w:tcPr>
          <w:p w14:paraId="38D282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Селекционные достижения (ед.)</w:t>
            </w:r>
          </w:p>
        </w:tc>
        <w:tc>
          <w:tcPr>
            <w:tcW w:w="1418" w:type="dxa"/>
          </w:tcPr>
          <w:p w14:paraId="7ED504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Товарные знаки</w:t>
            </w:r>
          </w:p>
          <w:p w14:paraId="4D25C8A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559" w:type="dxa"/>
          </w:tcPr>
          <w:p w14:paraId="3D8F472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Программы ЭВМ</w:t>
            </w:r>
          </w:p>
          <w:p w14:paraId="3CAA25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134" w:type="dxa"/>
          </w:tcPr>
          <w:p w14:paraId="667404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Базы данных (ед.)</w:t>
            </w:r>
          </w:p>
        </w:tc>
        <w:tc>
          <w:tcPr>
            <w:tcW w:w="1559" w:type="dxa"/>
          </w:tcPr>
          <w:p w14:paraId="0BD5455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Топологии интеллектуальных микросхем (ед.)</w:t>
            </w:r>
          </w:p>
        </w:tc>
        <w:tc>
          <w:tcPr>
            <w:tcW w:w="1137" w:type="dxa"/>
          </w:tcPr>
          <w:p w14:paraId="0FD1751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Ноу-хау (ед.)</w:t>
            </w:r>
          </w:p>
        </w:tc>
      </w:tr>
      <w:tr w:rsidR="00151C56" w:rsidRPr="00DB64FB" w14:paraId="50F71189" w14:textId="77777777" w:rsidTr="00DD23E2">
        <w:tc>
          <w:tcPr>
            <w:tcW w:w="675" w:type="dxa"/>
          </w:tcPr>
          <w:p w14:paraId="129C76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177179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в РФ</w:t>
            </w:r>
          </w:p>
        </w:tc>
        <w:tc>
          <w:tcPr>
            <w:tcW w:w="1134" w:type="dxa"/>
          </w:tcPr>
          <w:p w14:paraId="77436E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0ED177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2AAD1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E23CE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EC13C7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3A028B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A8049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8C52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03F218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C3B56C7" w14:textId="77777777" w:rsidTr="00DD23E2">
        <w:tc>
          <w:tcPr>
            <w:tcW w:w="675" w:type="dxa"/>
          </w:tcPr>
          <w:p w14:paraId="3168A3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1655C4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 xml:space="preserve">Получено положительных решений по заявкам на выдачу </w:t>
            </w:r>
            <w:r w:rsidRPr="00DB64FB">
              <w:rPr>
                <w:sz w:val="20"/>
                <w:szCs w:val="20"/>
              </w:rPr>
              <w:lastRenderedPageBreak/>
              <w:t>охранных документов РФ или свидетельств о регистрации</w:t>
            </w:r>
          </w:p>
        </w:tc>
        <w:tc>
          <w:tcPr>
            <w:tcW w:w="1134" w:type="dxa"/>
          </w:tcPr>
          <w:p w14:paraId="735718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F614D3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2DC3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56056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BDA6A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2E4AD9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BFA25F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690863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1790E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523CE4CD" w14:textId="77777777" w:rsidTr="00DD23E2">
        <w:tc>
          <w:tcPr>
            <w:tcW w:w="675" w:type="dxa"/>
          </w:tcPr>
          <w:p w14:paraId="2B7CCFC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6E3B250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охранных документов в РФ, в том числе в рамках выполнения НИОКР по государственным контрактам</w:t>
            </w:r>
          </w:p>
        </w:tc>
        <w:tc>
          <w:tcPr>
            <w:tcW w:w="1134" w:type="dxa"/>
          </w:tcPr>
          <w:p w14:paraId="6E091E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ED8953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5E1679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34F51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4F02F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D57501F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9A976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537B4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510D8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47C9390" w14:textId="77777777" w:rsidTr="00DD23E2">
        <w:tc>
          <w:tcPr>
            <w:tcW w:w="675" w:type="dxa"/>
          </w:tcPr>
          <w:p w14:paraId="05227F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177911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в РФ</w:t>
            </w:r>
          </w:p>
        </w:tc>
        <w:tc>
          <w:tcPr>
            <w:tcW w:w="1134" w:type="dxa"/>
          </w:tcPr>
          <w:p w14:paraId="1AA7AF4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FC0E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9CC2BE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BC74E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DDF97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EB931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1A787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302C40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C27F8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B777E82" w14:textId="77777777" w:rsidTr="00DD23E2">
        <w:tc>
          <w:tcPr>
            <w:tcW w:w="675" w:type="dxa"/>
          </w:tcPr>
          <w:p w14:paraId="6A35DF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2FC8D9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в РФ</w:t>
            </w:r>
          </w:p>
        </w:tc>
        <w:tc>
          <w:tcPr>
            <w:tcW w:w="1134" w:type="dxa"/>
          </w:tcPr>
          <w:p w14:paraId="473E5E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EBCC92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B7D46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FF6BC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A25E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B081CF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4B1E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D60D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3DC09F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EC269D5" w14:textId="77777777" w:rsidTr="00DD23E2">
        <w:tc>
          <w:tcPr>
            <w:tcW w:w="675" w:type="dxa"/>
          </w:tcPr>
          <w:p w14:paraId="723D0E0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2B50035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за рубеж</w:t>
            </w:r>
          </w:p>
        </w:tc>
        <w:tc>
          <w:tcPr>
            <w:tcW w:w="1134" w:type="dxa"/>
          </w:tcPr>
          <w:p w14:paraId="379D61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A887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B68DC5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0DB06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82E2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1261C2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E13FC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D7555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2F1BBE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389325" w14:textId="77777777" w:rsidTr="00DD23E2">
        <w:tc>
          <w:tcPr>
            <w:tcW w:w="675" w:type="dxa"/>
          </w:tcPr>
          <w:p w14:paraId="7362CCD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6.1</w:t>
            </w:r>
          </w:p>
        </w:tc>
        <w:tc>
          <w:tcPr>
            <w:tcW w:w="1418" w:type="dxa"/>
          </w:tcPr>
          <w:p w14:paraId="30596A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715FA5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D6A7E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99519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07D7B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FEC8DA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02522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1155A0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B2BDE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D12AB0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2B9E3EE" w14:textId="77777777" w:rsidTr="00DD23E2">
        <w:tc>
          <w:tcPr>
            <w:tcW w:w="675" w:type="dxa"/>
          </w:tcPr>
          <w:p w14:paraId="4571DD9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3C4EBA1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охранных документов за рубежом</w:t>
            </w:r>
          </w:p>
        </w:tc>
        <w:tc>
          <w:tcPr>
            <w:tcW w:w="1134" w:type="dxa"/>
          </w:tcPr>
          <w:p w14:paraId="334665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BFAB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A28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C3301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BD864C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9EB0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DF3B2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921214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0555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6289E0D9" w14:textId="77777777" w:rsidTr="00DD23E2">
        <w:tc>
          <w:tcPr>
            <w:tcW w:w="675" w:type="dxa"/>
          </w:tcPr>
          <w:p w14:paraId="2069F3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7.1</w:t>
            </w:r>
          </w:p>
        </w:tc>
        <w:tc>
          <w:tcPr>
            <w:tcW w:w="1418" w:type="dxa"/>
          </w:tcPr>
          <w:p w14:paraId="1BA9D85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 в том числе в СНГ (указать только СНГ)</w:t>
            </w:r>
          </w:p>
        </w:tc>
        <w:tc>
          <w:tcPr>
            <w:tcW w:w="1134" w:type="dxa"/>
          </w:tcPr>
          <w:p w14:paraId="5DDDDCE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71169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47D467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04733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6C492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E30F3E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708A14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2016E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1A99C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379BEC5" w14:textId="77777777" w:rsidTr="00DD23E2">
        <w:tc>
          <w:tcPr>
            <w:tcW w:w="675" w:type="dxa"/>
          </w:tcPr>
          <w:p w14:paraId="5E83D8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418" w:type="dxa"/>
          </w:tcPr>
          <w:p w14:paraId="031C11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за рубежом</w:t>
            </w:r>
          </w:p>
        </w:tc>
        <w:tc>
          <w:tcPr>
            <w:tcW w:w="1134" w:type="dxa"/>
          </w:tcPr>
          <w:p w14:paraId="66CFC5F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EB0B5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31E312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50F3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489D9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759781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E6090B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9CF3E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545D7F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F2919AA" w14:textId="77777777" w:rsidTr="00DD23E2">
        <w:tc>
          <w:tcPr>
            <w:tcW w:w="675" w:type="dxa"/>
          </w:tcPr>
          <w:p w14:paraId="6098685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8.1</w:t>
            </w:r>
          </w:p>
        </w:tc>
        <w:tc>
          <w:tcPr>
            <w:tcW w:w="1418" w:type="dxa"/>
          </w:tcPr>
          <w:p w14:paraId="51E733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2DAC15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B8AE8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10CBFF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12E67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AB58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21CE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107B6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FE0F3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09A011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9DFBD3" w14:textId="77777777" w:rsidTr="00DD23E2">
        <w:tc>
          <w:tcPr>
            <w:tcW w:w="675" w:type="dxa"/>
          </w:tcPr>
          <w:p w14:paraId="06CA52B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1AD42D0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за рубежом</w:t>
            </w:r>
          </w:p>
        </w:tc>
        <w:tc>
          <w:tcPr>
            <w:tcW w:w="1134" w:type="dxa"/>
          </w:tcPr>
          <w:p w14:paraId="58CFD9E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E853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D39A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7E8D5F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6562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0BB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5D287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8AC04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A37E6C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319A9B" w14:textId="77777777" w:rsidTr="00DD23E2">
        <w:tc>
          <w:tcPr>
            <w:tcW w:w="675" w:type="dxa"/>
          </w:tcPr>
          <w:p w14:paraId="50D28DB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9.1</w:t>
            </w:r>
          </w:p>
        </w:tc>
        <w:tc>
          <w:tcPr>
            <w:tcW w:w="1418" w:type="dxa"/>
          </w:tcPr>
          <w:p w14:paraId="38938AE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0F45CA6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732B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45157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F9BA4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10F8E9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DD2F0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6153D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CDB33F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064FC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082F4C59" w14:textId="77777777" w:rsidTr="00DD23E2">
        <w:tc>
          <w:tcPr>
            <w:tcW w:w="675" w:type="dxa"/>
          </w:tcPr>
          <w:p w14:paraId="1304EF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14:paraId="3F68786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РФ</w:t>
            </w:r>
          </w:p>
        </w:tc>
        <w:tc>
          <w:tcPr>
            <w:tcW w:w="1134" w:type="dxa"/>
          </w:tcPr>
          <w:p w14:paraId="25DFED9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AABBD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98A63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1DE3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EA7937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DD116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95F812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EB7A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7B93B9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81C5D46" w14:textId="77777777" w:rsidTr="00DD23E2">
        <w:tc>
          <w:tcPr>
            <w:tcW w:w="675" w:type="dxa"/>
          </w:tcPr>
          <w:p w14:paraId="1990B2E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5F2CD13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за рубежом</w:t>
            </w:r>
          </w:p>
        </w:tc>
        <w:tc>
          <w:tcPr>
            <w:tcW w:w="1134" w:type="dxa"/>
          </w:tcPr>
          <w:p w14:paraId="5563F2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52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752F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A336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6B84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0BCB1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FA76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09734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3CB44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04BB8F7" w14:textId="77777777" w:rsidTr="00DD23E2">
        <w:tc>
          <w:tcPr>
            <w:tcW w:w="675" w:type="dxa"/>
          </w:tcPr>
          <w:p w14:paraId="1332FB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25DDC8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48667E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EFF00C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7CDD1B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DF4651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3D772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B576E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428B7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16E5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E6B954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21E1F5" w14:textId="77777777" w:rsidTr="00DD23E2">
        <w:tc>
          <w:tcPr>
            <w:tcW w:w="675" w:type="dxa"/>
          </w:tcPr>
          <w:p w14:paraId="1403973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68CD4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Заключено договоров об отчуждении исключительного права</w:t>
            </w:r>
          </w:p>
        </w:tc>
        <w:tc>
          <w:tcPr>
            <w:tcW w:w="1134" w:type="dxa"/>
          </w:tcPr>
          <w:p w14:paraId="265360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B4F5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434907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F966C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8BC64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98E8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5D991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C830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FF68A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E65CC1" w14:textId="77777777" w:rsidR="00151C56" w:rsidRPr="005545FB" w:rsidRDefault="00151C56" w:rsidP="00151C56">
      <w:pPr>
        <w:pStyle w:val="a3"/>
        <w:ind w:left="0"/>
        <w:jc w:val="center"/>
        <w:rPr>
          <w:b/>
          <w:sz w:val="28"/>
        </w:rPr>
      </w:pPr>
    </w:p>
    <w:p w14:paraId="46812F8E" w14:textId="77777777" w:rsidR="00151C56" w:rsidRDefault="00151C56" w:rsidP="00151C56">
      <w:pPr>
        <w:ind w:left="2124"/>
        <w:jc w:val="both"/>
        <w:rPr>
          <w:sz w:val="28"/>
        </w:rPr>
      </w:pPr>
    </w:p>
    <w:p w14:paraId="650A3373" w14:textId="77777777" w:rsidR="00151C56" w:rsidRDefault="00151C56" w:rsidP="00151C56">
      <w:pPr>
        <w:ind w:left="2124"/>
        <w:jc w:val="both"/>
        <w:rPr>
          <w:sz w:val="28"/>
        </w:rPr>
      </w:pPr>
    </w:p>
    <w:p w14:paraId="5364ACF3" w14:textId="77777777" w:rsidR="00151C56" w:rsidRDefault="00151C56" w:rsidP="00151C56">
      <w:pPr>
        <w:ind w:left="2124"/>
        <w:jc w:val="both"/>
        <w:rPr>
          <w:sz w:val="28"/>
        </w:rPr>
      </w:pPr>
    </w:p>
    <w:p w14:paraId="584BCEE0" w14:textId="77777777" w:rsidR="00151C56" w:rsidRDefault="00151C56" w:rsidP="00151C56">
      <w:pPr>
        <w:ind w:left="2124"/>
        <w:jc w:val="both"/>
        <w:rPr>
          <w:sz w:val="28"/>
        </w:rPr>
      </w:pPr>
    </w:p>
    <w:p w14:paraId="6F4C5717" w14:textId="77777777" w:rsidR="00151C56" w:rsidRDefault="00151C56" w:rsidP="00151C56">
      <w:pPr>
        <w:ind w:left="2124"/>
        <w:jc w:val="both"/>
        <w:rPr>
          <w:sz w:val="28"/>
        </w:rPr>
      </w:pPr>
    </w:p>
    <w:p w14:paraId="5EB606E3" w14:textId="77777777" w:rsidR="00151C56" w:rsidRDefault="00151C56" w:rsidP="00151C56">
      <w:pPr>
        <w:ind w:left="2124"/>
        <w:jc w:val="both"/>
        <w:rPr>
          <w:sz w:val="28"/>
        </w:rPr>
      </w:pPr>
    </w:p>
    <w:p w14:paraId="08332449" w14:textId="77777777" w:rsidR="00151C56" w:rsidRDefault="00151C56" w:rsidP="00151C56">
      <w:pPr>
        <w:ind w:left="2124"/>
        <w:jc w:val="both"/>
        <w:rPr>
          <w:sz w:val="28"/>
        </w:rPr>
      </w:pPr>
    </w:p>
    <w:p w14:paraId="2D03B4A0" w14:textId="77777777" w:rsidR="00151C56" w:rsidRDefault="00151C56" w:rsidP="00151C56">
      <w:pPr>
        <w:ind w:left="2124"/>
        <w:jc w:val="both"/>
        <w:rPr>
          <w:sz w:val="28"/>
        </w:rPr>
      </w:pPr>
    </w:p>
    <w:p w14:paraId="02352922" w14:textId="77777777" w:rsidR="00151C56" w:rsidRDefault="00151C56" w:rsidP="00151C56">
      <w:pPr>
        <w:ind w:left="2124"/>
        <w:jc w:val="both"/>
        <w:rPr>
          <w:sz w:val="28"/>
        </w:rPr>
      </w:pPr>
    </w:p>
    <w:p w14:paraId="4C77AA02" w14:textId="77777777" w:rsidR="00151C56" w:rsidRDefault="00151C56" w:rsidP="00151C56">
      <w:pPr>
        <w:ind w:left="2124"/>
        <w:jc w:val="both"/>
        <w:rPr>
          <w:sz w:val="28"/>
        </w:rPr>
      </w:pPr>
    </w:p>
    <w:p w14:paraId="25C1F276" w14:textId="77777777" w:rsidR="00151C56" w:rsidRDefault="00151C56" w:rsidP="00151C56">
      <w:pPr>
        <w:ind w:left="2124"/>
        <w:jc w:val="both"/>
        <w:rPr>
          <w:sz w:val="28"/>
        </w:rPr>
      </w:pPr>
    </w:p>
    <w:p w14:paraId="1C7F5A48" w14:textId="77777777" w:rsidR="00151C56" w:rsidRDefault="00151C56" w:rsidP="00151C56">
      <w:pPr>
        <w:ind w:left="2124"/>
        <w:jc w:val="both"/>
        <w:rPr>
          <w:sz w:val="28"/>
        </w:rPr>
      </w:pPr>
    </w:p>
    <w:p w14:paraId="5CB74596" w14:textId="77777777" w:rsidR="00151C56" w:rsidRDefault="00151C56" w:rsidP="00151C56">
      <w:pPr>
        <w:ind w:left="2124"/>
        <w:jc w:val="both"/>
        <w:rPr>
          <w:sz w:val="28"/>
        </w:rPr>
      </w:pPr>
    </w:p>
    <w:p w14:paraId="7DF565A1" w14:textId="77777777" w:rsidR="00151C56" w:rsidRDefault="00151C56" w:rsidP="00151C56">
      <w:pPr>
        <w:ind w:left="2124"/>
        <w:jc w:val="both"/>
        <w:rPr>
          <w:sz w:val="28"/>
        </w:rPr>
      </w:pPr>
    </w:p>
    <w:p w14:paraId="4A48BF08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4</w:t>
      </w:r>
    </w:p>
    <w:p w14:paraId="63D58553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11689ED1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5A16D59" w14:textId="77777777" w:rsidR="00151C56" w:rsidRDefault="00151C56" w:rsidP="00151C56">
      <w:pPr>
        <w:pStyle w:val="a3"/>
        <w:ind w:left="0"/>
        <w:jc w:val="both"/>
        <w:rPr>
          <w:sz w:val="28"/>
        </w:rPr>
      </w:pPr>
    </w:p>
    <w:p w14:paraId="4CECDCBA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35DCACE7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  <w:r w:rsidRPr="00DB64FB">
        <w:rPr>
          <w:b/>
          <w:sz w:val="28"/>
          <w:szCs w:val="28"/>
        </w:rPr>
        <w:t>Информация о проведенных научных мероприятиях</w:t>
      </w:r>
    </w:p>
    <w:p w14:paraId="6DE1F1E2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10094E63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6EF4" wp14:editId="766A4308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EF697" id="Прямая соединительная линия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VG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7k0UTBG8WPw9thF7/ET8MODe/it3gdP8eb+DXeDO/Bvh0+gJ2C8Xa83iGAg5ad&#10;9RWUvNArN3rerlwSpudOpS9QRn3Wfzvpz/qAKFyeHZ+dPDw9xogeYsUd0DofHjOjUDJqLIVO0pCK&#10;bJ74AM0g9ZACThpk3zpbYStZSpb6OeNAF5rNMzovGruQDm0IrEjzep5oQK2cmSBcSDmByj+DxtwE&#10;Y3n5/hY4ZeeORocJqIQ27nddQ38Yle/zD6z3XBPtK9Ns80NkOWCDMrNx29OK/uhn+N0/ufwO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3mwlRu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010D300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3"/>
        <w:gridCol w:w="1845"/>
        <w:gridCol w:w="1830"/>
        <w:gridCol w:w="1838"/>
        <w:gridCol w:w="1839"/>
        <w:gridCol w:w="1845"/>
        <w:gridCol w:w="1840"/>
        <w:gridCol w:w="1926"/>
      </w:tblGrid>
      <w:tr w:rsidR="00151C56" w:rsidRPr="00DB64FB" w14:paraId="163D7FED" w14:textId="77777777" w:rsidTr="00DD23E2">
        <w:tc>
          <w:tcPr>
            <w:tcW w:w="1848" w:type="dxa"/>
            <w:vMerge w:val="restart"/>
          </w:tcPr>
          <w:p w14:paraId="307B993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10B0BFC0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bCs/>
                <w:szCs w:val="28"/>
              </w:rPr>
              <w:t>Наименование мероприятия (конференции, симпозиума и др.) и выставки</w:t>
            </w:r>
          </w:p>
        </w:tc>
        <w:tc>
          <w:tcPr>
            <w:tcW w:w="3696" w:type="dxa"/>
            <w:gridSpan w:val="2"/>
          </w:tcPr>
          <w:p w14:paraId="67B8DF2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проведения</w:t>
            </w:r>
          </w:p>
        </w:tc>
        <w:tc>
          <w:tcPr>
            <w:tcW w:w="1848" w:type="dxa"/>
            <w:vMerge w:val="restart"/>
          </w:tcPr>
          <w:p w14:paraId="3A5589B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Место проведения</w:t>
            </w:r>
          </w:p>
        </w:tc>
        <w:tc>
          <w:tcPr>
            <w:tcW w:w="1848" w:type="dxa"/>
            <w:vMerge w:val="restart"/>
          </w:tcPr>
          <w:p w14:paraId="7E906A2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Наименование организаций - участников</w:t>
            </w:r>
          </w:p>
        </w:tc>
        <w:tc>
          <w:tcPr>
            <w:tcW w:w="1849" w:type="dxa"/>
            <w:vMerge w:val="restart"/>
          </w:tcPr>
          <w:p w14:paraId="054510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Количество участников (человек)</w:t>
            </w:r>
          </w:p>
        </w:tc>
        <w:tc>
          <w:tcPr>
            <w:tcW w:w="1849" w:type="dxa"/>
            <w:vMerge w:val="restart"/>
          </w:tcPr>
          <w:p w14:paraId="459C3F8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Источник финансирования мероприятия</w:t>
            </w:r>
          </w:p>
        </w:tc>
      </w:tr>
      <w:tr w:rsidR="00151C56" w:rsidRPr="00DB64FB" w14:paraId="036C77A3" w14:textId="77777777" w:rsidTr="00DD23E2">
        <w:tc>
          <w:tcPr>
            <w:tcW w:w="1848" w:type="dxa"/>
            <w:vMerge/>
          </w:tcPr>
          <w:p w14:paraId="506159D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41BFCC5E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76100E62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6104B67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0CD7FC2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54F1E5C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5F08A2D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695BD7A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65B74E95" w14:textId="77777777" w:rsidTr="00DD23E2">
        <w:tc>
          <w:tcPr>
            <w:tcW w:w="1848" w:type="dxa"/>
          </w:tcPr>
          <w:p w14:paraId="73365F82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07FB006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434A505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4F9284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58AB2E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4FE784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5159EBC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01B707E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8A48DEA" w14:textId="77777777" w:rsidTr="00DD23E2">
        <w:tc>
          <w:tcPr>
            <w:tcW w:w="1848" w:type="dxa"/>
          </w:tcPr>
          <w:p w14:paraId="444E9B46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16A7A18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7ED5EE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85DFAF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870A62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4A3CFC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B6717C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80B4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</w:tbl>
    <w:p w14:paraId="4BE5008E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2B532A6B" w14:textId="77777777" w:rsidR="00151C56" w:rsidRDefault="00151C56" w:rsidP="00151C56">
      <w:pPr>
        <w:ind w:left="2124"/>
        <w:jc w:val="both"/>
        <w:rPr>
          <w:sz w:val="28"/>
        </w:rPr>
      </w:pPr>
    </w:p>
    <w:p w14:paraId="308F14C0" w14:textId="77777777" w:rsidR="00151C56" w:rsidRDefault="00151C56" w:rsidP="00151C56">
      <w:pPr>
        <w:ind w:left="2124"/>
        <w:jc w:val="both"/>
        <w:rPr>
          <w:sz w:val="28"/>
        </w:rPr>
      </w:pPr>
    </w:p>
    <w:p w14:paraId="7C1BE755" w14:textId="77777777" w:rsidR="00151C56" w:rsidRDefault="00151C56" w:rsidP="00151C56">
      <w:pPr>
        <w:ind w:left="2124"/>
        <w:jc w:val="both"/>
        <w:rPr>
          <w:sz w:val="28"/>
        </w:rPr>
      </w:pPr>
    </w:p>
    <w:p w14:paraId="5586A30F" w14:textId="77777777" w:rsidR="00151C56" w:rsidRDefault="00151C56" w:rsidP="00151C56">
      <w:pPr>
        <w:ind w:left="2124"/>
        <w:jc w:val="both"/>
        <w:rPr>
          <w:sz w:val="28"/>
        </w:rPr>
      </w:pPr>
    </w:p>
    <w:p w14:paraId="292A67F8" w14:textId="77777777" w:rsidR="00151C56" w:rsidRDefault="00151C56" w:rsidP="00151C56">
      <w:pPr>
        <w:ind w:left="2124"/>
        <w:jc w:val="both"/>
        <w:rPr>
          <w:sz w:val="28"/>
        </w:rPr>
      </w:pPr>
    </w:p>
    <w:p w14:paraId="5AE34FB0" w14:textId="77777777" w:rsidR="00151C56" w:rsidRDefault="00151C56" w:rsidP="00151C56">
      <w:pPr>
        <w:ind w:left="2124"/>
        <w:jc w:val="both"/>
        <w:rPr>
          <w:sz w:val="28"/>
        </w:rPr>
      </w:pPr>
    </w:p>
    <w:p w14:paraId="5D74EE6C" w14:textId="77777777" w:rsidR="00151C56" w:rsidRDefault="00151C56" w:rsidP="00151C56">
      <w:pPr>
        <w:ind w:left="2124"/>
        <w:jc w:val="both"/>
        <w:rPr>
          <w:sz w:val="28"/>
        </w:rPr>
      </w:pPr>
    </w:p>
    <w:p w14:paraId="69EB9D1E" w14:textId="77777777" w:rsidR="00151C56" w:rsidRDefault="00151C56" w:rsidP="00151C56">
      <w:pPr>
        <w:ind w:left="2124"/>
        <w:jc w:val="both"/>
        <w:rPr>
          <w:sz w:val="28"/>
        </w:rPr>
      </w:pPr>
    </w:p>
    <w:p w14:paraId="0EF779B8" w14:textId="77777777" w:rsidR="00151C56" w:rsidRDefault="00151C56" w:rsidP="00151C56">
      <w:pPr>
        <w:ind w:left="2124"/>
        <w:jc w:val="both"/>
        <w:rPr>
          <w:sz w:val="28"/>
        </w:rPr>
      </w:pPr>
    </w:p>
    <w:p w14:paraId="470537F3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5</w:t>
      </w:r>
    </w:p>
    <w:p w14:paraId="2E403048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6F890D2D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CB5B13" w14:textId="77777777" w:rsidR="00151C56" w:rsidRDefault="00151C56" w:rsidP="00151C56">
      <w:pPr>
        <w:jc w:val="both"/>
        <w:rPr>
          <w:sz w:val="28"/>
        </w:rPr>
      </w:pPr>
    </w:p>
    <w:p w14:paraId="4F71DF1D" w14:textId="77777777" w:rsidR="00151C56" w:rsidRDefault="00151C56" w:rsidP="00151C56">
      <w:pPr>
        <w:jc w:val="center"/>
        <w:rPr>
          <w:b/>
          <w:sz w:val="28"/>
        </w:rPr>
      </w:pPr>
      <w:r w:rsidRPr="00D26C8F">
        <w:rPr>
          <w:b/>
          <w:sz w:val="28"/>
        </w:rPr>
        <w:t>Информация об участии в межд</w:t>
      </w:r>
      <w:r>
        <w:rPr>
          <w:b/>
          <w:sz w:val="28"/>
        </w:rPr>
        <w:t>ународных программах и проектах</w:t>
      </w:r>
    </w:p>
    <w:p w14:paraId="5E893513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50C5F610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A732E" wp14:editId="71418D7D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4CDFA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+j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m6OkSYK3ih+HN4Ou/glfhp2aHgXv8Xr+DnexK/xZngP9u3wAewUjLfj9Q4BHLTs&#10;rK+g5IVeudHzduWSMD13Kn2BMuqz/ttJf9YHROHy7Pjs5OHpMUb0ECvugNb58JgZhZJRYyl0koZU&#10;ZPPEB2gGqYcUcNIg+9bZClvJUrLUzxkHutBsntF50diFdGhDYEWa15kG1MqZCcKFlBOo/DNozE0w&#10;lpfvb4FTdu5odJiASmjjftc19IdR+T7/wHrPNdG+Ms02P0SWAzYoqzRue1rRH/0Mv/snl98B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tc4vo+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57DADAF" w14:textId="77777777" w:rsidR="00151C56" w:rsidRDefault="00151C56" w:rsidP="00151C56">
      <w:pPr>
        <w:jc w:val="center"/>
        <w:rPr>
          <w:b/>
          <w:sz w:val="28"/>
        </w:rPr>
      </w:pPr>
    </w:p>
    <w:p w14:paraId="517D05AA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857"/>
        <w:gridCol w:w="1814"/>
        <w:gridCol w:w="1829"/>
        <w:gridCol w:w="1857"/>
        <w:gridCol w:w="1869"/>
        <w:gridCol w:w="1835"/>
        <w:gridCol w:w="1926"/>
      </w:tblGrid>
      <w:tr w:rsidR="00151C56" w:rsidRPr="00DB64FB" w14:paraId="2E3F24C6" w14:textId="77777777" w:rsidTr="00DD23E2">
        <w:tc>
          <w:tcPr>
            <w:tcW w:w="1848" w:type="dxa"/>
            <w:vMerge w:val="restart"/>
          </w:tcPr>
          <w:p w14:paraId="444F2499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2B3BD34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международной программы/ проекта</w:t>
            </w:r>
          </w:p>
        </w:tc>
        <w:tc>
          <w:tcPr>
            <w:tcW w:w="3696" w:type="dxa"/>
            <w:gridSpan w:val="2"/>
          </w:tcPr>
          <w:p w14:paraId="31243E0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Сроки реализации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566B7A9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организатора 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744ABE9B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Наименование организаций </w:t>
            </w:r>
            <w:r>
              <w:rPr>
                <w:szCs w:val="28"/>
              </w:rPr>
              <w:t>–</w:t>
            </w:r>
            <w:r w:rsidRPr="00DB64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соисполнителей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9" w:type="dxa"/>
            <w:vMerge w:val="restart"/>
          </w:tcPr>
          <w:p w14:paraId="727F32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полученных результатов</w:t>
            </w:r>
          </w:p>
        </w:tc>
        <w:tc>
          <w:tcPr>
            <w:tcW w:w="1849" w:type="dxa"/>
            <w:vMerge w:val="restart"/>
          </w:tcPr>
          <w:p w14:paraId="14C6EB5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Источник финансирования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</w:tr>
      <w:tr w:rsidR="00151C56" w:rsidRPr="00DB64FB" w14:paraId="6CDB2A13" w14:textId="77777777" w:rsidTr="00DD23E2">
        <w:tc>
          <w:tcPr>
            <w:tcW w:w="1848" w:type="dxa"/>
            <w:vMerge/>
          </w:tcPr>
          <w:p w14:paraId="4772944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11B015AF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B3C878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4C2845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4004B19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0F1DE83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0962513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1BD2462F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5C201EC2" w14:textId="77777777" w:rsidTr="00DD23E2">
        <w:tc>
          <w:tcPr>
            <w:tcW w:w="1848" w:type="dxa"/>
          </w:tcPr>
          <w:p w14:paraId="2EEA132A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64EDFA4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8A6CB89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1DB0F8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BEF6FD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BA2044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618B506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898E1E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AE3B81C" w14:textId="77777777" w:rsidTr="00DD23E2">
        <w:tc>
          <w:tcPr>
            <w:tcW w:w="1848" w:type="dxa"/>
          </w:tcPr>
          <w:p w14:paraId="5748D443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2003FBB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3DD3CA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96BC47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65C796B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4AAF190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1E62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CE7FD0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</w:tbl>
    <w:p w14:paraId="7D1AE295" w14:textId="77777777" w:rsidR="00151C56" w:rsidRPr="00D26C8F" w:rsidRDefault="00151C56" w:rsidP="00151C56">
      <w:pPr>
        <w:jc w:val="center"/>
        <w:rPr>
          <w:b/>
          <w:sz w:val="28"/>
        </w:rPr>
      </w:pPr>
    </w:p>
    <w:p w14:paraId="0B737B39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684AEE61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1DA7F3AE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4F3C1807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4F7298C3" w14:textId="77777777" w:rsidR="00C807A9" w:rsidRDefault="00C807A9"/>
    <w:sectPr w:rsidR="00C807A9" w:rsidSect="00DD23E2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C56"/>
    <w:rsid w:val="000358BB"/>
    <w:rsid w:val="00042A0B"/>
    <w:rsid w:val="00042BB9"/>
    <w:rsid w:val="000451EF"/>
    <w:rsid w:val="000679D2"/>
    <w:rsid w:val="000915F1"/>
    <w:rsid w:val="000A6D42"/>
    <w:rsid w:val="000C732F"/>
    <w:rsid w:val="00151C56"/>
    <w:rsid w:val="00157141"/>
    <w:rsid w:val="00160DC1"/>
    <w:rsid w:val="001A1DB6"/>
    <w:rsid w:val="002A3D9D"/>
    <w:rsid w:val="002B1D36"/>
    <w:rsid w:val="002C09DC"/>
    <w:rsid w:val="002C5C5A"/>
    <w:rsid w:val="002D32E3"/>
    <w:rsid w:val="002E6ADA"/>
    <w:rsid w:val="00322A21"/>
    <w:rsid w:val="00327FF0"/>
    <w:rsid w:val="00335EE2"/>
    <w:rsid w:val="003514F8"/>
    <w:rsid w:val="003A351C"/>
    <w:rsid w:val="003E1A40"/>
    <w:rsid w:val="00400F05"/>
    <w:rsid w:val="0042336A"/>
    <w:rsid w:val="0047642B"/>
    <w:rsid w:val="004C1CFF"/>
    <w:rsid w:val="004C5848"/>
    <w:rsid w:val="00512F07"/>
    <w:rsid w:val="00590AFA"/>
    <w:rsid w:val="005A3B6E"/>
    <w:rsid w:val="005B65CA"/>
    <w:rsid w:val="005D486D"/>
    <w:rsid w:val="006D5B73"/>
    <w:rsid w:val="006E0319"/>
    <w:rsid w:val="006E717F"/>
    <w:rsid w:val="007636BD"/>
    <w:rsid w:val="007B3C2B"/>
    <w:rsid w:val="008523E2"/>
    <w:rsid w:val="00867EEB"/>
    <w:rsid w:val="00896101"/>
    <w:rsid w:val="008B4CB3"/>
    <w:rsid w:val="00954F6A"/>
    <w:rsid w:val="009F43E6"/>
    <w:rsid w:val="009F5BDD"/>
    <w:rsid w:val="009F66D5"/>
    <w:rsid w:val="00A12384"/>
    <w:rsid w:val="00A319D3"/>
    <w:rsid w:val="00A42D57"/>
    <w:rsid w:val="00A5199F"/>
    <w:rsid w:val="00A92768"/>
    <w:rsid w:val="00AC4EAE"/>
    <w:rsid w:val="00AE6549"/>
    <w:rsid w:val="00B77AA4"/>
    <w:rsid w:val="00B91240"/>
    <w:rsid w:val="00BB6BF3"/>
    <w:rsid w:val="00BD6087"/>
    <w:rsid w:val="00BF25E1"/>
    <w:rsid w:val="00C1246F"/>
    <w:rsid w:val="00C807A9"/>
    <w:rsid w:val="00C95FE1"/>
    <w:rsid w:val="00D024CE"/>
    <w:rsid w:val="00D10B42"/>
    <w:rsid w:val="00D13BDF"/>
    <w:rsid w:val="00DA1EF9"/>
    <w:rsid w:val="00DB5E34"/>
    <w:rsid w:val="00DD23E2"/>
    <w:rsid w:val="00DE3A26"/>
    <w:rsid w:val="00E144EE"/>
    <w:rsid w:val="00E224B0"/>
    <w:rsid w:val="00E25204"/>
    <w:rsid w:val="00E36451"/>
    <w:rsid w:val="00E77D66"/>
    <w:rsid w:val="00EE0114"/>
    <w:rsid w:val="00F058D6"/>
    <w:rsid w:val="00F27B39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089B"/>
  <w15:docId w15:val="{E33B8060-076B-44D8-85AE-F798ECB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Основной текст 1,Нумерованный список !!,Надин стиль"/>
    <w:basedOn w:val="a"/>
    <w:link w:val="1"/>
    <w:rsid w:val="00151C5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uiPriority w:val="99"/>
    <w:semiHidden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 с отступом Знак1"/>
    <w:aliases w:val="Основной текст 1 Знак,Нумерованный список !! Знак,Надин стиль Знак"/>
    <w:link w:val="a3"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A351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13BD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D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library.ru/item.asp?id=363128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D65DA-1A75-4E06-9F96-116AD309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22</Pages>
  <Words>3202</Words>
  <Characters>18253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Байкова Евгения Сергеевна</dc:creator>
  <cp:lastModifiedBy>Murad</cp:lastModifiedBy>
  <cp:revision>60</cp:revision>
  <dcterms:created xsi:type="dcterms:W3CDTF">2019-01-18T10:01:00Z</dcterms:created>
  <dcterms:modified xsi:type="dcterms:W3CDTF">2019-01-29T14:13:00Z</dcterms:modified>
</cp:coreProperties>
</file>