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semosys-upme-model-description"/>
    <w:p>
      <w:pPr>
        <w:pStyle w:val="Heading1"/>
      </w:pPr>
      <w:r>
        <w:t xml:space="preserve">OSeMOSYS UPME Model Description</w:t>
      </w:r>
    </w:p>
    <w:bookmarkStart w:id="9" w:name="source-scenario"/>
    <w:p>
      <w:pPr>
        <w:pStyle w:val="Heading2"/>
      </w:pPr>
      <w:r>
        <w:t xml:space="preserve">Source Scenario</w:t>
      </w:r>
    </w:p>
    <w:p>
      <w:pPr>
        <w:pStyle w:val="FirstParagraph"/>
      </w:pPr>
      <w:r>
        <w:t xml:space="preserve">The previous version of this documentation was generated from the repository’s root</w:t>
      </w:r>
      <w:r>
        <w:t xml:space="preserve"> </w:t>
      </w:r>
      <w:r>
        <w:rPr>
          <w:rStyle w:val="VerbatimChar"/>
        </w:rPr>
        <w:t xml:space="preserve">CSV</w:t>
      </w:r>
      <w:r>
        <w:t xml:space="preserve"> </w:t>
      </w:r>
      <w:r>
        <w:t xml:space="preserve">input folder. That scenario had 1 timeslice, 394 technologies, 109 fuels, 3 emissions, 33 years, 364,717 Pyomo variable entries, and 409,207 active constraints.</w:t>
      </w:r>
    </w:p>
    <w:p>
      <w:pPr>
        <w:pStyle w:val="BodyText"/>
      </w:pPr>
      <w:r>
        <w:t xml:space="preserve">This updated version describes the attached SAND workbook:</w:t>
      </w:r>
    </w:p>
    <w:p>
      <w:pPr>
        <w:pStyle w:val="SourceCode"/>
      </w:pPr>
      <w:r>
        <w:rPr>
          <w:rStyle w:val="VerbatimChar"/>
        </w:rPr>
        <w:t xml:space="preserve">SAND/PD_2TS_41D_2055_SAND_03Jun2026.xlsx</w:t>
      </w:r>
    </w:p>
    <w:p>
      <w:pPr>
        <w:pStyle w:val="FirstParagraph"/>
      </w:pPr>
      <w:r>
        <w:t xml:space="preserve">The workbook was converted to OSeMOSYS CSV inputs with the repository converter in</w:t>
      </w:r>
      <w:r>
        <w:t xml:space="preserve"> </w:t>
      </w:r>
      <w:r>
        <w:rPr>
          <w:rStyle w:val="VerbatimChar"/>
        </w:rPr>
        <w:t xml:space="preserve">backend/app/simulation/core/excel_to_csv.py</w:t>
      </w:r>
      <w:r>
        <w:t xml:space="preserve">, preserving all timeslices with</w:t>
      </w:r>
      <w:r>
        <w:t xml:space="preserve"> </w:t>
      </w:r>
      <w:r>
        <w:rPr>
          <w:rStyle w:val="VerbatimChar"/>
        </w:rPr>
        <w:t xml:space="preserve">div=1</w:t>
      </w:r>
      <w:r>
        <w:t xml:space="preserve">. The generated intermediate CSVs are stored under:</w:t>
      </w:r>
    </w:p>
    <w:p>
      <w:pPr>
        <w:pStyle w:val="SourceCode"/>
      </w:pPr>
      <w:r>
        <w:rPr>
          <w:rStyle w:val="VerbatimChar"/>
        </w:rPr>
        <w:t xml:space="preserve">docs/model_description/generated/PD_2TS_41D_2055_SAND_03Jun2026_csv</w:t>
      </w:r>
    </w:p>
    <w:p>
      <w:pPr>
        <w:pStyle w:val="FirstParagraph"/>
      </w:pPr>
      <w:r>
        <w:t xml:space="preserve">The workbook conversion produced no active storage or UDC CSV files, so the Pyomo model was instantiated with</w:t>
      </w:r>
      <w:r>
        <w:t xml:space="preserve"> </w:t>
      </w:r>
      <w:r>
        <w:rPr>
          <w:rStyle w:val="VerbatimChar"/>
        </w:rPr>
        <w:t xml:space="preserve">has_storage=False</w:t>
      </w:r>
      <w:r>
        <w:t xml:space="preserve"> </w:t>
      </w:r>
      <w:r>
        <w:t xml:space="preserve">and</w:t>
      </w:r>
      <w:r>
        <w:t xml:space="preserve"> </w:t>
      </w:r>
      <w:r>
        <w:rPr>
          <w:rStyle w:val="VerbatimChar"/>
        </w:rPr>
        <w:t xml:space="preserve">has_udc=False</w:t>
      </w:r>
      <w:r>
        <w:t xml:space="preserve">.</w:t>
      </w:r>
    </w:p>
    <w:bookmarkEnd w:id="9"/>
    <w:bookmarkStart w:id="10" w:name="executive-summary"/>
    <w:p>
      <w:pPr>
        <w:pStyle w:val="Heading2"/>
      </w:pPr>
      <w:r>
        <w:t xml:space="preserve">Executive Summary</w:t>
      </w:r>
    </w:p>
    <w:p>
      <w:pPr>
        <w:pStyle w:val="FirstParagraph"/>
      </w:pPr>
      <w:r>
        <w:t xml:space="preserve">This repository runs a Pyomo implementation of OSeMOSYS, a long-term energy-system optimization model. The updated</w:t>
      </w:r>
      <w:r>
        <w:t xml:space="preserve"> </w:t>
      </w:r>
      <w:r>
        <w:rPr>
          <w:rStyle w:val="VerbatimChar"/>
        </w:rPr>
        <w:t xml:space="preserve">PD_2TS_41D_2055_SAND_03Jun2026.xlsx</w:t>
      </w:r>
      <w:r>
        <w:t xml:space="preserve"> </w:t>
      </w:r>
      <w:r>
        <w:t xml:space="preserve">instance is a large deterministic linear programming problem when solved with continuous capacity and activity decisions.</w:t>
      </w:r>
    </w:p>
    <w:p>
      <w:pPr>
        <w:pStyle w:val="BodyText"/>
      </w:pPr>
      <w:r>
        <w:t xml:space="preserve">Strictly, the code declares integer variables for technology unit investments through</w:t>
      </w:r>
      <w:r>
        <w:t xml:space="preserve"> </w:t>
      </w:r>
      <w:r>
        <w:rPr>
          <w:rStyle w:val="VerbatimChar"/>
        </w:rPr>
        <w:t xml:space="preserve">NumberOfNewTechnologyUnits</w:t>
      </w:r>
      <w:r>
        <w:t xml:space="preserve">. In this workbook,</w:t>
      </w:r>
      <w:r>
        <w:t xml:space="preserve"> </w:t>
      </w:r>
      <w:r>
        <w:rPr>
          <w:rStyle w:val="VerbatimChar"/>
        </w:rPr>
        <w:t xml:space="preserve">CapacityOfOneTechnologyUnit</w:t>
      </w:r>
      <w:r>
        <w:t xml:space="preserve"> </w:t>
      </w:r>
      <w:r>
        <w:t xml:space="preserve">is zero everywhere, so those discrete unit-size constraints are inactive. In practical terms, the solved instance behaves as a linear program.</w:t>
      </w:r>
    </w:p>
    <w:bookmarkEnd w:id="10"/>
    <w:bookmarkStart w:id="11" w:name="mathematical-problem-type"/>
    <w:p>
      <w:pPr>
        <w:pStyle w:val="Heading2"/>
      </w:pPr>
      <w:r>
        <w:t xml:space="preserve">Mathematical Problem Type</w:t>
      </w:r>
    </w:p>
    <w:p>
      <w:pPr>
        <w:pStyle w:val="FirstParagraph"/>
      </w:pPr>
      <w:r>
        <w:t xml:space="preserve">The model minimizes total discounted system cost subject to technical, economic, demand, emissions, reserve-margin, and policy constraints.</w:t>
      </w:r>
    </w:p>
    <w:p>
      <w:pPr>
        <w:pStyle w:val="BodyText"/>
      </w:pPr>
      <w:r>
        <w:t xml:space="preserve">Objective:</w:t>
      </w:r>
    </w:p>
    <w:p>
      <w:pPr>
        <w:pStyle w:val="SourceCode"/>
      </w:pPr>
      <w:r>
        <w:rPr>
          <w:rStyle w:val="VerbatimChar"/>
        </w:rPr>
        <w:t xml:space="preserve">Minimize total discounted system cost over all regions and years</w:t>
      </w:r>
    </w:p>
    <w:p>
      <w:pPr>
        <w:pStyle w:val="FirstParagraph"/>
      </w:pPr>
      <w:r>
        <w:t xml:space="preserve">The cost accounting includes investment costs, fixed and variable operating costs, emissions penalties, salvage value, disposal cost, and recovery value.</w:t>
      </w:r>
    </w:p>
    <w:bookmarkEnd w:id="11"/>
    <w:bookmarkStart w:id="12" w:name="solver-interfaces"/>
    <w:p>
      <w:pPr>
        <w:pStyle w:val="Heading2"/>
      </w:pPr>
      <w:r>
        <w:t xml:space="preserve">Solver Interfaces</w:t>
      </w:r>
    </w:p>
    <w:p>
      <w:pPr>
        <w:pStyle w:val="FirstParagraph"/>
      </w:pPr>
      <w:r>
        <w:t xml:space="preserve">The repository maps solver names to Pyomo solver factories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Requested solver</w:t>
            </w:r>
          </w:p>
        </w:tc>
        <w:tc>
          <w:tcPr/>
          <w:p>
            <w:pPr>
              <w:pStyle w:val="Compact"/>
            </w:pPr>
            <w:r>
              <w:t xml:space="preserve">Pyomo solver factory</w:t>
            </w:r>
          </w:p>
        </w:tc>
      </w:tr>
      <w:tr>
        <w:tc>
          <w:tcPr/>
          <w:p>
            <w:pPr>
              <w:pStyle w:val="Compact"/>
            </w:pPr>
            <w:r>
              <w:rPr>
                <w:rStyle w:val="VerbatimChar"/>
              </w:rPr>
              <w:t xml:space="preserve">highs</w:t>
            </w:r>
          </w:p>
        </w:tc>
        <w:tc>
          <w:tcPr/>
          <w:p>
            <w:pPr>
              <w:pStyle w:val="Compact"/>
            </w:pPr>
            <w:r>
              <w:rPr>
                <w:rStyle w:val="VerbatimChar"/>
              </w:rPr>
              <w:t xml:space="preserve">appsi_highs</w:t>
            </w:r>
          </w:p>
        </w:tc>
      </w:tr>
      <w:tr>
        <w:tc>
          <w:tcPr/>
          <w:p>
            <w:pPr>
              <w:pStyle w:val="Compact"/>
            </w:pPr>
            <w:r>
              <w:rPr>
                <w:rStyle w:val="VerbatimChar"/>
              </w:rPr>
              <w:t xml:space="preserve">gurobi</w:t>
            </w:r>
          </w:p>
        </w:tc>
        <w:tc>
          <w:tcPr/>
          <w:p>
            <w:pPr>
              <w:pStyle w:val="Compact"/>
            </w:pPr>
            <w:r>
              <w:rPr>
                <w:rStyle w:val="VerbatimChar"/>
              </w:rPr>
              <w:t xml:space="preserve">gurobi</w:t>
            </w:r>
          </w:p>
        </w:tc>
      </w:tr>
      <w:tr>
        <w:tc>
          <w:tcPr/>
          <w:p>
            <w:pPr>
              <w:pStyle w:val="Compact"/>
            </w:pPr>
            <w:r>
              <w:rPr>
                <w:rStyle w:val="VerbatimChar"/>
              </w:rPr>
              <w:t xml:space="preserve">glpk</w:t>
            </w:r>
          </w:p>
        </w:tc>
        <w:tc>
          <w:tcPr/>
          <w:p>
            <w:pPr>
              <w:pStyle w:val="Compact"/>
            </w:pPr>
            <w:r>
              <w:rPr>
                <w:rStyle w:val="VerbatimChar"/>
              </w:rPr>
              <w:t xml:space="preserve">glpk</w:t>
            </w:r>
          </w:p>
        </w:tc>
      </w:tr>
    </w:tbl>
    <w:p>
      <w:pPr>
        <w:pStyle w:val="BodyText"/>
      </w:pPr>
      <w:r>
        <w:t xml:space="preserve">If</w:t>
      </w:r>
      <w:r>
        <w:t xml:space="preserve"> </w:t>
      </w:r>
      <w:r>
        <w:rPr>
          <w:rStyle w:val="VerbatimChar"/>
        </w:rPr>
        <w:t xml:space="preserve">GLPX</w:t>
      </w:r>
      <w:r>
        <w:t xml:space="preserve"> </w:t>
      </w:r>
      <w:r>
        <w:t xml:space="preserve">is mentioned, the intended solver is almost certainly</w:t>
      </w:r>
      <w:r>
        <w:t xml:space="preserve"> </w:t>
      </w:r>
      <w:r>
        <w:rPr>
          <w:rStyle w:val="VerbatimChar"/>
        </w:rPr>
        <w:t xml:space="preserve">GLPK</w:t>
      </w:r>
      <w:r>
        <w:t xml:space="preserve">.</w:t>
      </w:r>
    </w:p>
    <w:bookmarkEnd w:id="12"/>
    <w:bookmarkStart w:id="13" w:name="current-model-instance-size"/>
    <w:p>
      <w:pPr>
        <w:pStyle w:val="Heading2"/>
      </w:pPr>
      <w:r>
        <w:t xml:space="preserve">Current Model Instance Size</w:t>
      </w:r>
    </w:p>
    <w:p>
      <w:pPr>
        <w:pStyle w:val="FirstParagraph"/>
      </w:pPr>
      <w:r>
        <w:t xml:space="preserve">The following counts were obtained by converting</w:t>
      </w:r>
      <w:r>
        <w:t xml:space="preserve"> </w:t>
      </w:r>
      <w:r>
        <w:rPr>
          <w:rStyle w:val="VerbatimChar"/>
        </w:rPr>
        <w:t xml:space="preserve">PD_2TS_41D_2055_SAND_03Jun2026.xlsx</w:t>
      </w:r>
      <w:r>
        <w:t xml:space="preserve"> </w:t>
      </w:r>
      <w:r>
        <w:t xml:space="preserve">to CSV inputs and instantiating the repository’s Pyomo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Characteristic</w:t>
            </w:r>
          </w:p>
        </w:tc>
        <w:tc>
          <w:tcPr/>
          <w:p>
            <w:pPr>
              <w:pStyle w:val="Compact"/>
              <w:jc w:val="right"/>
            </w:pPr>
            <w:r>
              <w:t xml:space="preserve">Count</w:t>
            </w:r>
          </w:p>
        </w:tc>
      </w:tr>
      <w:tr>
        <w:tc>
          <w:tcPr/>
          <w:p>
            <w:pPr>
              <w:pStyle w:val="Compact"/>
            </w:pPr>
            <w:r>
              <w:t xml:space="preserve">Regions</w:t>
            </w:r>
          </w:p>
        </w:tc>
        <w:tc>
          <w:tcPr/>
          <w:p>
            <w:pPr>
              <w:pStyle w:val="Compact"/>
              <w:jc w:val="right"/>
            </w:pPr>
            <w:r>
              <w:t xml:space="preserve">1</w:t>
            </w:r>
          </w:p>
        </w:tc>
      </w:tr>
      <w:tr>
        <w:tc>
          <w:tcPr/>
          <w:p>
            <w:pPr>
              <w:pStyle w:val="Compact"/>
            </w:pPr>
            <w:r>
              <w:t xml:space="preserve">Technologies</w:t>
            </w:r>
          </w:p>
        </w:tc>
        <w:tc>
          <w:tcPr/>
          <w:p>
            <w:pPr>
              <w:pStyle w:val="Compact"/>
              <w:jc w:val="right"/>
            </w:pPr>
            <w:r>
              <w:t xml:space="preserve">405</w:t>
            </w:r>
          </w:p>
        </w:tc>
      </w:tr>
      <w:tr>
        <w:tc>
          <w:tcPr/>
          <w:p>
            <w:pPr>
              <w:pStyle w:val="Compact"/>
            </w:pPr>
            <w:r>
              <w:t xml:space="preserve">Fuels</w:t>
            </w:r>
          </w:p>
        </w:tc>
        <w:tc>
          <w:tcPr/>
          <w:p>
            <w:pPr>
              <w:pStyle w:val="Compact"/>
              <w:jc w:val="right"/>
            </w:pPr>
            <w:r>
              <w:t xml:space="preserve">114</w:t>
            </w:r>
          </w:p>
        </w:tc>
      </w:tr>
      <w:tr>
        <w:tc>
          <w:tcPr/>
          <w:p>
            <w:pPr>
              <w:pStyle w:val="Compact"/>
            </w:pPr>
            <w:r>
              <w:t xml:space="preserve">Emissions</w:t>
            </w:r>
          </w:p>
        </w:tc>
        <w:tc>
          <w:tcPr/>
          <w:p>
            <w:pPr>
              <w:pStyle w:val="Compact"/>
              <w:jc w:val="right"/>
            </w:pPr>
            <w:r>
              <w:t xml:space="preserve">11</w:t>
            </w:r>
          </w:p>
        </w:tc>
      </w:tr>
      <w:tr>
        <w:tc>
          <w:tcPr/>
          <w:p>
            <w:pPr>
              <w:pStyle w:val="Compact"/>
            </w:pPr>
            <w:r>
              <w:t xml:space="preserve">Years</w:t>
            </w:r>
          </w:p>
        </w:tc>
        <w:tc>
          <w:tcPr/>
          <w:p>
            <w:pPr>
              <w:pStyle w:val="Compact"/>
              <w:jc w:val="right"/>
            </w:pPr>
            <w:r>
              <w:t xml:space="preserve">34</w:t>
            </w:r>
          </w:p>
        </w:tc>
      </w:tr>
      <w:tr>
        <w:tc>
          <w:tcPr/>
          <w:p>
            <w:pPr>
              <w:pStyle w:val="Compact"/>
            </w:pPr>
            <w:r>
              <w:t xml:space="preserve">Year range</w:t>
            </w:r>
          </w:p>
        </w:tc>
        <w:tc>
          <w:tcPr/>
          <w:p>
            <w:pPr>
              <w:pStyle w:val="Compact"/>
              <w:jc w:val="right"/>
            </w:pPr>
            <w:r>
              <w:t xml:space="preserve">2022-2055</w:t>
            </w:r>
          </w:p>
        </w:tc>
      </w:tr>
      <w:tr>
        <w:tc>
          <w:tcPr/>
          <w:p>
            <w:pPr>
              <w:pStyle w:val="Compact"/>
            </w:pPr>
            <w:r>
              <w:t xml:space="preserve">Timeslices</w:t>
            </w:r>
          </w:p>
        </w:tc>
        <w:tc>
          <w:tcPr/>
          <w:p>
            <w:pPr>
              <w:pStyle w:val="Compact"/>
              <w:jc w:val="right"/>
            </w:pPr>
            <w:r>
              <w:t xml:space="preserve">2</w:t>
            </w:r>
          </w:p>
        </w:tc>
      </w:tr>
      <w:tr>
        <w:tc>
          <w:tcPr/>
          <w:p>
            <w:pPr>
              <w:pStyle w:val="Compact"/>
            </w:pPr>
            <w:r>
              <w:t xml:space="preserve">Modes of operation</w:t>
            </w:r>
          </w:p>
        </w:tc>
        <w:tc>
          <w:tcPr/>
          <w:p>
            <w:pPr>
              <w:pStyle w:val="Compact"/>
              <w:jc w:val="right"/>
            </w:pPr>
            <w:r>
              <w:t xml:space="preserve">1</w:t>
            </w:r>
          </w:p>
        </w:tc>
      </w:tr>
      <w:tr>
        <w:tc>
          <w:tcPr/>
          <w:p>
            <w:pPr>
              <w:pStyle w:val="Compact"/>
            </w:pPr>
            <w:r>
              <w:t xml:space="preserve">Active storage technologies</w:t>
            </w:r>
          </w:p>
        </w:tc>
        <w:tc>
          <w:tcPr/>
          <w:p>
            <w:pPr>
              <w:pStyle w:val="Compact"/>
              <w:jc w:val="right"/>
            </w:pPr>
            <w:r>
              <w:t xml:space="preserve">0</w:t>
            </w:r>
          </w:p>
        </w:tc>
      </w:tr>
      <w:tr>
        <w:tc>
          <w:tcPr/>
          <w:p>
            <w:pPr>
              <w:pStyle w:val="Compact"/>
            </w:pPr>
            <w:r>
              <w:t xml:space="preserve">UDC groups</w:t>
            </w:r>
          </w:p>
        </w:tc>
        <w:tc>
          <w:tcPr/>
          <w:p>
            <w:pPr>
              <w:pStyle w:val="Compact"/>
              <w:jc w:val="right"/>
            </w:pPr>
            <w:r>
              <w:t xml:space="preserve">0</w:t>
            </w:r>
          </w:p>
        </w:tc>
      </w:tr>
      <w:tr>
        <w:tc>
          <w:tcPr/>
          <w:p>
            <w:pPr>
              <w:pStyle w:val="Compact"/>
            </w:pPr>
            <w:r>
              <w:t xml:space="preserve">Pyomo variable entries</w:t>
            </w:r>
          </w:p>
        </w:tc>
        <w:tc>
          <w:tcPr/>
          <w:p>
            <w:pPr>
              <w:pStyle w:val="Compact"/>
              <w:jc w:val="right"/>
            </w:pPr>
            <w:r>
              <w:t xml:space="preserve">744,574</w:t>
            </w:r>
          </w:p>
        </w:tc>
      </w:tr>
      <w:tr>
        <w:tc>
          <w:tcPr/>
          <w:p>
            <w:pPr>
              <w:pStyle w:val="Compact"/>
            </w:pPr>
            <w:r>
              <w:t xml:space="preserve">Declared integer variable entries</w:t>
            </w:r>
          </w:p>
        </w:tc>
        <w:tc>
          <w:tcPr/>
          <w:p>
            <w:pPr>
              <w:pStyle w:val="Compact"/>
              <w:jc w:val="right"/>
            </w:pPr>
            <w:r>
              <w:t xml:space="preserve">13,770</w:t>
            </w:r>
          </w:p>
        </w:tc>
      </w:tr>
      <w:tr>
        <w:tc>
          <w:tcPr/>
          <w:p>
            <w:pPr>
              <w:pStyle w:val="Compact"/>
            </w:pPr>
            <w:r>
              <w:t xml:space="preserve">Binary variables</w:t>
            </w:r>
          </w:p>
        </w:tc>
        <w:tc>
          <w:tcPr/>
          <w:p>
            <w:pPr>
              <w:pStyle w:val="Compact"/>
              <w:jc w:val="right"/>
            </w:pPr>
            <w:r>
              <w:t xml:space="preserve">0</w:t>
            </w:r>
          </w:p>
        </w:tc>
      </w:tr>
      <w:tr>
        <w:tc>
          <w:tcPr/>
          <w:p>
            <w:pPr>
              <w:pStyle w:val="Compact"/>
            </w:pPr>
            <w:r>
              <w:t xml:space="preserve">Active constraints/equations</w:t>
            </w:r>
          </w:p>
        </w:tc>
        <w:tc>
          <w:tcPr/>
          <w:p>
            <w:pPr>
              <w:pStyle w:val="Compact"/>
              <w:jc w:val="right"/>
            </w:pPr>
            <w:r>
              <w:t xml:space="preserve">812,409</w:t>
            </w:r>
          </w:p>
        </w:tc>
      </w:tr>
      <w:tr>
        <w:tc>
          <w:tcPr/>
          <w:p>
            <w:pPr>
              <w:pStyle w:val="Compact"/>
            </w:pPr>
            <w:r>
              <w:t xml:space="preserve">Approximate nonzero variable appearances in constraints</w:t>
            </w:r>
          </w:p>
        </w:tc>
        <w:tc>
          <w:tcPr/>
          <w:p>
            <w:pPr>
              <w:pStyle w:val="Compact"/>
              <w:jc w:val="right"/>
            </w:pPr>
            <w:r>
              <w:t xml:space="preserve">4,642,606</w:t>
            </w:r>
          </w:p>
        </w:tc>
      </w:tr>
    </w:tbl>
    <w:p>
      <w:pPr>
        <w:pStyle w:val="BodyText"/>
      </w:pPr>
      <w:r>
        <w:t xml:space="preserve">Important note: storage and user-defined constraint features exist in the codebase, but this workbook conversion did not produce active storage or UDC input files. Therefore storage variables, storage equations, and UDC equations are inactive for this documented run.</w:t>
      </w:r>
    </w:p>
    <w:bookmarkEnd w:id="13"/>
    <w:bookmarkStart w:id="14" w:name="main-decision-and-accounting-variables"/>
    <w:p>
      <w:pPr>
        <w:pStyle w:val="Heading2"/>
      </w:pPr>
      <w:r>
        <w:t xml:space="preserve">Main Decision and Accounting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family</w:t>
            </w:r>
          </w:p>
        </w:tc>
        <w:tc>
          <w:tcPr/>
          <w:p>
            <w:pPr>
              <w:pStyle w:val="Compact"/>
            </w:pPr>
            <w:r>
              <w:t xml:space="preserve">Meaning</w:t>
            </w:r>
          </w:p>
        </w:tc>
      </w:tr>
      <w:tr>
        <w:tc>
          <w:tcPr/>
          <w:p>
            <w:pPr>
              <w:pStyle w:val="Compact"/>
            </w:pPr>
            <w:r>
              <w:rPr>
                <w:rStyle w:val="VerbatimChar"/>
              </w:rPr>
              <w:t xml:space="preserve">NewCapacity</w:t>
            </w:r>
          </w:p>
        </w:tc>
        <w:tc>
          <w:tcPr/>
          <w:p>
            <w:pPr>
              <w:pStyle w:val="Compact"/>
            </w:pPr>
            <w:r>
              <w:t xml:space="preserve">New technology capacity installed</w:t>
            </w:r>
          </w:p>
        </w:tc>
      </w:tr>
      <w:tr>
        <w:tc>
          <w:tcPr/>
          <w:p>
            <w:pPr>
              <w:pStyle w:val="Compact"/>
            </w:pPr>
            <w:r>
              <w:rPr>
                <w:rStyle w:val="VerbatimChar"/>
              </w:rPr>
              <w:t xml:space="preserve">RateOfActivity</w:t>
            </w:r>
          </w:p>
        </w:tc>
        <w:tc>
          <w:tcPr/>
          <w:p>
            <w:pPr>
              <w:pStyle w:val="Compact"/>
            </w:pPr>
            <w:r>
              <w:t xml:space="preserve">Technology activity or dispatch by timeslice</w:t>
            </w:r>
          </w:p>
        </w:tc>
      </w:tr>
      <w:tr>
        <w:tc>
          <w:tcPr/>
          <w:p>
            <w:pPr>
              <w:pStyle w:val="Compact"/>
            </w:pPr>
            <w:r>
              <w:rPr>
                <w:rStyle w:val="VerbatimChar"/>
              </w:rPr>
              <w:t xml:space="preserve">CapitalInvestment</w:t>
            </w:r>
          </w:p>
        </w:tc>
        <w:tc>
          <w:tcPr/>
          <w:p>
            <w:pPr>
              <w:pStyle w:val="Compact"/>
            </w:pPr>
            <w:r>
              <w:t xml:space="preserve">Investment cost accounting</w:t>
            </w:r>
          </w:p>
        </w:tc>
      </w:tr>
      <w:tr>
        <w:tc>
          <w:tcPr/>
          <w:p>
            <w:pPr>
              <w:pStyle w:val="Compact"/>
            </w:pPr>
            <w:r>
              <w:rPr>
                <w:rStyle w:val="VerbatimChar"/>
              </w:rPr>
              <w:t xml:space="preserve">OperatingCost</w:t>
            </w:r>
          </w:p>
        </w:tc>
        <w:tc>
          <w:tcPr/>
          <w:p>
            <w:pPr>
              <w:pStyle w:val="Compact"/>
            </w:pPr>
            <w:r>
              <w:t xml:space="preserve">Fixed and variable operating cost accounting</w:t>
            </w:r>
          </w:p>
        </w:tc>
      </w:tr>
      <w:tr>
        <w:tc>
          <w:tcPr/>
          <w:p>
            <w:pPr>
              <w:pStyle w:val="Compact"/>
            </w:pPr>
            <w:r>
              <w:rPr>
                <w:rStyle w:val="VerbatimChar"/>
              </w:rPr>
              <w:t xml:space="preserve">AnnualTechnologyEmission</w:t>
            </w:r>
          </w:p>
        </w:tc>
        <w:tc>
          <w:tcPr/>
          <w:p>
            <w:pPr>
              <w:pStyle w:val="Compact"/>
            </w:pPr>
            <w:r>
              <w:t xml:space="preserve">Emissions by technology, emission type, and year</w:t>
            </w:r>
          </w:p>
        </w:tc>
      </w:tr>
      <w:tr>
        <w:tc>
          <w:tcPr/>
          <w:p>
            <w:pPr>
              <w:pStyle w:val="Compact"/>
            </w:pPr>
            <w:r>
              <w:rPr>
                <w:rStyle w:val="VerbatimChar"/>
              </w:rPr>
              <w:t xml:space="preserve">AnnualEmissions</w:t>
            </w:r>
          </w:p>
        </w:tc>
        <w:tc>
          <w:tcPr/>
          <w:p>
            <w:pPr>
              <w:pStyle w:val="Compact"/>
            </w:pPr>
            <w:r>
              <w:t xml:space="preserve">Total annual emissions by emission type</w:t>
            </w:r>
          </w:p>
        </w:tc>
      </w:tr>
      <w:tr>
        <w:tc>
          <w:tcPr/>
          <w:p>
            <w:pPr>
              <w:pStyle w:val="Compact"/>
            </w:pPr>
            <w:r>
              <w:rPr>
                <w:rStyle w:val="VerbatimChar"/>
              </w:rPr>
              <w:t xml:space="preserve">TotalDiscountedCost</w:t>
            </w:r>
          </w:p>
        </w:tc>
        <w:tc>
          <w:tcPr/>
          <w:p>
            <w:pPr>
              <w:pStyle w:val="Compact"/>
            </w:pPr>
            <w:r>
              <w:t xml:space="preserve">Annual discounted system cost</w:t>
            </w:r>
          </w:p>
        </w:tc>
      </w:tr>
      <w:tr>
        <w:tc>
          <w:tcPr/>
          <w:p>
            <w:pPr>
              <w:pStyle w:val="Compact"/>
            </w:pPr>
            <w:r>
              <w:rPr>
                <w:rStyle w:val="VerbatimChar"/>
              </w:rPr>
              <w:t xml:space="preserve">TotalCapacityInReserveMargin</w:t>
            </w:r>
          </w:p>
        </w:tc>
        <w:tc>
          <w:tcPr/>
          <w:p>
            <w:pPr>
              <w:pStyle w:val="Compact"/>
            </w:pPr>
            <w:r>
              <w:t xml:space="preserve">Capacity counted toward reserve margin</w:t>
            </w:r>
          </w:p>
        </w:tc>
      </w:tr>
      <w:tr>
        <w:tc>
          <w:tcPr/>
          <w:p>
            <w:pPr>
              <w:pStyle w:val="Compact"/>
            </w:pPr>
            <w:r>
              <w:rPr>
                <w:rStyle w:val="VerbatimChar"/>
              </w:rPr>
              <w:t xml:space="preserve">NumberOfNewTechnologyUnits</w:t>
            </w:r>
          </w:p>
        </w:tc>
        <w:tc>
          <w:tcPr/>
          <w:p>
            <w:pPr>
              <w:pStyle w:val="Compact"/>
            </w:pPr>
            <w:r>
              <w:t xml:space="preserve">Integer unit count, declared but inactive in this dataset</w:t>
            </w:r>
          </w:p>
        </w:tc>
      </w:tr>
    </w:tbl>
    <w:bookmarkEnd w:id="14"/>
    <w:bookmarkStart w:id="15" w:name="largest-active-variable-blocks"/>
    <w:p>
      <w:pPr>
        <w:pStyle w:val="Heading2"/>
      </w:pPr>
      <w:r>
        <w:t xml:space="preserve">Largest Active Variable 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 block</w:t>
            </w:r>
          </w:p>
        </w:tc>
        <w:tc>
          <w:tcPr/>
          <w:p>
            <w:pPr>
              <w:pStyle w:val="Compact"/>
              <w:jc w:val="right"/>
            </w:pPr>
            <w:r>
              <w:t xml:space="preserve">Count</w:t>
            </w:r>
          </w:p>
        </w:tc>
      </w:tr>
      <w:tr>
        <w:tc>
          <w:tcPr/>
          <w:p>
            <w:pPr>
              <w:pStyle w:val="Compact"/>
            </w:pPr>
            <w:r>
              <w:rPr>
                <w:rStyle w:val="VerbatimChar"/>
              </w:rPr>
              <w:t xml:space="preserve">AnnualTechnologyEmissionByMode</w:t>
            </w:r>
          </w:p>
        </w:tc>
        <w:tc>
          <w:tcPr/>
          <w:p>
            <w:pPr>
              <w:pStyle w:val="Compact"/>
              <w:jc w:val="right"/>
            </w:pPr>
            <w:r>
              <w:t xml:space="preserve">151,470</w:t>
            </w:r>
          </w:p>
        </w:tc>
      </w:tr>
      <w:tr>
        <w:tc>
          <w:tcPr/>
          <w:p>
            <w:pPr>
              <w:pStyle w:val="Compact"/>
            </w:pPr>
            <w:r>
              <w:rPr>
                <w:rStyle w:val="VerbatimChar"/>
              </w:rPr>
              <w:t xml:space="preserve">AnnualTechnologyEmission</w:t>
            </w:r>
          </w:p>
        </w:tc>
        <w:tc>
          <w:tcPr/>
          <w:p>
            <w:pPr>
              <w:pStyle w:val="Compact"/>
              <w:jc w:val="right"/>
            </w:pPr>
            <w:r>
              <w:t xml:space="preserve">151,470</w:t>
            </w:r>
          </w:p>
        </w:tc>
      </w:tr>
      <w:tr>
        <w:tc>
          <w:tcPr/>
          <w:p>
            <w:pPr>
              <w:pStyle w:val="Compact"/>
            </w:pPr>
            <w:r>
              <w:rPr>
                <w:rStyle w:val="VerbatimChar"/>
              </w:rPr>
              <w:t xml:space="preserve">AnnualTechnologyEmissionPenaltyByEmission</w:t>
            </w:r>
          </w:p>
        </w:tc>
        <w:tc>
          <w:tcPr/>
          <w:p>
            <w:pPr>
              <w:pStyle w:val="Compact"/>
              <w:jc w:val="right"/>
            </w:pPr>
            <w:r>
              <w:t xml:space="preserve">151,470</w:t>
            </w:r>
          </w:p>
        </w:tc>
      </w:tr>
      <w:tr>
        <w:tc>
          <w:tcPr/>
          <w:p>
            <w:pPr>
              <w:pStyle w:val="Compact"/>
            </w:pPr>
            <w:r>
              <w:rPr>
                <w:rStyle w:val="VerbatimChar"/>
              </w:rPr>
              <w:t xml:space="preserve">RateOfActivity</w:t>
            </w:r>
          </w:p>
        </w:tc>
        <w:tc>
          <w:tcPr/>
          <w:p>
            <w:pPr>
              <w:pStyle w:val="Compact"/>
              <w:jc w:val="right"/>
            </w:pPr>
            <w:r>
              <w:t xml:space="preserve">27,540</w:t>
            </w:r>
          </w:p>
        </w:tc>
      </w:tr>
      <w:tr>
        <w:tc>
          <w:tcPr/>
          <w:p>
            <w:pPr>
              <w:pStyle w:val="Compact"/>
            </w:pPr>
            <w:r>
              <w:rPr>
                <w:rStyle w:val="VerbatimChar"/>
              </w:rPr>
              <w:t xml:space="preserve">VariableOperatingCost</w:t>
            </w:r>
          </w:p>
        </w:tc>
        <w:tc>
          <w:tcPr/>
          <w:p>
            <w:pPr>
              <w:pStyle w:val="Compact"/>
              <w:jc w:val="right"/>
            </w:pPr>
            <w:r>
              <w:t xml:space="preserve">27,540</w:t>
            </w:r>
          </w:p>
        </w:tc>
      </w:tr>
      <w:tr>
        <w:tc>
          <w:tcPr/>
          <w:p>
            <w:pPr>
              <w:pStyle w:val="Compact"/>
            </w:pPr>
            <w:r>
              <w:rPr>
                <w:rStyle w:val="VerbatimChar"/>
              </w:rPr>
              <w:t xml:space="preserve">NumberOfNewTechnologyUnits</w:t>
            </w:r>
          </w:p>
        </w:tc>
        <w:tc>
          <w:tcPr/>
          <w:p>
            <w:pPr>
              <w:pStyle w:val="Compact"/>
              <w:jc w:val="right"/>
            </w:pPr>
            <w:r>
              <w:t xml:space="preserve">13,770</w:t>
            </w:r>
          </w:p>
        </w:tc>
      </w:tr>
      <w:tr>
        <w:tc>
          <w:tcPr/>
          <w:p>
            <w:pPr>
              <w:pStyle w:val="Compact"/>
            </w:pPr>
            <w:r>
              <w:rPr>
                <w:rStyle w:val="VerbatimChar"/>
              </w:rPr>
              <w:t xml:space="preserve">NewCapacity</w:t>
            </w:r>
          </w:p>
        </w:tc>
        <w:tc>
          <w:tcPr/>
          <w:p>
            <w:pPr>
              <w:pStyle w:val="Compact"/>
              <w:jc w:val="right"/>
            </w:pPr>
            <w:r>
              <w:t xml:space="preserve">13,770</w:t>
            </w:r>
          </w:p>
        </w:tc>
      </w:tr>
      <w:tr>
        <w:tc>
          <w:tcPr/>
          <w:p>
            <w:pPr>
              <w:pStyle w:val="Compact"/>
            </w:pPr>
            <w:r>
              <w:rPr>
                <w:rStyle w:val="VerbatimChar"/>
              </w:rPr>
              <w:t xml:space="preserve">SalvageValue</w:t>
            </w:r>
          </w:p>
        </w:tc>
        <w:tc>
          <w:tcPr/>
          <w:p>
            <w:pPr>
              <w:pStyle w:val="Compact"/>
              <w:jc w:val="right"/>
            </w:pPr>
            <w:r>
              <w:t xml:space="preserve">13,770</w:t>
            </w:r>
          </w:p>
        </w:tc>
      </w:tr>
      <w:tr>
        <w:tc>
          <w:tcPr/>
          <w:p>
            <w:pPr>
              <w:pStyle w:val="Compact"/>
            </w:pPr>
            <w:r>
              <w:rPr>
                <w:rStyle w:val="VerbatimChar"/>
              </w:rPr>
              <w:t xml:space="preserve">DiscountedSalvageValue</w:t>
            </w:r>
          </w:p>
        </w:tc>
        <w:tc>
          <w:tcPr/>
          <w:p>
            <w:pPr>
              <w:pStyle w:val="Compact"/>
              <w:jc w:val="right"/>
            </w:pPr>
            <w:r>
              <w:t xml:space="preserve">13,770</w:t>
            </w:r>
          </w:p>
        </w:tc>
      </w:tr>
      <w:tr>
        <w:tc>
          <w:tcPr/>
          <w:p>
            <w:pPr>
              <w:pStyle w:val="Compact"/>
            </w:pPr>
            <w:r>
              <w:rPr>
                <w:rStyle w:val="VerbatimChar"/>
              </w:rPr>
              <w:t xml:space="preserve">OperatingCost</w:t>
            </w:r>
          </w:p>
        </w:tc>
        <w:tc>
          <w:tcPr/>
          <w:p>
            <w:pPr>
              <w:pStyle w:val="Compact"/>
              <w:jc w:val="right"/>
            </w:pPr>
            <w:r>
              <w:t xml:space="preserve">13,770</w:t>
            </w:r>
          </w:p>
        </w:tc>
      </w:tr>
      <w:tr>
        <w:tc>
          <w:tcPr/>
          <w:p>
            <w:pPr>
              <w:pStyle w:val="Compact"/>
            </w:pPr>
            <w:r>
              <w:rPr>
                <w:rStyle w:val="VerbatimChar"/>
              </w:rPr>
              <w:t xml:space="preserve">CapitalInvestment</w:t>
            </w:r>
          </w:p>
        </w:tc>
        <w:tc>
          <w:tcPr/>
          <w:p>
            <w:pPr>
              <w:pStyle w:val="Compact"/>
              <w:jc w:val="right"/>
            </w:pPr>
            <w:r>
              <w:t xml:space="preserve">13,770</w:t>
            </w:r>
          </w:p>
        </w:tc>
      </w:tr>
      <w:tr>
        <w:tc>
          <w:tcPr/>
          <w:p>
            <w:pPr>
              <w:pStyle w:val="Compact"/>
            </w:pPr>
            <w:r>
              <w:rPr>
                <w:rStyle w:val="VerbatimChar"/>
              </w:rPr>
              <w:t xml:space="preserve">DiscountedCapitalInvestment</w:t>
            </w:r>
          </w:p>
        </w:tc>
        <w:tc>
          <w:tcPr/>
          <w:p>
            <w:pPr>
              <w:pStyle w:val="Compact"/>
              <w:jc w:val="right"/>
            </w:pPr>
            <w:r>
              <w:t xml:space="preserve">13,770</w:t>
            </w:r>
          </w:p>
        </w:tc>
      </w:tr>
    </w:tbl>
    <w:bookmarkEnd w:id="15"/>
    <w:bookmarkStart w:id="16" w:name="main-constraint-categories"/>
    <w:p>
      <w:pPr>
        <w:pStyle w:val="Heading2"/>
      </w:pPr>
      <w:r>
        <w:t xml:space="preserve">Main Constraint Categories</w:t>
      </w:r>
    </w:p>
    <w:p>
      <w:pPr>
        <w:pStyle w:val="FirstParagraph"/>
      </w:pPr>
      <w:r>
        <w:t xml:space="preserve">The model includes the following main groups of 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Purpose</w:t>
            </w:r>
          </w:p>
        </w:tc>
      </w:tr>
      <w:tr>
        <w:tc>
          <w:tcPr/>
          <w:p>
            <w:pPr>
              <w:pStyle w:val="Compact"/>
            </w:pPr>
            <w:r>
              <w:t xml:space="preserve">Demand balance</w:t>
            </w:r>
          </w:p>
        </w:tc>
        <w:tc>
          <w:tcPr/>
          <w:p>
            <w:pPr>
              <w:pStyle w:val="Compact"/>
            </w:pPr>
            <w:r>
              <w:t xml:space="preserve">Energy supplied must satisfy demand by fuel, year, and timeslice</w:t>
            </w:r>
          </w:p>
        </w:tc>
      </w:tr>
      <w:tr>
        <w:tc>
          <w:tcPr/>
          <w:p>
            <w:pPr>
              <w:pStyle w:val="Compact"/>
            </w:pPr>
            <w:r>
              <w:t xml:space="preserve">Capacity constraints</w:t>
            </w:r>
          </w:p>
        </w:tc>
        <w:tc>
          <w:tcPr/>
          <w:p>
            <w:pPr>
              <w:pStyle w:val="Compact"/>
            </w:pPr>
            <w:r>
              <w:t xml:space="preserve">Activity cannot exceed available installed capacity</w:t>
            </w:r>
          </w:p>
        </w:tc>
      </w:tr>
      <w:tr>
        <w:tc>
          <w:tcPr/>
          <w:p>
            <w:pPr>
              <w:pStyle w:val="Compact"/>
            </w:pPr>
            <w:r>
              <w:t xml:space="preserve">Investment constraints</w:t>
            </w:r>
          </w:p>
        </w:tc>
        <w:tc>
          <w:tcPr/>
          <w:p>
            <w:pPr>
              <w:pStyle w:val="Compact"/>
            </w:pPr>
            <w:r>
              <w:t xml:space="preserve">New capacity is bounded by annual min/max investment limits</w:t>
            </w:r>
          </w:p>
        </w:tc>
      </w:tr>
      <w:tr>
        <w:tc>
          <w:tcPr/>
          <w:p>
            <w:pPr>
              <w:pStyle w:val="Compact"/>
            </w:pPr>
            <w:r>
              <w:t xml:space="preserve">Activity constraints</w:t>
            </w:r>
          </w:p>
        </w:tc>
        <w:tc>
          <w:tcPr/>
          <w:p>
            <w:pPr>
              <w:pStyle w:val="Compact"/>
            </w:pPr>
            <w:r>
              <w:t xml:space="preserve">Technologies may have lower or upper activity bounds</w:t>
            </w:r>
          </w:p>
        </w:tc>
      </w:tr>
      <w:tr>
        <w:tc>
          <w:tcPr/>
          <w:p>
            <w:pPr>
              <w:pStyle w:val="Compact"/>
            </w:pPr>
            <w:r>
              <w:t xml:space="preserve">Emissions accounting and limits</w:t>
            </w:r>
          </w:p>
        </w:tc>
        <w:tc>
          <w:tcPr/>
          <w:p>
            <w:pPr>
              <w:pStyle w:val="Compact"/>
            </w:pPr>
            <w:r>
              <w:t xml:space="preserve">Emissions are calculated, penalized, and optionally bounded</w:t>
            </w:r>
          </w:p>
        </w:tc>
      </w:tr>
      <w:tr>
        <w:tc>
          <w:tcPr/>
          <w:p>
            <w:pPr>
              <w:pStyle w:val="Compact"/>
            </w:pPr>
            <w:r>
              <w:t xml:space="preserve">Reserve margin</w:t>
            </w:r>
          </w:p>
        </w:tc>
        <w:tc>
          <w:tcPr/>
          <w:p>
            <w:pPr>
              <w:pStyle w:val="Compact"/>
            </w:pPr>
            <w:r>
              <w:t xml:space="preserve">Capacity adequacy constraints for selected technologies and fuels</w:t>
            </w:r>
          </w:p>
        </w:tc>
      </w:tr>
      <w:tr>
        <w:tc>
          <w:tcPr/>
          <w:p>
            <w:pPr>
              <w:pStyle w:val="Compact"/>
            </w:pPr>
            <w:r>
              <w:t xml:space="preserve">User-defined constraints</w:t>
            </w:r>
          </w:p>
        </w:tc>
        <w:tc>
          <w:tcPr/>
          <w:p>
            <w:pPr>
              <w:pStyle w:val="Compact"/>
            </w:pPr>
            <w:r>
              <w:t xml:space="preserve">Supported by the code, but inactive in this workbook conversion</w:t>
            </w:r>
          </w:p>
        </w:tc>
      </w:tr>
      <w:tr>
        <w:tc>
          <w:tcPr/>
          <w:p>
            <w:pPr>
              <w:pStyle w:val="Compact"/>
            </w:pPr>
            <w:r>
              <w:t xml:space="preserve">Storage constraints</w:t>
            </w:r>
          </w:p>
        </w:tc>
        <w:tc>
          <w:tcPr/>
          <w:p>
            <w:pPr>
              <w:pStyle w:val="Compact"/>
            </w:pPr>
            <w:r>
              <w:t xml:space="preserve">Supported by the code, but inactive in this workbook conversion</w:t>
            </w:r>
          </w:p>
        </w:tc>
      </w:tr>
    </w:tbl>
    <w:bookmarkEnd w:id="16"/>
    <w:bookmarkStart w:id="17" w:name="largest-active-constraint-blocks"/>
    <w:p>
      <w:pPr>
        <w:pStyle w:val="Heading2"/>
      </w:pPr>
      <w:r>
        <w:t xml:space="preserve">Largest Active Constraint 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 family</w:t>
            </w:r>
          </w:p>
        </w:tc>
        <w:tc>
          <w:tcPr/>
          <w:p>
            <w:pPr>
              <w:pStyle w:val="Compact"/>
              <w:jc w:val="right"/>
            </w:pPr>
            <w:r>
              <w:t xml:space="preserve">Active constraints</w:t>
            </w:r>
          </w:p>
        </w:tc>
      </w:tr>
      <w:tr>
        <w:tc>
          <w:tcPr/>
          <w:p>
            <w:pPr>
              <w:pStyle w:val="Compact"/>
            </w:pPr>
            <w:r>
              <w:rPr>
                <w:rStyle w:val="VerbatimChar"/>
              </w:rPr>
              <w:t xml:space="preserve">AnnualEmissionProductionByMode</w:t>
            </w:r>
          </w:p>
        </w:tc>
        <w:tc>
          <w:tcPr/>
          <w:p>
            <w:pPr>
              <w:pStyle w:val="Compact"/>
              <w:jc w:val="right"/>
            </w:pPr>
            <w:r>
              <w:t xml:space="preserve">151,470</w:t>
            </w:r>
          </w:p>
        </w:tc>
      </w:tr>
      <w:tr>
        <w:tc>
          <w:tcPr/>
          <w:p>
            <w:pPr>
              <w:pStyle w:val="Compact"/>
            </w:pPr>
            <w:r>
              <w:rPr>
                <w:rStyle w:val="VerbatimChar"/>
              </w:rPr>
              <w:t xml:space="preserve">AnnualEmissionProduction</w:t>
            </w:r>
          </w:p>
        </w:tc>
        <w:tc>
          <w:tcPr/>
          <w:p>
            <w:pPr>
              <w:pStyle w:val="Compact"/>
              <w:jc w:val="right"/>
            </w:pPr>
            <w:r>
              <w:t xml:space="preserve">151,470</w:t>
            </w:r>
          </w:p>
        </w:tc>
      </w:tr>
      <w:tr>
        <w:tc>
          <w:tcPr/>
          <w:p>
            <w:pPr>
              <w:pStyle w:val="Compact"/>
            </w:pPr>
            <w:r>
              <w:rPr>
                <w:rStyle w:val="VerbatimChar"/>
              </w:rPr>
              <w:t xml:space="preserve">EmissionPenaltyByTechAndEmission</w:t>
            </w:r>
          </w:p>
        </w:tc>
        <w:tc>
          <w:tcPr/>
          <w:p>
            <w:pPr>
              <w:pStyle w:val="Compact"/>
              <w:jc w:val="right"/>
            </w:pPr>
            <w:r>
              <w:t xml:space="preserve">151,470</w:t>
            </w:r>
          </w:p>
        </w:tc>
      </w:tr>
      <w:tr>
        <w:tc>
          <w:tcPr/>
          <w:p>
            <w:pPr>
              <w:pStyle w:val="Compact"/>
            </w:pPr>
            <w:r>
              <w:rPr>
                <w:rStyle w:val="VerbatimChar"/>
              </w:rPr>
              <w:t xml:space="preserve">ConstraintCapacity</w:t>
            </w:r>
          </w:p>
        </w:tc>
        <w:tc>
          <w:tcPr/>
          <w:p>
            <w:pPr>
              <w:pStyle w:val="Compact"/>
              <w:jc w:val="right"/>
            </w:pPr>
            <w:r>
              <w:t xml:space="preserve">27,540</w:t>
            </w:r>
          </w:p>
        </w:tc>
      </w:tr>
      <w:tr>
        <w:tc>
          <w:tcPr/>
          <w:p>
            <w:pPr>
              <w:pStyle w:val="Compact"/>
            </w:pPr>
            <w:r>
              <w:rPr>
                <w:rStyle w:val="VerbatimChar"/>
              </w:rPr>
              <w:t xml:space="preserve">PlannedMaintenance</w:t>
            </w:r>
          </w:p>
        </w:tc>
        <w:tc>
          <w:tcPr/>
          <w:p>
            <w:pPr>
              <w:pStyle w:val="Compact"/>
              <w:jc w:val="right"/>
            </w:pPr>
            <w:r>
              <w:t xml:space="preserve">13,770</w:t>
            </w:r>
          </w:p>
        </w:tc>
      </w:tr>
      <w:tr>
        <w:tc>
          <w:tcPr/>
          <w:p>
            <w:pPr>
              <w:pStyle w:val="Compact"/>
            </w:pPr>
            <w:r>
              <w:rPr>
                <w:rStyle w:val="VerbatimChar"/>
              </w:rPr>
              <w:t xml:space="preserve">UndiscountedCapitalInvestment</w:t>
            </w:r>
          </w:p>
        </w:tc>
        <w:tc>
          <w:tcPr/>
          <w:p>
            <w:pPr>
              <w:pStyle w:val="Compact"/>
              <w:jc w:val="right"/>
            </w:pPr>
            <w:r>
              <w:t xml:space="preserve">13,770</w:t>
            </w:r>
          </w:p>
        </w:tc>
      </w:tr>
      <w:tr>
        <w:tc>
          <w:tcPr/>
          <w:p>
            <w:pPr>
              <w:pStyle w:val="Compact"/>
            </w:pPr>
            <w:r>
              <w:rPr>
                <w:rStyle w:val="VerbatimChar"/>
              </w:rPr>
              <w:t xml:space="preserve">DiscountedCapitalInvestment_constraint</w:t>
            </w:r>
          </w:p>
        </w:tc>
        <w:tc>
          <w:tcPr/>
          <w:p>
            <w:pPr>
              <w:pStyle w:val="Compact"/>
              <w:jc w:val="right"/>
            </w:pPr>
            <w:r>
              <w:t xml:space="preserve">13,770</w:t>
            </w:r>
          </w:p>
        </w:tc>
      </w:tr>
      <w:tr>
        <w:tc>
          <w:tcPr/>
          <w:p>
            <w:pPr>
              <w:pStyle w:val="Compact"/>
            </w:pPr>
            <w:r>
              <w:rPr>
                <w:rStyle w:val="VerbatimChar"/>
              </w:rPr>
              <w:t xml:space="preserve">OperatingCostsVariable</w:t>
            </w:r>
          </w:p>
        </w:tc>
        <w:tc>
          <w:tcPr/>
          <w:p>
            <w:pPr>
              <w:pStyle w:val="Compact"/>
              <w:jc w:val="right"/>
            </w:pPr>
            <w:r>
              <w:t xml:space="preserve">13,770</w:t>
            </w:r>
          </w:p>
        </w:tc>
      </w:tr>
      <w:tr>
        <w:tc>
          <w:tcPr/>
          <w:p>
            <w:pPr>
              <w:pStyle w:val="Compact"/>
            </w:pPr>
            <w:r>
              <w:rPr>
                <w:rStyle w:val="VerbatimChar"/>
              </w:rPr>
              <w:t xml:space="preserve">OperatingCostsFixedAnnual</w:t>
            </w:r>
          </w:p>
        </w:tc>
        <w:tc>
          <w:tcPr/>
          <w:p>
            <w:pPr>
              <w:pStyle w:val="Compact"/>
              <w:jc w:val="right"/>
            </w:pPr>
            <w:r>
              <w:t xml:space="preserve">13,770</w:t>
            </w:r>
          </w:p>
        </w:tc>
      </w:tr>
      <w:tr>
        <w:tc>
          <w:tcPr/>
          <w:p>
            <w:pPr>
              <w:pStyle w:val="Compact"/>
            </w:pPr>
            <w:r>
              <w:rPr>
                <w:rStyle w:val="VerbatimChar"/>
              </w:rPr>
              <w:t xml:space="preserve">OperatingCostsTotalAnnual</w:t>
            </w:r>
          </w:p>
        </w:tc>
        <w:tc>
          <w:tcPr/>
          <w:p>
            <w:pPr>
              <w:pStyle w:val="Compact"/>
              <w:jc w:val="right"/>
            </w:pPr>
            <w:r>
              <w:t xml:space="preserve">13,770</w:t>
            </w:r>
          </w:p>
        </w:tc>
      </w:tr>
      <w:tr>
        <w:tc>
          <w:tcPr/>
          <w:p>
            <w:pPr>
              <w:pStyle w:val="Compact"/>
            </w:pPr>
            <w:r>
              <w:rPr>
                <w:rStyle w:val="VerbatimChar"/>
              </w:rPr>
              <w:t xml:space="preserve">DiscountedOperatingCostsTotalAnnual</w:t>
            </w:r>
          </w:p>
        </w:tc>
        <w:tc>
          <w:tcPr/>
          <w:p>
            <w:pPr>
              <w:pStyle w:val="Compact"/>
              <w:jc w:val="right"/>
            </w:pPr>
            <w:r>
              <w:t xml:space="preserve">13,770</w:t>
            </w:r>
          </w:p>
        </w:tc>
      </w:tr>
      <w:tr>
        <w:tc>
          <w:tcPr/>
          <w:p>
            <w:pPr>
              <w:pStyle w:val="Compact"/>
            </w:pPr>
            <w:r>
              <w:rPr>
                <w:rStyle w:val="VerbatimChar"/>
              </w:rPr>
              <w:t xml:space="preserve">TotalDiscountedCostByTechnology_constraint</w:t>
            </w:r>
          </w:p>
        </w:tc>
        <w:tc>
          <w:tcPr/>
          <w:p>
            <w:pPr>
              <w:pStyle w:val="Compact"/>
              <w:jc w:val="right"/>
            </w:pPr>
            <w:r>
              <w:t xml:space="preserve">13,770</w:t>
            </w:r>
          </w:p>
        </w:tc>
      </w:tr>
      <w:tr>
        <w:tc>
          <w:tcPr/>
          <w:p>
            <w:pPr>
              <w:pStyle w:val="Compact"/>
            </w:pPr>
            <w:r>
              <w:rPr>
                <w:rStyle w:val="VerbatimChar"/>
              </w:rPr>
              <w:t xml:space="preserve">TotalAnnualMinCapacityConstraint</w:t>
            </w:r>
          </w:p>
        </w:tc>
        <w:tc>
          <w:tcPr/>
          <w:p>
            <w:pPr>
              <w:pStyle w:val="Compact"/>
              <w:jc w:val="right"/>
            </w:pPr>
            <w:r>
              <w:t xml:space="preserve">13,770</w:t>
            </w:r>
          </w:p>
        </w:tc>
      </w:tr>
      <w:tr>
        <w:tc>
          <w:tcPr/>
          <w:p>
            <w:pPr>
              <w:pStyle w:val="Compact"/>
            </w:pPr>
            <w:r>
              <w:rPr>
                <w:rStyle w:val="VerbatimChar"/>
              </w:rPr>
              <w:t xml:space="preserve">SalvageValueAtEndOfPeriod1</w:t>
            </w:r>
          </w:p>
        </w:tc>
        <w:tc>
          <w:tcPr/>
          <w:p>
            <w:pPr>
              <w:pStyle w:val="Compact"/>
              <w:jc w:val="right"/>
            </w:pPr>
            <w:r>
              <w:t xml:space="preserve">13,770</w:t>
            </w:r>
          </w:p>
        </w:tc>
      </w:tr>
      <w:tr>
        <w:tc>
          <w:tcPr/>
          <w:p>
            <w:pPr>
              <w:pStyle w:val="Compact"/>
            </w:pPr>
            <w:r>
              <w:rPr>
                <w:rStyle w:val="VerbatimChar"/>
              </w:rPr>
              <w:t xml:space="preserve">SalvageValueDiscountedToStartYear</w:t>
            </w:r>
          </w:p>
        </w:tc>
        <w:tc>
          <w:tcPr/>
          <w:p>
            <w:pPr>
              <w:pStyle w:val="Compact"/>
              <w:jc w:val="right"/>
            </w:pPr>
            <w:r>
              <w:t xml:space="preserve">13,770</w:t>
            </w:r>
          </w:p>
        </w:tc>
      </w:tr>
    </w:tbl>
    <w:p>
      <w:pPr>
        <w:pStyle w:val="BodyText"/>
      </w:pPr>
      <w:r>
        <w:t xml:space="preserve">In optimization terminology, the word</w:t>
      </w:r>
      <w:r>
        <w:t xml:space="preserve"> </w:t>
      </w:r>
      <w:r>
        <w:t xml:space="preserve">“equations”</w:t>
      </w:r>
      <w:r>
        <w:t xml:space="preserve"> </w:t>
      </w:r>
      <w:r>
        <w:t xml:space="preserve">is often used informally for all expanded active constraints, including both equalities and inequalities. This documented workbook instance has 812,409 active constraints/equations.</w:t>
      </w:r>
    </w:p>
    <w:bookmarkEnd w:id="17"/>
    <w:bookmarkStart w:id="18" w:name="technologies-with-restrictions"/>
    <w:p>
      <w:pPr>
        <w:pStyle w:val="Heading2"/>
      </w:pPr>
      <w:r>
        <w:t xml:space="preserve">Technologies With Restrictions</w:t>
      </w:r>
    </w:p>
    <w:p>
      <w:pPr>
        <w:pStyle w:val="FirstParagraph"/>
      </w:pPr>
      <w:r>
        <w:t xml:space="preserve">There are 405 technologies in the active model set. Using non-default capacity, activity, reserve-margin, renewable-energy tag, unit-size, and UDC parameters as the definition of having an active restriction, all 405 technologies have at least one active restriction in this workbook-derived instance.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Restriction parameter</w:t>
            </w:r>
          </w:p>
        </w:tc>
        <w:tc>
          <w:tcPr/>
          <w:p>
            <w:pPr>
              <w:pStyle w:val="Compact"/>
              <w:jc w:val="right"/>
            </w:pPr>
            <w:r>
              <w:t xml:space="preserve">Technologies affected</w:t>
            </w:r>
          </w:p>
        </w:tc>
        <w:tc>
          <w:tcPr/>
          <w:p>
            <w:pPr>
              <w:pStyle w:val="Compact"/>
              <w:jc w:val="right"/>
            </w:pPr>
            <w:r>
              <w:t xml:space="preserve">Active rows</w:t>
            </w:r>
          </w:p>
        </w:tc>
      </w:tr>
      <w:tr>
        <w:tc>
          <w:tcPr/>
          <w:p>
            <w:pPr>
              <w:pStyle w:val="Compact"/>
            </w:pPr>
            <w:r>
              <w:rPr>
                <w:rStyle w:val="VerbatimChar"/>
              </w:rPr>
              <w:t xml:space="preserve">TotalAnnualMaxCapacity</w:t>
            </w:r>
          </w:p>
        </w:tc>
        <w:tc>
          <w:tcPr/>
          <w:p>
            <w:pPr>
              <w:pStyle w:val="Compact"/>
              <w:jc w:val="right"/>
            </w:pPr>
            <w:r>
              <w:t xml:space="preserve">404</w:t>
            </w:r>
          </w:p>
        </w:tc>
        <w:tc>
          <w:tcPr/>
          <w:p>
            <w:pPr>
              <w:pStyle w:val="Compact"/>
              <w:jc w:val="right"/>
            </w:pPr>
            <w:r>
              <w:t xml:space="preserve">13,736</w:t>
            </w:r>
          </w:p>
        </w:tc>
      </w:tr>
      <w:tr>
        <w:tc>
          <w:tcPr/>
          <w:p>
            <w:pPr>
              <w:pStyle w:val="Compact"/>
            </w:pPr>
            <w:r>
              <w:rPr>
                <w:rStyle w:val="VerbatimChar"/>
              </w:rPr>
              <w:t xml:space="preserve">TotalAnnualMaxCapacityInvestment</w:t>
            </w:r>
          </w:p>
        </w:tc>
        <w:tc>
          <w:tcPr/>
          <w:p>
            <w:pPr>
              <w:pStyle w:val="Compact"/>
              <w:jc w:val="right"/>
            </w:pPr>
            <w:r>
              <w:t xml:space="preserve">405</w:t>
            </w:r>
          </w:p>
        </w:tc>
        <w:tc>
          <w:tcPr/>
          <w:p>
            <w:pPr>
              <w:pStyle w:val="Compact"/>
              <w:jc w:val="right"/>
            </w:pPr>
            <w:r>
              <w:t xml:space="preserve">13,770</w:t>
            </w:r>
          </w:p>
        </w:tc>
      </w:tr>
      <w:tr>
        <w:tc>
          <w:tcPr/>
          <w:p>
            <w:pPr>
              <w:pStyle w:val="Compact"/>
            </w:pPr>
            <w:r>
              <w:rPr>
                <w:rStyle w:val="VerbatimChar"/>
              </w:rPr>
              <w:t xml:space="preserve">TotalAnnualMinCapacity</w:t>
            </w:r>
          </w:p>
        </w:tc>
        <w:tc>
          <w:tcPr/>
          <w:p>
            <w:pPr>
              <w:pStyle w:val="Compact"/>
              <w:jc w:val="right"/>
            </w:pPr>
            <w:r>
              <w:t xml:space="preserve">2</w:t>
            </w:r>
          </w:p>
        </w:tc>
        <w:tc>
          <w:tcPr/>
          <w:p>
            <w:pPr>
              <w:pStyle w:val="Compact"/>
              <w:jc w:val="right"/>
            </w:pPr>
            <w:r>
              <w:t xml:space="preserve">60</w:t>
            </w:r>
          </w:p>
        </w:tc>
      </w:tr>
      <w:tr>
        <w:tc>
          <w:tcPr/>
          <w:p>
            <w:pPr>
              <w:pStyle w:val="Compact"/>
            </w:pPr>
            <w:r>
              <w:rPr>
                <w:rStyle w:val="VerbatimChar"/>
              </w:rPr>
              <w:t xml:space="preserve">TotalAnnualMinCapacityInvestment</w:t>
            </w:r>
          </w:p>
        </w:tc>
        <w:tc>
          <w:tcPr/>
          <w:p>
            <w:pPr>
              <w:pStyle w:val="Compact"/>
              <w:jc w:val="right"/>
            </w:pPr>
            <w:r>
              <w:t xml:space="preserve">16</w:t>
            </w:r>
          </w:p>
        </w:tc>
        <w:tc>
          <w:tcPr/>
          <w:p>
            <w:pPr>
              <w:pStyle w:val="Compact"/>
              <w:jc w:val="right"/>
            </w:pPr>
            <w:r>
              <w:t xml:space="preserve">209</w:t>
            </w:r>
          </w:p>
        </w:tc>
      </w:tr>
      <w:tr>
        <w:tc>
          <w:tcPr/>
          <w:p>
            <w:pPr>
              <w:pStyle w:val="Compact"/>
            </w:pPr>
            <w:r>
              <w:rPr>
                <w:rStyle w:val="VerbatimChar"/>
              </w:rPr>
              <w:t xml:space="preserve">TotalTechnologyAnnualActivityUpperLimit</w:t>
            </w:r>
          </w:p>
        </w:tc>
        <w:tc>
          <w:tcPr/>
          <w:p>
            <w:pPr>
              <w:pStyle w:val="Compact"/>
              <w:jc w:val="right"/>
            </w:pPr>
            <w:r>
              <w:t xml:space="preserve">404</w:t>
            </w:r>
          </w:p>
        </w:tc>
        <w:tc>
          <w:tcPr/>
          <w:p>
            <w:pPr>
              <w:pStyle w:val="Compact"/>
              <w:jc w:val="right"/>
            </w:pPr>
            <w:r>
              <w:t xml:space="preserve">13,736</w:t>
            </w:r>
          </w:p>
        </w:tc>
      </w:tr>
      <w:tr>
        <w:tc>
          <w:tcPr/>
          <w:p>
            <w:pPr>
              <w:pStyle w:val="Compact"/>
            </w:pPr>
            <w:r>
              <w:rPr>
                <w:rStyle w:val="VerbatimChar"/>
              </w:rPr>
              <w:t xml:space="preserve">TotalTechnologyAnnualActivityLowerLimit</w:t>
            </w:r>
          </w:p>
        </w:tc>
        <w:tc>
          <w:tcPr/>
          <w:p>
            <w:pPr>
              <w:pStyle w:val="Compact"/>
              <w:jc w:val="right"/>
            </w:pPr>
            <w:r>
              <w:t xml:space="preserve">211</w:t>
            </w:r>
          </w:p>
        </w:tc>
        <w:tc>
          <w:tcPr/>
          <w:p>
            <w:pPr>
              <w:pStyle w:val="Compact"/>
              <w:jc w:val="right"/>
            </w:pPr>
            <w:r>
              <w:t xml:space="preserve">6,084</w:t>
            </w:r>
          </w:p>
        </w:tc>
      </w:tr>
      <w:tr>
        <w:tc>
          <w:tcPr/>
          <w:p>
            <w:pPr>
              <w:pStyle w:val="Compact"/>
            </w:pPr>
            <w:r>
              <w:rPr>
                <w:rStyle w:val="VerbatimChar"/>
              </w:rPr>
              <w:t xml:space="preserve">TotalTechnologyModelPeriodActivityUpperLimit</w:t>
            </w:r>
          </w:p>
        </w:tc>
        <w:tc>
          <w:tcPr/>
          <w:p>
            <w:pPr>
              <w:pStyle w:val="Compact"/>
              <w:jc w:val="right"/>
            </w:pPr>
            <w:r>
              <w:t xml:space="preserve">405</w:t>
            </w:r>
          </w:p>
        </w:tc>
        <w:tc>
          <w:tcPr/>
          <w:p>
            <w:pPr>
              <w:pStyle w:val="Compact"/>
              <w:jc w:val="right"/>
            </w:pPr>
            <w:r>
              <w:t xml:space="preserve">405</w:t>
            </w:r>
          </w:p>
        </w:tc>
      </w:tr>
      <w:tr>
        <w:tc>
          <w:tcPr/>
          <w:p>
            <w:pPr>
              <w:pStyle w:val="Compact"/>
            </w:pPr>
            <w:r>
              <w:rPr>
                <w:rStyle w:val="VerbatimChar"/>
              </w:rPr>
              <w:t xml:space="preserve">ReserveMarginTagTechnology</w:t>
            </w:r>
          </w:p>
        </w:tc>
        <w:tc>
          <w:tcPr/>
          <w:p>
            <w:pPr>
              <w:pStyle w:val="Compact"/>
              <w:jc w:val="right"/>
            </w:pPr>
            <w:r>
              <w:t xml:space="preserve">25</w:t>
            </w:r>
          </w:p>
        </w:tc>
        <w:tc>
          <w:tcPr/>
          <w:p>
            <w:pPr>
              <w:pStyle w:val="Compact"/>
              <w:jc w:val="right"/>
            </w:pPr>
            <w:r>
              <w:t xml:space="preserve">850</w:t>
            </w:r>
          </w:p>
        </w:tc>
      </w:tr>
    </w:tbl>
    <w:p>
      <w:pPr>
        <w:pStyle w:val="BodyText"/>
      </w:pPr>
      <w:r>
        <w:t xml:space="preserve">No active technology restrictions were found for the following categories in this workbook-derived instance: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 or category</w:t>
            </w:r>
          </w:p>
        </w:tc>
        <w:tc>
          <w:tcPr/>
          <w:p>
            <w:pPr>
              <w:pStyle w:val="Compact"/>
            </w:pPr>
            <w:r>
              <w:t xml:space="preserve">Status</w:t>
            </w:r>
          </w:p>
        </w:tc>
      </w:tr>
      <w:tr>
        <w:tc>
          <w:tcPr/>
          <w:p>
            <w:pPr>
              <w:pStyle w:val="Compact"/>
            </w:pPr>
            <w:r>
              <w:rPr>
                <w:rStyle w:val="VerbatimChar"/>
              </w:rPr>
              <w:t xml:space="preserve">CapacityOfOneTechnologyUnit</w:t>
            </w:r>
          </w:p>
        </w:tc>
        <w:tc>
          <w:tcPr/>
          <w:p>
            <w:pPr>
              <w:pStyle w:val="Compact"/>
            </w:pPr>
            <w:r>
              <w:t xml:space="preserve">All zero, so integer unit constraints are inactive</w:t>
            </w:r>
          </w:p>
        </w:tc>
      </w:tr>
      <w:tr>
        <w:tc>
          <w:tcPr/>
          <w:p>
            <w:pPr>
              <w:pStyle w:val="Compact"/>
            </w:pPr>
            <w:r>
              <w:rPr>
                <w:rStyle w:val="VerbatimChar"/>
              </w:rPr>
              <w:t xml:space="preserve">TotalTechnologyModelPeriodActivityLowerLimit</w:t>
            </w:r>
          </w:p>
        </w:tc>
        <w:tc>
          <w:tcPr/>
          <w:p>
            <w:pPr>
              <w:pStyle w:val="Compact"/>
            </w:pPr>
            <w:r>
              <w:t xml:space="preserve">No nonzero active values</w:t>
            </w:r>
          </w:p>
        </w:tc>
      </w:tr>
      <w:tr>
        <w:tc>
          <w:tcPr/>
          <w:p>
            <w:pPr>
              <w:pStyle w:val="Compact"/>
            </w:pPr>
            <w:r>
              <w:rPr>
                <w:rStyle w:val="VerbatimChar"/>
              </w:rPr>
              <w:t xml:space="preserve">RETagTechnology</w:t>
            </w:r>
          </w:p>
        </w:tc>
        <w:tc>
          <w:tcPr/>
          <w:p>
            <w:pPr>
              <w:pStyle w:val="Compact"/>
            </w:pPr>
            <w:r>
              <w:t xml:space="preserve">No active technology tags</w:t>
            </w:r>
          </w:p>
        </w:tc>
      </w:tr>
      <w:tr>
        <w:tc>
          <w:tcPr/>
          <w:p>
            <w:pPr>
              <w:pStyle w:val="Compact"/>
            </w:pPr>
            <w:r>
              <w:rPr>
                <w:rStyle w:val="VerbatimChar"/>
              </w:rPr>
              <w:t xml:space="preserve">UDCMultiplierTotalCapacity</w:t>
            </w:r>
          </w:p>
        </w:tc>
        <w:tc>
          <w:tcPr/>
          <w:p>
            <w:pPr>
              <w:pStyle w:val="Compact"/>
            </w:pPr>
            <w:r>
              <w:t xml:space="preserve">No UDC CSV was generated for this workbook</w:t>
            </w:r>
          </w:p>
        </w:tc>
      </w:tr>
      <w:tr>
        <w:tc>
          <w:tcPr/>
          <w:p>
            <w:pPr>
              <w:pStyle w:val="Compact"/>
            </w:pPr>
            <w:r>
              <w:t xml:space="preserve">Storage technology constraints</w:t>
            </w:r>
          </w:p>
        </w:tc>
        <w:tc>
          <w:tcPr/>
          <w:p>
            <w:pPr>
              <w:pStyle w:val="Compact"/>
            </w:pPr>
            <w:r>
              <w:t xml:space="preserve">Storage set is empty</w:t>
            </w:r>
          </w:p>
        </w:tc>
      </w:tr>
    </w:tbl>
    <w:bookmarkEnd w:id="18"/>
    <w:bookmarkStart w:id="19" w:name="suggested-narrative-description"/>
    <w:p>
      <w:pPr>
        <w:pStyle w:val="Heading2"/>
      </w:pPr>
      <w:r>
        <w:t xml:space="preserve">Suggested Narrative Description</w:t>
      </w:r>
    </w:p>
    <w:p>
      <w:pPr>
        <w:pStyle w:val="FirstParagraph"/>
      </w:pPr>
      <w:r>
        <w:t xml:space="preserve">The model can be described as follows:</w:t>
      </w:r>
    </w:p>
    <w:p>
      <w:pPr>
        <w:pStyle w:val="BlockText"/>
      </w:pPr>
      <w:r>
        <w:t xml:space="preserve">We run a Pyomo implementation of OSeMOSYS, a deterministic long-term energy-system optimization model. The model minimizes total discounted system cost while satisfying demand, capacity, activity, emissions, reserve-margin, and policy constraints. The documented instance is based on</w:t>
      </w:r>
      <w:r>
        <w:t xml:space="preserve"> </w:t>
      </w:r>
      <w:r>
        <w:rPr>
          <w:rStyle w:val="VerbatimChar"/>
        </w:rPr>
        <w:t xml:space="preserve">PD_2TS_41D_2055_SAND_03Jun2026.xlsx</w:t>
      </w:r>
      <w:r>
        <w:t xml:space="preserve"> </w:t>
      </w:r>
      <w:r>
        <w:t xml:space="preserve">and covers 1 region, 405 technologies, 114 fuels, 11 emissions, 2 timeslices, and 34 model years from 2022 through 2055. It expands to 744,574 Pyomo variable entries and 812,409 active constraints. Although the formulation supports integer capacity-unit decisions, this workbook has no active unit-size constraints, so the solved problem is effectively a large linear program. The model can be solved with HiGHS, Gurobi, or GLPK through Pyomo.</w:t>
      </w:r>
    </w:p>
    <w:bookmarkEnd w:id="19"/>
    <w:bookmarkStart w:id="20" w:name="repository-references"/>
    <w:p>
      <w:pPr>
        <w:pStyle w:val="Heading2"/>
      </w:pPr>
      <w:r>
        <w:t xml:space="preserve">Repository References</w:t>
      </w:r>
    </w:p>
    <w:p>
      <w:pPr>
        <w:pStyle w:val="FirstParagraph"/>
      </w:pPr>
      <w:r>
        <w:t xml:space="preserve">Key implementation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backend/app/simulation/core/model_definition.py</w:t>
            </w:r>
          </w:p>
        </w:tc>
        <w:tc>
          <w:tcPr/>
          <w:p>
            <w:pPr>
              <w:pStyle w:val="Compact"/>
            </w:pPr>
            <w:r>
              <w:t xml:space="preserve">Defines sets, parameters, variables, objective, and constraints</w:t>
            </w:r>
          </w:p>
        </w:tc>
      </w:tr>
      <w:tr>
        <w:tc>
          <w:tcPr/>
          <w:p>
            <w:pPr>
              <w:pStyle w:val="Compact"/>
            </w:pPr>
            <w:r>
              <w:rPr>
                <w:rStyle w:val="VerbatimChar"/>
              </w:rPr>
              <w:t xml:space="preserve">backend/app/simulation/core/instance_builder.py</w:t>
            </w:r>
          </w:p>
        </w:tc>
        <w:tc>
          <w:tcPr/>
          <w:p>
            <w:pPr>
              <w:pStyle w:val="Compact"/>
            </w:pPr>
            <w:r>
              <w:t xml:space="preserve">Loads CSV sets and parameters into the Pyomo model</w:t>
            </w:r>
          </w:p>
        </w:tc>
      </w:tr>
      <w:tr>
        <w:tc>
          <w:tcPr/>
          <w:p>
            <w:pPr>
              <w:pStyle w:val="Compact"/>
            </w:pPr>
            <w:r>
              <w:rPr>
                <w:rStyle w:val="VerbatimChar"/>
              </w:rPr>
              <w:t xml:space="preserve">backend/app/simulation/core/excel_to_csv.py</w:t>
            </w:r>
          </w:p>
        </w:tc>
        <w:tc>
          <w:tcPr/>
          <w:p>
            <w:pPr>
              <w:pStyle w:val="Compact"/>
            </w:pPr>
            <w:r>
              <w:t xml:space="preserve">Converts SAND Excel workbooks into OSeMOSYS CSV inputs</w:t>
            </w:r>
          </w:p>
        </w:tc>
      </w:tr>
      <w:tr>
        <w:tc>
          <w:tcPr/>
          <w:p>
            <w:pPr>
              <w:pStyle w:val="Compact"/>
            </w:pPr>
            <w:r>
              <w:rPr>
                <w:rStyle w:val="VerbatimChar"/>
              </w:rPr>
              <w:t xml:space="preserve">backend/app/simulation/core/solver.py</w:t>
            </w:r>
          </w:p>
        </w:tc>
        <w:tc>
          <w:tcPr/>
          <w:p>
            <w:pPr>
              <w:pStyle w:val="Compact"/>
            </w:pPr>
            <w:r>
              <w:t xml:space="preserve">Maps solver names and runs HiGHS, Gurobi, or GLPK</w:t>
            </w:r>
          </w:p>
        </w:tc>
      </w:tr>
      <w:tr>
        <w:tc>
          <w:tcPr/>
          <w:p>
            <w:pPr>
              <w:pStyle w:val="Compact"/>
            </w:pPr>
            <w:r>
              <w:rPr>
                <w:rStyle w:val="VerbatimChar"/>
              </w:rPr>
              <w:t xml:space="preserve">backend/app/simulation/README.md</w:t>
            </w:r>
          </w:p>
        </w:tc>
        <w:tc>
          <w:tcPr/>
          <w:p>
            <w:pPr>
              <w:pStyle w:val="Compact"/>
            </w:pPr>
            <w:r>
              <w:t xml:space="preserve">Documents the simulation workflow</w:t>
            </w:r>
          </w:p>
        </w:tc>
      </w:tr>
    </w:tbl>
    <w:p>
      <w:pPr>
        <w:pStyle w:val="BodyText"/>
      </w:pPr>
      <w:r>
        <w:t xml:space="preserve">External OSeMOSYS references:</w:t>
      </w:r>
    </w:p>
    <w:p>
      <w:pPr>
        <w:pStyle w:val="Compact"/>
        <w:numPr>
          <w:ilvl w:val="0"/>
          <w:numId w:val="1001"/>
        </w:numPr>
      </w:pPr>
      <w:r>
        <w:t xml:space="preserve">OSeMOSYS documentation: https://osemosys.readthedocs.io/en/latest/</w:t>
      </w:r>
    </w:p>
    <w:p>
      <w:pPr>
        <w:pStyle w:val="Compact"/>
        <w:numPr>
          <w:ilvl w:val="0"/>
          <w:numId w:val="1001"/>
        </w:numPr>
      </w:pPr>
      <w:r>
        <w:t xml:space="preserve">OSeMOSYS model structure: https://osemosys.readthedocs.io/en/latest/manual/Structure%20of%20OSeMOSYS.html</w:t>
      </w:r>
    </w:p>
    <w:p>
      <w:pPr>
        <w:pStyle w:val="Compact"/>
        <w:numPr>
          <w:ilvl w:val="0"/>
          <w:numId w:val="1001"/>
        </w:numPr>
      </w:pPr>
      <w:r>
        <w:t xml:space="preserve">OSeMOSYS project overview: https://osemosys.github.io/about/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2026-06-15T14:44:00Z</dcterms:created>
  <dcterms:modified xsi:type="dcterms:W3CDTF">2026-06-15T14:44:00Z</dcterms:modified>
</cp:coreProperties>
</file>

<file path=docProps/custom.xml><?xml version="1.0" encoding="utf-8"?>
<Properties xmlns="http://schemas.openxmlformats.org/officeDocument/2006/custom-properties" xmlns:vt="http://schemas.openxmlformats.org/officeDocument/2006/docPropsVTypes"/>
</file>