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Tamil Nadu Hydropower Methodology for PyPSA</w:t>
      </w:r>
    </w:p>
    <w:p>
      <w:pPr>
        <w:jc w:val="center"/>
      </w:pPr>
      <w:r>
        <w:rPr>
          <w:i/>
          <w:sz w:val="20"/>
        </w:rPr>
        <w:t>Representative-week implementation, reservoir data hierarchy and system-specific setup</w:t>
      </w:r>
    </w:p>
    <w:p>
      <w:pPr>
        <w:pStyle w:val="Heading1"/>
        <w:keepNext/>
      </w:pPr>
      <w:r>
        <w:t>1. Introduction</w:t>
      </w:r>
    </w:p>
    <w:p>
      <w:r>
        <w:t>The hydro model should represent physical water availability rather than treating all hydropower as fixed-output generation. Isolated seasonal reservoirs are represented with PyPSA StorageUnit; cascades and pumped storage use Store + Link so that reservoir energy capacity, turbine capacity, pumping capacity and downstream routing remain independent.</w:t>
      </w:r>
    </w:p>
    <w:p>
      <w:r>
        <w:t>The model uses non-adjacent representative weeks. Each modeled week is therefore initialized independently; storage is never carried from one sampled week to the next. Boundary conditions depend on data resolution: daily observed seasonal reservoirs use observed start/end SOC; monthly observed seasonal reservoirs use interpolated monthly SOC targets with a configurable tolerance; small forebays use a neutral weekly water-balance condition; and seasonal reservoirs with no observation use an explicitly documented proxy or assumption.</w:t>
      </w:r>
    </w:p>
    <w:p>
      <w:r>
        <w:t>Electrical capacity and hydraulic storage are separate model dimensions. Plant-level installed capacities (p_nom) from the official Tamil Nadu generation source are authoritative and must not be changed to match grouped reservoir/system totals in this methodology. Reservoirs may be aggregated only for storage, SOC, inflow or calibration when the data are available at group level. Powerhouses at different hydraulic stages, or with different upstream/downstream reservoirs or material head differences, remain separate PyPSA turbine Links/Generators with their official p_nom. Powerhouses may be aggregated only when they are hydraulically equivalent and unit-level detail is not relevant.</w:t>
      </w:r>
    </w:p>
    <w:p>
      <w:pPr>
        <w:pStyle w:val="Heading1"/>
        <w:keepNext/>
      </w:pPr>
      <w:r>
        <w:t>2. Data sources and priority</w:t>
      </w:r>
    </w:p>
    <w:tbl>
      <w:tblPr>
        <w:tblStyle w:val="TableGrid"/>
        <w:tblW w:type="auto" w:w="0"/>
        <w:jc w:val="center"/>
        <w:tblLook w:firstColumn="1" w:firstRow="1" w:lastColumn="0" w:lastRow="0" w:noHBand="0" w:noVBand="1" w:val="04A0"/>
      </w:tblPr>
      <w:tblGrid>
        <w:gridCol w:w="3504"/>
        <w:gridCol w:w="3504"/>
        <w:gridCol w:w="3504"/>
      </w:tblGrid>
      <w:tr>
        <w:trPr>
          <w:tblHeader w:val="true"/>
          <w:cantSplit/>
        </w:trPr>
        <w:tc>
          <w:tcPr>
            <w:tcW w:type="dxa" w:w="3024"/>
            <w:vAlign w:val="center"/>
            <w:shd w:fill="D9E2F3"/>
          </w:tcPr>
          <w:p>
            <w:pPr>
              <w:spacing w:after="0" w:before="0" w:line="240" w:lineRule="auto"/>
            </w:pPr>
            <w:r/>
            <w:r>
              <w:rPr>
                <w:rFonts w:ascii="Aptos" w:hAnsi="Aptos"/>
                <w:b/>
                <w:sz w:val="15"/>
              </w:rPr>
              <w:t>Source</w:t>
            </w:r>
          </w:p>
        </w:tc>
        <w:tc>
          <w:tcPr>
            <w:tcW w:type="dxa" w:w="2880"/>
            <w:vAlign w:val="center"/>
            <w:shd w:fill="D9E2F3"/>
          </w:tcPr>
          <w:p>
            <w:pPr>
              <w:spacing w:after="0" w:before="0" w:line="240" w:lineRule="auto"/>
            </w:pPr>
            <w:r/>
            <w:r>
              <w:rPr>
                <w:rFonts w:ascii="Aptos" w:hAnsi="Aptos"/>
                <w:b/>
                <w:sz w:val="15"/>
              </w:rPr>
              <w:t>Main variables</w:t>
            </w:r>
          </w:p>
        </w:tc>
        <w:tc>
          <w:tcPr>
            <w:tcW w:type="dxa" w:w="5040"/>
            <w:vAlign w:val="center"/>
            <w:shd w:fill="D9E2F3"/>
          </w:tcPr>
          <w:p>
            <w:pPr>
              <w:spacing w:after="0" w:before="0" w:line="240" w:lineRule="auto"/>
            </w:pPr>
            <w:r/>
            <w:r>
              <w:rPr>
                <w:rFonts w:ascii="Aptos" w:hAnsi="Aptos"/>
                <w:b/>
                <w:sz w:val="15"/>
              </w:rPr>
              <w:t>Use in model</w:t>
            </w:r>
          </w:p>
        </w:tc>
      </w:tr>
      <w:tr>
        <w:trPr>
          <w:cantSplit/>
        </w:trPr>
        <w:tc>
          <w:tcPr>
            <w:tcW w:type="dxa" w:w="3024"/>
            <w:vAlign w:val="center"/>
          </w:tcPr>
          <w:p>
            <w:pPr>
              <w:spacing w:after="0" w:before="0" w:line="240" w:lineRule="auto"/>
            </w:pPr>
            <w:r/>
            <w:r>
              <w:rPr>
                <w:rFonts w:ascii="Aptos" w:hAnsi="Aptos"/>
                <w:b w:val="0"/>
                <w:sz w:val="15"/>
              </w:rPr>
              <w:t>Tamil Nadu Agriculture reservoir database</w:t>
            </w:r>
          </w:p>
        </w:tc>
        <w:tc>
          <w:tcPr>
            <w:tcW w:type="dxa" w:w="2880"/>
            <w:vAlign w:val="center"/>
          </w:tcPr>
          <w:p>
            <w:pPr>
              <w:spacing w:after="0" w:before="0" w:line="240" w:lineRule="auto"/>
            </w:pPr>
            <w:r/>
            <w:r>
              <w:rPr>
                <w:rFonts w:ascii="Aptos" w:hAnsi="Aptos"/>
                <w:b w:val="0"/>
                <w:sz w:val="15"/>
              </w:rPr>
              <w:t>Daily storage, level, inflow and outflow</w:t>
            </w:r>
          </w:p>
        </w:tc>
        <w:tc>
          <w:tcPr>
            <w:tcW w:type="dxa" w:w="5040"/>
            <w:vAlign w:val="center"/>
          </w:tcPr>
          <w:p>
            <w:pPr>
              <w:spacing w:after="0" w:before="0" w:line="240" w:lineRule="auto"/>
            </w:pPr>
            <w:r/>
            <w:r>
              <w:rPr>
                <w:rFonts w:ascii="Aptos" w:hAnsi="Aptos"/>
                <w:b w:val="0"/>
                <w:sz w:val="15"/>
              </w:rPr>
              <w:t>Primary daily SOC and inflow source. Use validated scraper; reject known fallback snapshot dates.</w:t>
            </w:r>
          </w:p>
        </w:tc>
      </w:tr>
      <w:tr>
        <w:trPr>
          <w:cantSplit/>
        </w:trPr>
        <w:tc>
          <w:tcPr>
            <w:tcW w:type="dxa" w:w="3024"/>
            <w:vAlign w:val="center"/>
          </w:tcPr>
          <w:p>
            <w:pPr>
              <w:spacing w:after="0" w:before="0" w:line="240" w:lineRule="auto"/>
            </w:pPr>
            <w:r/>
            <w:r>
              <w:rPr>
                <w:rFonts w:ascii="Aptos" w:hAnsi="Aptos"/>
                <w:b w:val="0"/>
                <w:sz w:val="15"/>
              </w:rPr>
              <w:t>CWC reservoir bulletins</w:t>
            </w:r>
          </w:p>
        </w:tc>
        <w:tc>
          <w:tcPr>
            <w:tcW w:type="dxa" w:w="2880"/>
            <w:vAlign w:val="center"/>
          </w:tcPr>
          <w:p>
            <w:pPr>
              <w:spacing w:after="0" w:before="0" w:line="240" w:lineRule="auto"/>
            </w:pPr>
            <w:r/>
            <w:r>
              <w:rPr>
                <w:rFonts w:ascii="Aptos" w:hAnsi="Aptos"/>
                <w:b w:val="0"/>
                <w:sz w:val="15"/>
              </w:rPr>
              <w:t>Live capacity at FRL and periodic live storage</w:t>
            </w:r>
          </w:p>
        </w:tc>
        <w:tc>
          <w:tcPr>
            <w:tcW w:type="dxa" w:w="5040"/>
            <w:vAlign w:val="center"/>
          </w:tcPr>
          <w:p>
            <w:pPr>
              <w:spacing w:after="0" w:before="0" w:line="240" w:lineRule="auto"/>
            </w:pPr>
            <w:r/>
            <w:r>
              <w:rPr>
                <w:rFonts w:ascii="Aptos" w:hAnsi="Aptos"/>
                <w:b w:val="0"/>
                <w:sz w:val="15"/>
              </w:rPr>
              <w:t>Use static live capacity for usable storage calibration; use periodic observations for validation, not as the main time series.</w:t>
            </w:r>
          </w:p>
        </w:tc>
      </w:tr>
      <w:tr>
        <w:trPr>
          <w:cantSplit/>
        </w:trPr>
        <w:tc>
          <w:tcPr>
            <w:tcW w:type="dxa" w:w="3024"/>
            <w:vAlign w:val="center"/>
          </w:tcPr>
          <w:p>
            <w:pPr>
              <w:spacing w:after="0" w:before="0" w:line="240" w:lineRule="auto"/>
            </w:pPr>
            <w:r/>
            <w:r>
              <w:rPr>
                <w:rFonts w:ascii="Aptos" w:hAnsi="Aptos"/>
                <w:b w:val="0"/>
                <w:sz w:val="15"/>
              </w:rPr>
              <w:t>SRPC annual/OCC reports</w:t>
            </w:r>
          </w:p>
        </w:tc>
        <w:tc>
          <w:tcPr>
            <w:tcW w:type="dxa" w:w="2880"/>
            <w:vAlign w:val="center"/>
          </w:tcPr>
          <w:p>
            <w:pPr>
              <w:spacing w:after="0" w:before="0" w:line="240" w:lineRule="auto"/>
            </w:pPr>
            <w:r/>
            <w:r>
              <w:rPr>
                <w:rFonts w:ascii="Aptos" w:hAnsi="Aptos"/>
                <w:b w:val="0"/>
                <w:sz w:val="15"/>
              </w:rPr>
              <w:t>Monthly stored energy and measured inflow</w:t>
            </w:r>
          </w:p>
        </w:tc>
        <w:tc>
          <w:tcPr>
            <w:tcW w:type="dxa" w:w="5040"/>
            <w:vAlign w:val="center"/>
          </w:tcPr>
          <w:p>
            <w:pPr>
              <w:spacing w:after="0" w:before="0" w:line="240" w:lineRule="auto"/>
            </w:pPr>
            <w:r/>
            <w:r>
              <w:rPr>
                <w:rFonts w:ascii="Aptos" w:hAnsi="Aptos"/>
                <w:b w:val="0"/>
                <w:sz w:val="15"/>
              </w:rPr>
              <w:t>Primary source for Nilgiris reservoirs and previously missing inflows: Servalar, Kodayar, Suruliyar, Upper Aliyar, PAP/Thunacadavu.</w:t>
            </w:r>
          </w:p>
        </w:tc>
      </w:tr>
      <w:tr>
        <w:trPr>
          <w:cantSplit/>
        </w:trPr>
        <w:tc>
          <w:tcPr>
            <w:tcW w:type="dxa" w:w="3024"/>
            <w:vAlign w:val="center"/>
          </w:tcPr>
          <w:p>
            <w:pPr>
              <w:spacing w:after="0" w:before="0" w:line="240" w:lineRule="auto"/>
            </w:pPr>
            <w:r/>
            <w:r>
              <w:rPr>
                <w:rFonts w:ascii="Aptos" w:hAnsi="Aptos"/>
                <w:b w:val="0"/>
                <w:sz w:val="15"/>
              </w:rPr>
              <w:t>TANGEDCO/TNGECL bulletins/proceedings</w:t>
            </w:r>
          </w:p>
        </w:tc>
        <w:tc>
          <w:tcPr>
            <w:tcW w:type="dxa" w:w="2880"/>
            <w:vAlign w:val="center"/>
          </w:tcPr>
          <w:p>
            <w:pPr>
              <w:spacing w:after="0" w:before="0" w:line="240" w:lineRule="auto"/>
            </w:pPr>
            <w:r/>
            <w:r>
              <w:rPr>
                <w:rFonts w:ascii="Aptos" w:hAnsi="Aptos"/>
                <w:b w:val="0"/>
                <w:sz w:val="15"/>
              </w:rPr>
              <w:t>Group stored-energy equivalents, Kadamparai pumping, monitored forebay/level information</w:t>
            </w:r>
          </w:p>
        </w:tc>
        <w:tc>
          <w:tcPr>
            <w:tcW w:type="dxa" w:w="5040"/>
            <w:vAlign w:val="center"/>
          </w:tcPr>
          <w:p>
            <w:pPr>
              <w:spacing w:after="0" w:before="0" w:line="240" w:lineRule="auto"/>
            </w:pPr>
            <w:r/>
            <w:r>
              <w:rPr>
                <w:rFonts w:ascii="Aptos" w:hAnsi="Aptos"/>
                <w:b w:val="0"/>
                <w:sz w:val="15"/>
              </w:rPr>
              <w:t>Use group energy for calibration where individual reservoir SOC is unavailable.</w:t>
            </w:r>
          </w:p>
        </w:tc>
      </w:tr>
      <w:tr>
        <w:trPr>
          <w:cantSplit/>
        </w:trPr>
        <w:tc>
          <w:tcPr>
            <w:tcW w:type="dxa" w:w="3024"/>
            <w:vAlign w:val="center"/>
          </w:tcPr>
          <w:p>
            <w:pPr>
              <w:spacing w:after="0" w:before="0" w:line="240" w:lineRule="auto"/>
            </w:pPr>
            <w:r/>
            <w:r>
              <w:rPr>
                <w:rFonts w:ascii="Aptos" w:hAnsi="Aptos"/>
                <w:b w:val="0"/>
                <w:sz w:val="15"/>
              </w:rPr>
              <w:t>CEA / technical project documents</w:t>
            </w:r>
          </w:p>
        </w:tc>
        <w:tc>
          <w:tcPr>
            <w:tcW w:type="dxa" w:w="2880"/>
            <w:vAlign w:val="center"/>
          </w:tcPr>
          <w:p>
            <w:pPr>
              <w:spacing w:after="0" w:before="0" w:line="240" w:lineRule="auto"/>
            </w:pPr>
            <w:r/>
            <w:r>
              <w:rPr>
                <w:rFonts w:ascii="Aptos" w:hAnsi="Aptos"/>
                <w:b w:val="0"/>
                <w:sz w:val="15"/>
              </w:rPr>
              <w:t>FRL/MDDL, head, capacities, topology</w:t>
            </w:r>
          </w:p>
        </w:tc>
        <w:tc>
          <w:tcPr>
            <w:tcW w:type="dxa" w:w="5040"/>
            <w:vAlign w:val="center"/>
          </w:tcPr>
          <w:p>
            <w:pPr>
              <w:spacing w:after="0" w:before="0" w:line="240" w:lineRule="auto"/>
            </w:pPr>
            <w:r/>
            <w:r>
              <w:rPr>
                <w:rFonts w:ascii="Aptos" w:hAnsi="Aptos"/>
                <w:b w:val="0"/>
                <w:sz w:val="15"/>
              </w:rPr>
              <w:t>Static plant/reservoir parameters and pumped-storage/cascade configuration.</w:t>
            </w:r>
          </w:p>
        </w:tc>
      </w:tr>
      <w:tr>
        <w:trPr>
          <w:cantSplit/>
        </w:trPr>
        <w:tc>
          <w:tcPr>
            <w:tcW w:type="dxa" w:w="3024"/>
            <w:vAlign w:val="center"/>
          </w:tcPr>
          <w:p>
            <w:pPr>
              <w:spacing w:after="0" w:before="0" w:line="240" w:lineRule="auto"/>
            </w:pPr>
            <w:r/>
            <w:r>
              <w:rPr>
                <w:rFonts w:ascii="Aptos" w:hAnsi="Aptos"/>
                <w:b w:val="0"/>
                <w:sz w:val="15"/>
              </w:rPr>
              <w:t>Indian Technology Catalogue</w:t>
            </w:r>
          </w:p>
        </w:tc>
        <w:tc>
          <w:tcPr>
            <w:tcW w:type="dxa" w:w="2880"/>
            <w:vAlign w:val="center"/>
          </w:tcPr>
          <w:p>
            <w:pPr>
              <w:spacing w:after="0" w:before="0" w:line="240" w:lineRule="auto"/>
            </w:pPr>
            <w:r/>
            <w:r>
              <w:rPr>
                <w:rFonts w:ascii="Aptos" w:hAnsi="Aptos"/>
                <w:b w:val="0"/>
                <w:sz w:val="15"/>
              </w:rPr>
              <w:t>Hydro efficiency ranges</w:t>
            </w:r>
          </w:p>
        </w:tc>
        <w:tc>
          <w:tcPr>
            <w:tcW w:type="dxa" w:w="5040"/>
            <w:vAlign w:val="center"/>
          </w:tcPr>
          <w:p>
            <w:pPr>
              <w:spacing w:after="0" w:before="0" w:line="240" w:lineRule="auto"/>
            </w:pPr>
            <w:r/>
            <w:r>
              <w:rPr>
                <w:rFonts w:ascii="Aptos" w:hAnsi="Aptos"/>
                <w:b w:val="0"/>
                <w:sz w:val="15"/>
              </w:rPr>
              <w:t>Default overall water-to-electricity efficiency = 0.90 where no plant-specific value exists.</w:t>
            </w:r>
          </w:p>
        </w:tc>
      </w:tr>
    </w:tbl>
    <w:p>
      <w:pPr>
        <w:pStyle w:val="Heading1"/>
        <w:keepNext/>
      </w:pPr>
      <w:r>
        <w:t>3. Common PyPSA setup</w:t>
      </w:r>
    </w:p>
    <w:tbl>
      <w:tblPr>
        <w:tblStyle w:val="TableGrid"/>
        <w:tblW w:type="auto" w:w="0"/>
        <w:jc w:val="center"/>
        <w:tblLook w:firstColumn="1" w:firstRow="1" w:lastColumn="0" w:lastRow="0" w:noHBand="0" w:noVBand="1" w:val="04A0"/>
      </w:tblPr>
      <w:tblGrid>
        <w:gridCol w:w="3504"/>
        <w:gridCol w:w="3504"/>
        <w:gridCol w:w="3504"/>
      </w:tblGrid>
      <w:tr>
        <w:trPr>
          <w:tblHeader w:val="true"/>
          <w:cantSplit/>
        </w:trPr>
        <w:tc>
          <w:tcPr>
            <w:tcW w:type="dxa" w:w="2160"/>
            <w:vAlign w:val="center"/>
            <w:shd w:fill="D9E2F3"/>
          </w:tcPr>
          <w:p>
            <w:pPr>
              <w:spacing w:after="0" w:before="0" w:line="240" w:lineRule="auto"/>
            </w:pPr>
            <w:r/>
            <w:r>
              <w:rPr>
                <w:rFonts w:ascii="Aptos" w:hAnsi="Aptos"/>
                <w:b/>
                <w:sz w:val="15"/>
              </w:rPr>
              <w:t>Hydro type</w:t>
            </w:r>
          </w:p>
        </w:tc>
        <w:tc>
          <w:tcPr>
            <w:tcW w:type="dxa" w:w="2880"/>
            <w:vAlign w:val="center"/>
            <w:shd w:fill="D9E2F3"/>
          </w:tcPr>
          <w:p>
            <w:pPr>
              <w:spacing w:after="0" w:before="0" w:line="240" w:lineRule="auto"/>
            </w:pPr>
            <w:r/>
            <w:r>
              <w:rPr>
                <w:rFonts w:ascii="Aptos" w:hAnsi="Aptos"/>
                <w:b/>
                <w:sz w:val="15"/>
              </w:rPr>
              <w:t>PyPSA component</w:t>
            </w:r>
          </w:p>
        </w:tc>
        <w:tc>
          <w:tcPr>
            <w:tcW w:type="dxa" w:w="5904"/>
            <w:vAlign w:val="center"/>
            <w:shd w:fill="D9E2F3"/>
          </w:tcPr>
          <w:p>
            <w:pPr>
              <w:spacing w:after="0" w:before="0" w:line="240" w:lineRule="auto"/>
            </w:pPr>
            <w:r/>
            <w:r>
              <w:rPr>
                <w:rFonts w:ascii="Aptos" w:hAnsi="Aptos"/>
                <w:b/>
                <w:sz w:val="15"/>
              </w:rPr>
              <w:t>Core parameters</w:t>
            </w:r>
          </w:p>
        </w:tc>
      </w:tr>
      <w:tr>
        <w:trPr>
          <w:cantSplit/>
        </w:trPr>
        <w:tc>
          <w:tcPr>
            <w:tcW w:type="dxa" w:w="2160"/>
            <w:vAlign w:val="center"/>
          </w:tcPr>
          <w:p>
            <w:pPr>
              <w:spacing w:after="0" w:before="0" w:line="240" w:lineRule="auto"/>
            </w:pPr>
            <w:r/>
            <w:r>
              <w:rPr>
                <w:rFonts w:ascii="Aptos" w:hAnsi="Aptos"/>
                <w:b w:val="0"/>
                <w:sz w:val="15"/>
              </w:rPr>
              <w:t>Single seasonal reservoir</w:t>
            </w:r>
          </w:p>
        </w:tc>
        <w:tc>
          <w:tcPr>
            <w:tcW w:type="dxa" w:w="2880"/>
            <w:vAlign w:val="center"/>
          </w:tcPr>
          <w:p>
            <w:pPr>
              <w:spacing w:after="0" w:before="0" w:line="240" w:lineRule="auto"/>
            </w:pPr>
            <w:r/>
            <w:r>
              <w:rPr>
                <w:rFonts w:ascii="Aptos" w:hAnsi="Aptos"/>
                <w:b w:val="0"/>
                <w:sz w:val="15"/>
              </w:rPr>
              <w:t>StorageUnit</w:t>
            </w:r>
          </w:p>
        </w:tc>
        <w:tc>
          <w:tcPr>
            <w:tcW w:type="dxa" w:w="5904"/>
            <w:vAlign w:val="center"/>
          </w:tcPr>
          <w:p>
            <w:r>
              <w:t>Official plant p_nom; max_hours=e_nom/p_nom; inflow[t]; efficiency_dispatch. Boundary SOC: observed daily values when available; otherwise interpolated monthly targets with tolerance or documented proxy/assumption. cyclic_state_of_charge=False for seasonal storage.</w:t>
            </w:r>
          </w:p>
        </w:tc>
      </w:tr>
      <w:tr>
        <w:trPr>
          <w:cantSplit/>
        </w:trPr>
        <w:tc>
          <w:tcPr>
            <w:tcW w:type="dxa" w:w="2160"/>
            <w:vAlign w:val="center"/>
          </w:tcPr>
          <w:p>
            <w:pPr>
              <w:spacing w:after="0" w:before="0" w:line="240" w:lineRule="auto"/>
            </w:pPr>
            <w:r/>
            <w:r>
              <w:rPr>
                <w:rFonts w:ascii="Aptos" w:hAnsi="Aptos"/>
                <w:b w:val="0"/>
                <w:sz w:val="15"/>
              </w:rPr>
              <w:t>Cascade / shared reservoirs</w:t>
            </w:r>
          </w:p>
        </w:tc>
        <w:tc>
          <w:tcPr>
            <w:tcW w:type="dxa" w:w="2880"/>
            <w:vAlign w:val="center"/>
          </w:tcPr>
          <w:p>
            <w:pPr>
              <w:spacing w:after="0" w:before="0" w:line="240" w:lineRule="auto"/>
            </w:pPr>
            <w:r/>
            <w:r>
              <w:rPr>
                <w:rFonts w:ascii="Aptos" w:hAnsi="Aptos"/>
                <w:b w:val="0"/>
                <w:sz w:val="15"/>
              </w:rPr>
              <w:t>Store + water Bus + Link(s)</w:t>
            </w:r>
          </w:p>
        </w:tc>
        <w:tc>
          <w:tcPr>
            <w:tcW w:type="dxa" w:w="5904"/>
            <w:vAlign w:val="center"/>
          </w:tcPr>
          <w:p>
            <w:r>
              <w:t>Store.e_nom/e_initial; each powerhouse Link.p_nom from the official Tamil Nadu plant-level capacity source; Link efficiency; explicit downstream routing; natural inflow injected to the appropriate water bus. Major seasonal Stores use observed/interpolated boundaries; intermediate forebays use per-week end_SOC=start_SOC.</w:t>
            </w:r>
          </w:p>
        </w:tc>
      </w:tr>
      <w:tr>
        <w:trPr>
          <w:cantSplit/>
        </w:trPr>
        <w:tc>
          <w:tcPr>
            <w:tcW w:type="dxa" w:w="2160"/>
            <w:vAlign w:val="center"/>
          </w:tcPr>
          <w:p>
            <w:pPr>
              <w:spacing w:after="0" w:before="0" w:line="240" w:lineRule="auto"/>
            </w:pPr>
            <w:r/>
            <w:r>
              <w:rPr>
                <w:rFonts w:ascii="Aptos" w:hAnsi="Aptos"/>
                <w:b w:val="0"/>
                <w:sz w:val="15"/>
              </w:rPr>
              <w:t>Run-of-river / barrage</w:t>
            </w:r>
          </w:p>
        </w:tc>
        <w:tc>
          <w:tcPr>
            <w:tcW w:type="dxa" w:w="2880"/>
            <w:vAlign w:val="center"/>
          </w:tcPr>
          <w:p>
            <w:pPr>
              <w:spacing w:after="0" w:before="0" w:line="240" w:lineRule="auto"/>
            </w:pPr>
            <w:r/>
            <w:r>
              <w:rPr>
                <w:rFonts w:ascii="Aptos" w:hAnsi="Aptos"/>
                <w:b w:val="0"/>
                <w:sz w:val="15"/>
              </w:rPr>
              <w:t>Generator or cascade Link</w:t>
            </w:r>
          </w:p>
        </w:tc>
        <w:tc>
          <w:tcPr>
            <w:tcW w:type="dxa" w:w="5904"/>
            <w:vAlign w:val="center"/>
          </w:tcPr>
          <w:p>
            <w:pPr>
              <w:spacing w:after="0" w:before="0" w:line="240" w:lineRule="auto"/>
            </w:pPr>
            <w:r/>
            <w:r>
              <w:rPr>
                <w:rFonts w:ascii="Aptos" w:hAnsi="Aptos"/>
                <w:b w:val="0"/>
                <w:sz w:val="15"/>
              </w:rPr>
              <w:t>p_nom and p_max_pu[t] derived from upstream release/inflow; no seasonal storage</w:t>
            </w:r>
          </w:p>
        </w:tc>
      </w:tr>
      <w:tr>
        <w:trPr>
          <w:cantSplit/>
        </w:trPr>
        <w:tc>
          <w:tcPr>
            <w:tcW w:type="dxa" w:w="2160"/>
            <w:vAlign w:val="center"/>
          </w:tcPr>
          <w:p>
            <w:pPr>
              <w:spacing w:after="0" w:before="0" w:line="240" w:lineRule="auto"/>
            </w:pPr>
            <w:r/>
            <w:r>
              <w:rPr>
                <w:rFonts w:ascii="Aptos" w:hAnsi="Aptos"/>
                <w:b w:val="0"/>
                <w:sz w:val="15"/>
              </w:rPr>
              <w:t>Pumped storage</w:t>
            </w:r>
          </w:p>
        </w:tc>
        <w:tc>
          <w:tcPr>
            <w:tcW w:type="dxa" w:w="2880"/>
            <w:vAlign w:val="center"/>
          </w:tcPr>
          <w:p>
            <w:pPr>
              <w:spacing w:after="0" w:before="0" w:line="240" w:lineRule="auto"/>
            </w:pPr>
            <w:r/>
            <w:r>
              <w:rPr>
                <w:rFonts w:ascii="Aptos" w:hAnsi="Aptos"/>
                <w:b w:val="0"/>
                <w:sz w:val="15"/>
              </w:rPr>
              <w:t>Store + pump Link + turbine Link</w:t>
            </w:r>
          </w:p>
        </w:tc>
        <w:tc>
          <w:tcPr>
            <w:tcW w:type="dxa" w:w="5904"/>
            <w:vAlign w:val="center"/>
          </w:tcPr>
          <w:p>
            <w:r>
              <w:t>Upper/lower Store.e_nom; pump/turbine p_nom and efficiencies; no charging counted as natural inflow. If upper-reservoir SOC is unobserved, use a documented initial fraction and enforce upper-store end_SOC=start_SOC for each representative week.</w:t>
            </w:r>
          </w:p>
        </w:tc>
      </w:tr>
    </w:tbl>
    <w:p>
      <w:r>
        <w:rPr>
          <w:b/>
        </w:rPr>
        <w:t xml:space="preserve">Energy conversion. </w:t>
      </w:r>
      <w:r>
        <w:t>When only live storage volume is available: E[MWh] = rho*g*V[m3]*H[m]*eta / 3.6e9. Use live/active storage rather than gross storage. Where SRPC/TANGEDCO already reports stored energy in MU, use it directly (1 MU = 1,000 MWh).</w:t>
      </w:r>
      <w:r>
        <w:t xml:space="preserve"> Installed MW is not derived from reservoir volume, head or efficiency; these quantities determine e_nom and inflow-energy conversion, not p_nom.</w:t>
      </w:r>
    </w:p>
    <w:p>
      <w:pPr>
        <w:keepLines/>
      </w:pPr>
      <w:r>
        <w:t>Representative-week boundaries. Apply four rules. (1) Daily observed seasonal reservoir: set start/end SOC from the observed storage nearest each boundary. (2) Monthly observed seasonal reservoir: convert monthly stored energy to SOC fraction, linearly interpolate that fraction to the week start/end dates, and constrain SOC to the interpolated targets with a configurable tolerance rather than an exact equality. (3) Small forebay/endogenous pondage: use a configurable neutral initial SOC (default 50% when no better value exists) and enforce end-of-week SOC = start-of-week SOC so the optimizer cannot consume arbitrary initial water; use PyPSA e_cyclic/cyclic_state_of_charge only when each week is solved independently, otherwise add an explicit per-week equality constraint. (4) Seasonal reservoir with no observed SOC: use a documented connected-reservoir proxy or configurable assumption and apply an explicit start/end boundary. Daily interior storage observations remain validation targets, not hard constraints.</w:t>
      </w:r>
    </w:p>
    <w:p>
      <w:pPr>
        <w:pStyle w:val="Heading1"/>
        <w:keepNext/>
      </w:pPr>
      <w:r>
        <w:t>4. Reservoir and system methodology</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cantSplit/>
        </w:trPr>
        <w:tc>
          <w:tcPr>
            <w:tcW w:type="dxa" w:w="2088"/>
            <w:vAlign w:val="center"/>
            <w:shd w:fill="D9E2F3"/>
          </w:tcPr>
          <w:p>
            <w:pPr>
              <w:spacing w:after="0" w:before="0" w:line="240" w:lineRule="auto"/>
            </w:pPr>
            <w:r/>
            <w:r>
              <w:rPr>
                <w:rFonts w:ascii="Aptos" w:hAnsi="Aptos"/>
                <w:b/>
                <w:sz w:val="14"/>
              </w:rPr>
              <w:t>System</w:t>
            </w:r>
          </w:p>
        </w:tc>
        <w:tc>
          <w:tcPr>
            <w:tcW w:type="dxa" w:w="2880"/>
            <w:vAlign w:val="center"/>
            <w:shd w:fill="D9E2F3"/>
          </w:tcPr>
          <w:p>
            <w:pPr>
              <w:spacing w:after="0" w:before="0" w:line="240" w:lineRule="auto"/>
            </w:pPr>
            <w:r/>
            <w:r>
              <w:rPr>
                <w:rFonts w:ascii="Aptos" w:hAnsi="Aptos"/>
                <w:b/>
                <w:sz w:val="14"/>
              </w:rPr>
              <w:t>Primary data</w:t>
            </w:r>
          </w:p>
        </w:tc>
        <w:tc>
          <w:tcPr>
            <w:tcW w:type="dxa" w:w="4104"/>
            <w:vAlign w:val="center"/>
            <w:shd w:fill="D9E2F3"/>
          </w:tcPr>
          <w:p>
            <w:pPr>
              <w:spacing w:after="0" w:before="0" w:line="240" w:lineRule="auto"/>
            </w:pPr>
            <w:r/>
            <w:r>
              <w:rPr>
                <w:rFonts w:ascii="Aptos" w:hAnsi="Aptos"/>
                <w:b/>
                <w:sz w:val="14"/>
              </w:rPr>
              <w:t>Recommended setup</w:t>
            </w:r>
          </w:p>
        </w:tc>
        <w:tc>
          <w:tcPr>
            <w:tcW w:type="dxa" w:w="2880"/>
            <w:vAlign w:val="center"/>
            <w:shd w:fill="D9E2F3"/>
          </w:tcPr>
          <w:p>
            <w:pPr>
              <w:spacing w:after="0" w:before="0" w:line="240" w:lineRule="auto"/>
            </w:pPr>
            <w:r/>
            <w:r>
              <w:rPr>
                <w:rFonts w:ascii="Aptos" w:hAnsi="Aptos"/>
                <w:b/>
                <w:sz w:val="14"/>
              </w:rPr>
              <w:t>Key PyPSA parameters</w:t>
            </w:r>
          </w:p>
        </w:tc>
      </w:tr>
      <w:tr>
        <w:trPr>
          <w:cantSplit/>
        </w:trPr>
        <w:tc>
          <w:tcPr>
            <w:tcW w:type="dxa" w:w="2088"/>
            <w:vAlign w:val="center"/>
          </w:tcPr>
          <w:p>
            <w:pPr>
              <w:spacing w:after="0" w:before="0" w:line="240" w:lineRule="auto"/>
            </w:pPr>
            <w:r/>
            <w:r>
              <w:rPr>
                <w:rFonts w:ascii="Aptos" w:hAnsi="Aptos"/>
                <w:b w:val="0"/>
                <w:sz w:val="14"/>
              </w:rPr>
              <w:t>Mettur + Lower Mettur barrages</w:t>
            </w:r>
          </w:p>
        </w:tc>
        <w:tc>
          <w:tcPr>
            <w:tcW w:type="dxa" w:w="2880"/>
            <w:vAlign w:val="center"/>
          </w:tcPr>
          <w:p>
            <w:pPr>
              <w:spacing w:after="0" w:before="0" w:line="240" w:lineRule="auto"/>
            </w:pPr>
            <w:r/>
            <w:r>
              <w:rPr>
                <w:rFonts w:ascii="Aptos" w:hAnsi="Aptos"/>
                <w:b w:val="0"/>
                <w:sz w:val="14"/>
              </w:rPr>
              <w:t>Mettur: TN Agriculture daily storage/inflow; CWC live capacity 2.647 BCM. Lower barrages: Mettur release/outflow.</w:t>
            </w:r>
          </w:p>
        </w:tc>
        <w:tc>
          <w:tcPr>
            <w:tcW w:type="dxa" w:w="4104"/>
            <w:vAlign w:val="center"/>
          </w:tcPr>
          <w:p>
            <w:r>
              <w:t>Represent Mettur seasonal storage using the observed reservoir. Keep every modeled powerhouse/barrage at its official Tamil Nadu p_nom; do not infer or rescale MW from reservoir storage. Lower Mettur I-IV remain Generator/Links with p_max_pu from Mettur release and no seasonal storage.</w:t>
            </w:r>
          </w:p>
        </w:tc>
        <w:tc>
          <w:tcPr>
            <w:tcW w:type="dxa" w:w="2880"/>
            <w:vAlign w:val="center"/>
          </w:tcPr>
          <w:p>
            <w:r>
              <w:t>Reservoir e_nom/max_hours from live storage, head and efficiency; turbine/generator p_nom from official Tamil Nadu plant inventory; inflow[t]; SOC start/end; barrage p_max_pu[t].</w:t>
            </w:r>
          </w:p>
        </w:tc>
      </w:tr>
      <w:tr>
        <w:trPr>
          <w:cantSplit/>
        </w:trPr>
        <w:tc>
          <w:tcPr>
            <w:tcW w:type="dxa" w:w="2088"/>
            <w:vAlign w:val="center"/>
          </w:tcPr>
          <w:p>
            <w:pPr>
              <w:spacing w:after="0" w:before="0" w:line="240" w:lineRule="auto"/>
            </w:pPr>
            <w:r/>
            <w:r>
              <w:rPr>
                <w:rFonts w:ascii="Aptos" w:hAnsi="Aptos"/>
                <w:b w:val="0"/>
                <w:sz w:val="14"/>
              </w:rPr>
              <w:t>Bhavanisagar / Lower Bhavani + Bhavani barrages</w:t>
            </w:r>
          </w:p>
        </w:tc>
        <w:tc>
          <w:tcPr>
            <w:tcW w:type="dxa" w:w="2880"/>
            <w:vAlign w:val="center"/>
          </w:tcPr>
          <w:p>
            <w:pPr>
              <w:spacing w:after="0" w:before="0" w:line="240" w:lineRule="auto"/>
            </w:pPr>
            <w:r/>
            <w:r>
              <w:rPr>
                <w:rFonts w:ascii="Aptos" w:hAnsi="Aptos"/>
                <w:b w:val="0"/>
                <w:sz w:val="14"/>
              </w:rPr>
              <w:t>TN Agriculture daily; CWC live capacity 0.792 BCM.</w:t>
            </w:r>
          </w:p>
        </w:tc>
        <w:tc>
          <w:tcPr>
            <w:tcW w:type="dxa" w:w="4104"/>
            <w:vAlign w:val="center"/>
          </w:tcPr>
          <w:p>
            <w:r>
              <w:t>Use Bhavanisagar/Lower Bhavani as the seasonal reservoir. Keep the Lower Bhavani powerhouse and downstream barrage powerhouses as separate electrical components at their official Tamil Nadu p_nom. Storage aggregation does not alter plant MW.</w:t>
            </w:r>
          </w:p>
        </w:tc>
        <w:tc>
          <w:tcPr>
            <w:tcW w:type="dxa" w:w="2880"/>
            <w:vAlign w:val="center"/>
          </w:tcPr>
          <w:p>
            <w:r>
              <w:t>Reservoir e_nom/max_hours and SOC boundaries from water data; each turbine/generator p_nom from official Tamil Nadu plant inventory; barrage Generator.p_max_pu[t].</w:t>
            </w:r>
          </w:p>
        </w:tc>
      </w:tr>
      <w:tr>
        <w:trPr>
          <w:cantSplit/>
        </w:trPr>
        <w:tc>
          <w:tcPr>
            <w:tcW w:type="dxa" w:w="2088"/>
            <w:vAlign w:val="center"/>
          </w:tcPr>
          <w:p>
            <w:pPr>
              <w:spacing w:after="0" w:before="0" w:line="240" w:lineRule="auto"/>
            </w:pPr>
            <w:r/>
            <w:r>
              <w:rPr>
                <w:rFonts w:ascii="Aptos" w:hAnsi="Aptos"/>
                <w:b w:val="0"/>
                <w:sz w:val="14"/>
              </w:rPr>
              <w:t>Amaravathi, Sathanur, Periyar, Vaigai, Perunchani</w:t>
            </w:r>
          </w:p>
        </w:tc>
        <w:tc>
          <w:tcPr>
            <w:tcW w:type="dxa" w:w="2880"/>
            <w:vAlign w:val="center"/>
          </w:tcPr>
          <w:p>
            <w:pPr>
              <w:spacing w:after="0" w:before="0" w:line="240" w:lineRule="auto"/>
            </w:pPr>
            <w:r/>
            <w:r>
              <w:rPr>
                <w:rFonts w:ascii="Aptos" w:hAnsi="Aptos"/>
                <w:b w:val="0"/>
                <w:sz w:val="14"/>
              </w:rPr>
              <w:t>TN Agriculture daily. CWC live capacity where available (Sathanur 0.207 BCM, Vaigai 0.172 BCM). Technical head values for energy conversion; default eta=0.90 if plant-specific efficiency absent.</w:t>
            </w:r>
          </w:p>
        </w:tc>
        <w:tc>
          <w:tcPr>
            <w:tcW w:type="dxa" w:w="4104"/>
            <w:vAlign w:val="center"/>
          </w:tcPr>
          <w:p>
            <w:pPr>
              <w:spacing w:after="0" w:before="0" w:line="240" w:lineRule="auto"/>
            </w:pPr>
            <w:r/>
            <w:r>
              <w:rPr>
                <w:rFonts w:ascii="Aptos" w:hAnsi="Aptos"/>
                <w:b w:val="0"/>
                <w:sz w:val="14"/>
              </w:rPr>
              <w:t>Model each as an isolated StorageUnit. Use observed daily storage for representative-week initial/terminal SOC and daily inflow for water supply. For reservoirs without CWC live capacity, use best available usable storage; otherwise flag gross-capacity use as provisional.</w:t>
            </w:r>
          </w:p>
        </w:tc>
        <w:tc>
          <w:tcPr>
            <w:tcW w:type="dxa" w:w="2880"/>
            <w:vAlign w:val="center"/>
          </w:tcPr>
          <w:p>
            <w:pPr>
              <w:spacing w:after="0" w:before="0" w:line="240" w:lineRule="auto"/>
            </w:pPr>
            <w:r/>
            <w:r>
              <w:rPr>
                <w:rFonts w:ascii="Aptos" w:hAnsi="Aptos"/>
                <w:b w:val="0"/>
                <w:sz w:val="14"/>
              </w:rPr>
              <w:t>StorageUnit p_nom; e_nom from usable volume x head x eta; max_hours=e_nom/p_nom; inflow[t]; cyclic_state_of_charge=False.</w:t>
            </w:r>
          </w:p>
        </w:tc>
      </w:tr>
      <w:tr>
        <w:trPr>
          <w:cantSplit/>
        </w:trPr>
        <w:tc>
          <w:tcPr>
            <w:tcW w:type="dxa" w:w="2088"/>
            <w:vAlign w:val="center"/>
          </w:tcPr>
          <w:p>
            <w:pPr>
              <w:spacing w:after="0" w:before="0" w:line="240" w:lineRule="auto"/>
            </w:pPr>
            <w:r/>
            <w:r>
              <w:rPr>
                <w:rFonts w:ascii="Aptos" w:hAnsi="Aptos"/>
                <w:b w:val="0"/>
                <w:sz w:val="14"/>
              </w:rPr>
              <w:t>Papanasam + Servalar</w:t>
            </w:r>
          </w:p>
        </w:tc>
        <w:tc>
          <w:tcPr>
            <w:tcW w:type="dxa" w:w="2880"/>
            <w:vAlign w:val="center"/>
          </w:tcPr>
          <w:p>
            <w:pPr>
              <w:spacing w:after="0" w:before="0" w:line="240" w:lineRule="auto"/>
            </w:pPr>
            <w:r/>
            <w:r>
              <w:rPr>
                <w:rFonts w:ascii="Aptos" w:hAnsi="Aptos"/>
                <w:b w:val="0"/>
                <w:sz w:val="14"/>
              </w:rPr>
              <w:t>Papanasam daily Agriculture data; SRPC Servalar inflow; TANGEDCO Papanasam+Servalar group stored-energy equivalent.</w:t>
            </w:r>
          </w:p>
        </w:tc>
        <w:tc>
          <w:tcPr>
            <w:tcW w:type="dxa" w:w="4104"/>
            <w:vAlign w:val="center"/>
          </w:tcPr>
          <w:p>
            <w:r>
              <w:t>Papanasam has observed daily seasonal SOC and therefore uses observed representative-week start/end boundaries. If Servalar reservoir SOC is unavailable, use the Papanasam normalized SOC pattern as a storage proxy or calibrate combined storage against group data. Keep Papanasam and Servalar powerhouses electrically separate at official p_nom.</w:t>
            </w:r>
          </w:p>
        </w:tc>
        <w:tc>
          <w:tcPr>
            <w:tcW w:type="dxa" w:w="2880"/>
            <w:vAlign w:val="center"/>
          </w:tcPr>
          <w:p>
            <w:r>
              <w:t>Papanasam: observed daily SOC boundaries. Servalar: soc_source=proxy_papanasam unless direct/group observations are loaded; if monthly group energy is used, interpolate only to week boundaries and apply tolerance.</w:t>
            </w:r>
          </w:p>
        </w:tc>
      </w:tr>
      <w:tr>
        <w:trPr>
          <w:cantSplit/>
        </w:trPr>
        <w:tc>
          <w:tcPr>
            <w:tcW w:type="dxa" w:w="2088"/>
            <w:vAlign w:val="center"/>
          </w:tcPr>
          <w:p>
            <w:pPr>
              <w:spacing w:after="0" w:before="0" w:line="240" w:lineRule="auto"/>
            </w:pPr>
            <w:r/>
            <w:r>
              <w:rPr>
                <w:rFonts w:ascii="Aptos" w:hAnsi="Aptos"/>
                <w:b w:val="0"/>
                <w:sz w:val="14"/>
              </w:rPr>
              <w:t>Parambikulam-Aliyar system (Sholayar, Parambikulam, Thunacadavu, Upper/Lower Aliyar, Sarkarpathy, Thirumurthy)</w:t>
            </w:r>
          </w:p>
        </w:tc>
        <w:tc>
          <w:tcPr>
            <w:tcW w:type="dxa" w:w="2880"/>
            <w:vAlign w:val="center"/>
          </w:tcPr>
          <w:p>
            <w:pPr>
              <w:spacing w:after="0" w:before="0" w:line="240" w:lineRule="auto"/>
            </w:pPr>
            <w:r/>
            <w:r>
              <w:rPr>
                <w:rFonts w:ascii="Aptos" w:hAnsi="Aptos"/>
                <w:b w:val="0"/>
                <w:sz w:val="14"/>
              </w:rPr>
              <w:t>Agriculture daily: Sholayar, Parambikulam, Aliyar, Thirumurthy. SRPC monthly: Thunacadavu and Upper Aliyar inflows. TANGEDCO PAP group stored-energy equivalent.</w:t>
            </w:r>
          </w:p>
        </w:tc>
        <w:tc>
          <w:tcPr>
            <w:tcW w:type="dxa" w:w="4104"/>
            <w:vAlign w:val="center"/>
          </w:tcPr>
          <w:p>
            <w:r>
              <w:t>Use an explicit Store + Link cascade. Major reservoirs with Agriculture observations use observed daily boundaries. If Upper Aliyar/other seasonal PAP states are available only monthly, interpolate SOC fraction to week boundaries with tolerance. Thunacadavu is balancing storage: initialize from Parambikulam normalized SOC when needed, then enforce per-week end_SOC=start_SOC unless direct boundary observations exist. Keep every powerhouse at official plant-level p_nom.</w:t>
            </w:r>
          </w:p>
        </w:tc>
        <w:tc>
          <w:tcPr>
            <w:tcW w:type="dxa" w:w="2880"/>
            <w:vAlign w:val="center"/>
          </w:tcPr>
          <w:p>
            <w:r>
              <w:t>Store.e_nom/e_initial from reservoir data; each powerhouse Link.p_nom from official inventory; stage-specific efficiency/head; downstream routing. Boundary_method=daily_observed / monthly_interpolated / weekly_neutral_pondage as applicable.</w:t>
            </w:r>
          </w:p>
        </w:tc>
      </w:tr>
      <w:tr>
        <w:trPr>
          <w:cantSplit/>
        </w:trPr>
        <w:tc>
          <w:tcPr>
            <w:tcW w:type="dxa" w:w="2088"/>
            <w:vAlign w:val="center"/>
          </w:tcPr>
          <w:p>
            <w:pPr>
              <w:spacing w:after="0" w:before="0" w:line="240" w:lineRule="auto"/>
            </w:pPr>
            <w:r/>
            <w:r>
              <w:rPr>
                <w:rFonts w:ascii="Aptos" w:hAnsi="Aptos"/>
                <w:b w:val="0"/>
                <w:sz w:val="14"/>
              </w:rPr>
              <w:t>Kadamparai pumped storage</w:t>
            </w:r>
          </w:p>
        </w:tc>
        <w:tc>
          <w:tcPr>
            <w:tcW w:type="dxa" w:w="2880"/>
            <w:vAlign w:val="center"/>
          </w:tcPr>
          <w:p>
            <w:pPr>
              <w:spacing w:after="0" w:before="0" w:line="240" w:lineRule="auto"/>
            </w:pPr>
            <w:r/>
            <w:r>
              <w:rPr>
                <w:rFonts w:ascii="Aptos" w:hAnsi="Aptos"/>
                <w:b w:val="0"/>
                <w:sz w:val="14"/>
              </w:rPr>
              <w:t>CEA static upper/lower reservoir and head data; TANGEDCO pumping energy; Upper Aliyar/PAP observations and SRPC inflow context.</w:t>
            </w:r>
          </w:p>
        </w:tc>
        <w:tc>
          <w:tcPr>
            <w:tcW w:type="dxa" w:w="4104"/>
            <w:vAlign w:val="center"/>
          </w:tcPr>
          <w:p>
            <w:r>
              <w:t>Explicit pumped-storage pair: Kadamparai upper Store + Upper Aliyar lower Store with separate pump and turbine Links. Do not use Agriculture storage as Kadamparai SOC and do not add pumping as natural inflow. If direct Kadamparai upper SOC is unavailable, initialize the upper Store with a configurable documented fraction (default 50%) and enforce upper-store end_SOC=start_SOC for each representative week. This prevents free generation from assumed initial water.</w:t>
            </w:r>
          </w:p>
        </w:tc>
        <w:tc>
          <w:tcPr>
            <w:tcW w:type="dxa" w:w="2880"/>
            <w:vAlign w:val="center"/>
          </w:tcPr>
          <w:p>
            <w:r>
              <w:t>Store.e_nom/e_initial; generation Link p_nom=400 MW; pump Link p_nom; eta_generation, eta_pump; initial_soc_method=assumed_fraction when unobserved; weekly_balance_method=end_equals_start; validate pumping energy.</w:t>
            </w:r>
          </w:p>
        </w:tc>
      </w:tr>
      <w:tr>
        <w:trPr>
          <w:cantSplit/>
        </w:trPr>
        <w:tc>
          <w:tcPr>
            <w:tcW w:type="dxa" w:w="2088"/>
            <w:vAlign w:val="center"/>
          </w:tcPr>
          <w:p>
            <w:pPr>
              <w:spacing w:after="0" w:before="0" w:line="240" w:lineRule="auto"/>
            </w:pPr>
            <w:r/>
            <w:r>
              <w:rPr>
                <w:rFonts w:ascii="Aptos" w:hAnsi="Aptos"/>
                <w:b w:val="0"/>
                <w:sz w:val="14"/>
              </w:rPr>
              <w:t>Nilgiris / Kundah seasonal reservoirs (Mukurthy, Upper Bhavani, Avalanche-Emerald, Pykara)</w:t>
            </w:r>
          </w:p>
        </w:tc>
        <w:tc>
          <w:tcPr>
            <w:tcW w:type="dxa" w:w="2880"/>
            <w:vAlign w:val="center"/>
          </w:tcPr>
          <w:p>
            <w:pPr>
              <w:spacing w:after="0" w:before="0" w:line="240" w:lineRule="auto"/>
            </w:pPr>
            <w:r/>
            <w:r>
              <w:rPr>
                <w:rFonts w:ascii="Aptos" w:hAnsi="Aptos"/>
                <w:b w:val="0"/>
                <w:sz w:val="14"/>
              </w:rPr>
              <w:t>SRPC monthly stored-energy and inflow series.</w:t>
            </w:r>
          </w:p>
        </w:tc>
        <w:tc>
          <w:tcPr>
            <w:tcW w:type="dxa" w:w="4104"/>
            <w:vAlign w:val="center"/>
          </w:tcPr>
          <w:p>
            <w:r>
              <w:t>Use SRPC stored energy directly for major seasonal reservoirs. Convert each monthly stored-energy observation to SOC fraction and linearly interpolate SOC fraction to the start/end of each representative week. Apply a configurable boundary tolerance (default ±0.05 p.u. SOC (±5% of e_nom); allow sensitivity up to ±0.10 p.u. SOC (±10% of e_nom)) rather than treating interpolated values as exact daily observations. Keep each powerhouse at official plant-level p_nom.</w:t>
            </w:r>
          </w:p>
        </w:tc>
        <w:tc>
          <w:tcPr>
            <w:tcW w:type="dxa" w:w="2880"/>
            <w:vAlign w:val="center"/>
          </w:tcPr>
          <w:p>
            <w:r>
              <w:t>Store.e_nom from SRPC energy-at-FRL; monthly soc_fraction[t]; boundary_method=monthly_interpolated; soc_boundary_tolerance_pu=0.05 default; inflow[t] from SRPC where available; each turbine Link.p_nom from official inventory.</w:t>
            </w:r>
          </w:p>
        </w:tc>
      </w:tr>
      <w:tr>
        <w:trPr>
          <w:cantSplit/>
        </w:trPr>
        <w:tc>
          <w:tcPr>
            <w:tcW w:type="dxa" w:w="2088"/>
            <w:vAlign w:val="center"/>
          </w:tcPr>
          <w:p>
            <w:pPr>
              <w:spacing w:after="0" w:before="0" w:line="240" w:lineRule="auto"/>
            </w:pPr>
            <w:r/>
            <w:r>
              <w:rPr>
                <w:rFonts w:ascii="Aptos" w:hAnsi="Aptos"/>
                <w:b w:val="0"/>
                <w:sz w:val="14"/>
              </w:rPr>
              <w:t>Kundah intermediate forebays (Kundah, Pegumbahalla, Pillur, Parsons Valley)</w:t>
            </w:r>
          </w:p>
        </w:tc>
        <w:tc>
          <w:tcPr>
            <w:tcW w:type="dxa" w:w="2880"/>
            <w:vAlign w:val="center"/>
          </w:tcPr>
          <w:p>
            <w:pPr>
              <w:spacing w:after="0" w:before="0" w:line="240" w:lineRule="auto"/>
            </w:pPr>
            <w:r/>
            <w:r>
              <w:rPr>
                <w:rFonts w:ascii="Aptos" w:hAnsi="Aptos"/>
                <w:b w:val="0"/>
                <w:sz w:val="14"/>
              </w:rPr>
              <w:t>Static forebay capacities plus upstream SRPC reservoir data; TANGEDCO Nilgiris group stored-energy equivalent.</w:t>
            </w:r>
          </w:p>
        </w:tc>
        <w:tc>
          <w:tcPr>
            <w:tcW w:type="dxa" w:w="4104"/>
            <w:vAlign w:val="center"/>
          </w:tcPr>
          <w:p>
            <w:r>
              <w:t>Treat these as short-term pondage, not independent seasonal reservoirs. Give each physical Store its known storage capacity and let SOC evolve endogenously from cascade flows. Where no observed initial SOC exists, initialize at a configurable neutral fraction (default 50%) and enforce end_SOC=start_SOC separately for every representative week. Do not use one global cyclic constraint across concatenated non-adjacent weeks.</w:t>
            </w:r>
          </w:p>
        </w:tc>
        <w:tc>
          <w:tcPr>
            <w:tcW w:type="dxa" w:w="2880"/>
            <w:vAlign w:val="center"/>
          </w:tcPr>
          <w:p>
            <w:r>
              <w:t>Store.e_nom; initial_soc_method=assumed_fraction (default 0.50) where unobserved; weekly_balance_method=end_equals_start; each turbine Link.p_nom from official inventory; no seasonal SOC trajectory.</w:t>
            </w:r>
          </w:p>
        </w:tc>
      </w:tr>
      <w:tr>
        <w:trPr>
          <w:cantSplit/>
        </w:trPr>
        <w:tc>
          <w:tcPr>
            <w:tcW w:type="dxa" w:w="2088"/>
            <w:vAlign w:val="center"/>
          </w:tcPr>
          <w:p>
            <w:pPr>
              <w:spacing w:after="0" w:before="0" w:line="240" w:lineRule="auto"/>
            </w:pPr>
            <w:r/>
            <w:r>
              <w:rPr>
                <w:rFonts w:ascii="Aptos" w:hAnsi="Aptos"/>
                <w:b w:val="0"/>
                <w:sz w:val="14"/>
              </w:rPr>
              <w:t>PUSHEP / Glenmorgan + Maravakandy + Moyar</w:t>
            </w:r>
          </w:p>
        </w:tc>
        <w:tc>
          <w:tcPr>
            <w:tcW w:type="dxa" w:w="2880"/>
            <w:vAlign w:val="center"/>
          </w:tcPr>
          <w:p>
            <w:r>
              <w:t>Pykara/SRPC seasonal data; TANGEDCO confirms Glenmorgan levels are monitored. The hourly level series is not required for the current model setup.</w:t>
            </w:r>
          </w:p>
        </w:tc>
        <w:tc>
          <w:tcPr>
            <w:tcW w:type="dxa" w:w="4104"/>
            <w:vAlign w:val="center"/>
          </w:tcPr>
          <w:p>
            <w:r>
              <w:t>Pykara is the seasonal storage source: use SRPC monthly stored energy and interpolate SOC fraction to representative-week boundaries with tolerance. Glenmorgan/Pykara New Forebay and Moyar forebay are short-term pondage: initialize neutrally where unobserved and enforce end_SOC=start_SOC per week. Hourly Glenmorgan/Moyar level series are optional validation only.</w:t>
            </w:r>
          </w:p>
        </w:tc>
        <w:tc>
          <w:tcPr>
            <w:tcW w:type="dxa" w:w="2880"/>
            <w:vAlign w:val="center"/>
          </w:tcPr>
          <w:p>
            <w:r>
              <w:t>Pykara Store: boundary_method=monthly_interpolated and tolerance. Forebay Stores: initial_soc_method=assumed_fraction (default 0.50), weekly_balance_method=end_equals_start. Each plant p_nom remains from official Tamil Nadu inventory.</w:t>
            </w:r>
          </w:p>
        </w:tc>
      </w:tr>
      <w:tr>
        <w:trPr>
          <w:cantSplit/>
        </w:trPr>
        <w:tc>
          <w:tcPr>
            <w:tcW w:type="dxa" w:w="2088"/>
            <w:vAlign w:val="center"/>
          </w:tcPr>
          <w:p>
            <w:pPr>
              <w:spacing w:after="0" w:before="0" w:line="240" w:lineRule="auto"/>
            </w:pPr>
            <w:r/>
            <w:r>
              <w:rPr>
                <w:rFonts w:ascii="Aptos" w:hAnsi="Aptos"/>
                <w:b w:val="0"/>
                <w:sz w:val="14"/>
              </w:rPr>
              <w:t>Kodayar I-II + Pechiparai</w:t>
            </w:r>
          </w:p>
        </w:tc>
        <w:tc>
          <w:tcPr>
            <w:tcW w:type="dxa" w:w="2880"/>
            <w:vAlign w:val="center"/>
          </w:tcPr>
          <w:p>
            <w:pPr>
              <w:spacing w:after="0" w:before="0" w:line="240" w:lineRule="auto"/>
            </w:pPr>
            <w:r/>
            <w:r>
              <w:rPr>
                <w:rFonts w:ascii="Aptos" w:hAnsi="Aptos"/>
                <w:b w:val="0"/>
                <w:sz w:val="14"/>
              </w:rPr>
              <w:t>TANGEDCO Kodayar group stored energy; SRPC monthly inflow; official Upper Kodayar storage/FRL and Kodayar-II topology.</w:t>
            </w:r>
          </w:p>
        </w:tc>
        <w:tc>
          <w:tcPr>
            <w:tcW w:type="dxa" w:w="4104"/>
            <w:vAlign w:val="center"/>
          </w:tcPr>
          <w:p>
            <w:r>
              <w:t>Model Upper Kodayar as the seasonal Store and Kodayar II forebay as intermediate pondage. If monthly Kodayar group stored energy is loaded, convert it to group SOC fraction and interpolate to representative-week boundaries with tolerance; do not invent daily reservoir trajectories. Until that series is loaded, use a documented proxy/assumption for the seasonal Store. For Kodayar II forebay, enforce weekly end_SOC=start_SOC when no direct observations exist.</w:t>
            </w:r>
          </w:p>
        </w:tc>
        <w:tc>
          <w:tcPr>
            <w:tcW w:type="dxa" w:w="2880"/>
            <w:vAlign w:val="center"/>
          </w:tcPr>
          <w:p>
            <w:r>
              <w:t>Upper Store boundary_method=monthly_interpolated when group data exist, otherwise proxy/assumed; Kodayar II forebay weekly_balance_method=end_equals_start; separate turbine Links with official p_nom.</w:t>
            </w:r>
          </w:p>
        </w:tc>
      </w:tr>
      <w:tr>
        <w:trPr>
          <w:cantSplit/>
        </w:trPr>
        <w:tc>
          <w:tcPr>
            <w:tcW w:type="dxa" w:w="2088"/>
            <w:vAlign w:val="center"/>
          </w:tcPr>
          <w:p>
            <w:pPr>
              <w:spacing w:after="0" w:before="0" w:line="240" w:lineRule="auto"/>
            </w:pPr>
            <w:r/>
            <w:r>
              <w:rPr>
                <w:rFonts w:ascii="Aptos" w:hAnsi="Aptos"/>
                <w:b w:val="0"/>
                <w:sz w:val="14"/>
              </w:rPr>
              <w:t>Suruliyar / Highwavys-Manalar-Vennirar</w:t>
            </w:r>
          </w:p>
        </w:tc>
        <w:tc>
          <w:tcPr>
            <w:tcW w:type="dxa" w:w="2880"/>
            <w:vAlign w:val="center"/>
          </w:tcPr>
          <w:p>
            <w:pPr>
              <w:spacing w:after="0" w:before="0" w:line="240" w:lineRule="auto"/>
            </w:pPr>
            <w:r/>
            <w:r>
              <w:rPr>
                <w:rFonts w:ascii="Aptos" w:hAnsi="Aptos"/>
                <w:b w:val="0"/>
                <w:sz w:val="14"/>
              </w:rPr>
              <w:t>SRPC monthly Suruliyar inflow; TANGEDCO monthly Suruliyar stored-energy equivalent.</w:t>
            </w:r>
          </w:p>
        </w:tc>
        <w:tc>
          <w:tcPr>
            <w:tcW w:type="dxa" w:w="4104"/>
            <w:vAlign w:val="center"/>
          </w:tcPr>
          <w:p>
            <w:r>
              <w:t>Represent Highwavys/Manalar/Vennirar as one equivalent seasonal water Store feeding the Suruliyar powerhouse. When the TANGEDCO monthly Suruliyar stored-energy series is loaded, convert it to SOC fraction and interpolate only to representative-week start/end boundaries with tolerance. Until then, use an explicitly documented seasonal proxy or start/end assumption; do not create a synthetic daily SOC series.</w:t>
            </w:r>
          </w:p>
        </w:tc>
        <w:tc>
          <w:tcPr>
            <w:tcW w:type="dxa" w:w="2880"/>
            <w:vAlign w:val="center"/>
          </w:tcPr>
          <w:p>
            <w:r>
              <w:t>Aggregate water Store.e_nom/e[t]; boundary_method=monthly_interpolated when monthly data are available, otherwise proxy/assumed; soc_boundary_tolerance_pu=0.05 default for interpolated targets; Suruliyar plant p_nom from official inventory.</w:t>
            </w:r>
          </w:p>
        </w:tc>
      </w:tr>
    </w:tbl>
    <w:p>
      <w:pPr>
        <w:pStyle w:val="Heading1"/>
        <w:keepNext/>
      </w:pPr>
      <w:r>
        <w:t>5. Missing-data hierarchy and model metadata</w:t>
      </w:r>
    </w:p>
    <w:p>
      <w:r>
        <w:t>Apply this order whenever reservoir-specific daily observations are unavailable:</w:t>
      </w:r>
    </w:p>
    <w:p>
      <w:pPr>
        <w:pStyle w:val="ListBullet"/>
        <w:spacing w:after="20"/>
      </w:pPr>
      <w:r>
        <w:t>Daily observed reservoir storage / stored-energy series.</w:t>
      </w:r>
    </w:p>
    <w:p>
      <w:pPr>
        <w:pStyle w:val="ListBullet"/>
        <w:spacing w:after="20"/>
      </w:pPr>
      <w:r>
        <w:t>Monthly observed stored-energy/SOC series, interpolated only to representative-week boundaries.</w:t>
      </w:r>
    </w:p>
    <w:p>
      <w:pPr>
        <w:pStyle w:val="ListBullet"/>
        <w:spacing w:after="20"/>
      </w:pPr>
      <w:r>
        <w:t>Proxy normalized SOC from a hydrologically connected seasonal reservoir in the same cascade.</w:t>
      </w:r>
    </w:p>
    <w:p>
      <w:pPr>
        <w:pStyle w:val="ListBullet"/>
        <w:spacing w:after="20"/>
      </w:pPr>
      <w:r>
        <w:t>Endogenous pondage for small forebays; otherwise an explicit configurable assumption when no seasonal observation/proxy exists.</w:t>
      </w:r>
    </w:p>
    <w:tbl>
      <w:tblPr>
        <w:tblStyle w:val="TableGrid"/>
        <w:tblW w:type="auto" w:w="0"/>
        <w:jc w:val="center"/>
        <w:tblLook w:firstColumn="1" w:firstRow="1" w:lastColumn="0" w:lastRow="0" w:noHBand="0" w:noVBand="1" w:val="04A0"/>
      </w:tblPr>
      <w:tblGrid>
        <w:gridCol w:w="5256"/>
        <w:gridCol w:w="5256"/>
      </w:tblGrid>
      <w:tr>
        <w:trPr>
          <w:tblHeader w:val="true"/>
          <w:cantSplit/>
        </w:trPr>
        <w:tc>
          <w:tcPr>
            <w:tcW w:type="dxa" w:w="2880"/>
            <w:vAlign w:val="center"/>
            <w:shd w:fill="D9E2F3"/>
          </w:tcPr>
          <w:p>
            <w:pPr>
              <w:spacing w:after="0" w:before="0" w:line="240" w:lineRule="auto"/>
            </w:pPr>
            <w:r/>
            <w:r>
              <w:rPr>
                <w:rFonts w:ascii="Aptos" w:hAnsi="Aptos"/>
                <w:b/>
                <w:sz w:val="15"/>
              </w:rPr>
              <w:t>Field</w:t>
            </w:r>
          </w:p>
        </w:tc>
        <w:tc>
          <w:tcPr>
            <w:tcW w:type="dxa" w:w="7776"/>
            <w:vAlign w:val="center"/>
            <w:shd w:fill="D9E2F3"/>
          </w:tcPr>
          <w:p>
            <w:pPr>
              <w:spacing w:after="0" w:before="0" w:line="240" w:lineRule="auto"/>
            </w:pPr>
            <w:r/>
            <w:r>
              <w:rPr>
                <w:rFonts w:ascii="Aptos" w:hAnsi="Aptos"/>
                <w:b/>
                <w:sz w:val="15"/>
              </w:rPr>
              <w:t>Recommended values / use</w:t>
            </w:r>
          </w:p>
        </w:tc>
      </w:tr>
      <w:tr>
        <w:trPr>
          <w:cantSplit/>
        </w:trPr>
        <w:tc>
          <w:tcPr>
            <w:tcW w:type="dxa" w:w="2880"/>
            <w:vAlign w:val="center"/>
          </w:tcPr>
          <w:p>
            <w:pPr>
              <w:spacing w:after="0" w:before="0" w:line="240" w:lineRule="auto"/>
            </w:pPr>
            <w:r/>
            <w:r>
              <w:rPr>
                <w:rFonts w:ascii="Aptos" w:hAnsi="Aptos"/>
                <w:b w:val="0"/>
                <w:sz w:val="15"/>
              </w:rPr>
              <w:t>soc_source</w:t>
            </w:r>
          </w:p>
        </w:tc>
        <w:tc>
          <w:tcPr>
            <w:tcW w:type="dxa" w:w="7776"/>
            <w:vAlign w:val="center"/>
          </w:tcPr>
          <w:p>
            <w:r>
              <w:t>observed_agriculture; observed_cwc; direct_srpc_stored_energy; monthly_group_energy; proxy_connected_reservoir; endogenous_pondage; assumed</w:t>
            </w:r>
          </w:p>
        </w:tc>
      </w:tr>
      <w:tr>
        <w:trPr>
          <w:cantSplit/>
        </w:trPr>
        <w:tc>
          <w:tcPr>
            <w:tcW w:type="dxa" w:w="2880"/>
            <w:vAlign w:val="center"/>
          </w:tcPr>
          <w:p>
            <w:pPr>
              <w:spacing w:after="0" w:before="0" w:line="240" w:lineRule="auto"/>
            </w:pPr>
            <w:r/>
            <w:r>
              <w:rPr>
                <w:rFonts w:ascii="Aptos" w:hAnsi="Aptos"/>
                <w:b w:val="0"/>
                <w:sz w:val="15"/>
              </w:rPr>
              <w:t>energy_capacity_method</w:t>
            </w:r>
          </w:p>
        </w:tc>
        <w:tc>
          <w:tcPr>
            <w:tcW w:type="dxa" w:w="7776"/>
            <w:vAlign w:val="center"/>
          </w:tcPr>
          <w:p>
            <w:pPr>
              <w:spacing w:after="0" w:before="0" w:line="240" w:lineRule="auto"/>
            </w:pPr>
            <w:r/>
            <w:r>
              <w:rPr>
                <w:rFonts w:ascii="Aptos" w:hAnsi="Aptos"/>
                <w:b w:val="0"/>
                <w:sz w:val="15"/>
              </w:rPr>
              <w:t>direct_srpc_stored_energy; cwc_live_volume_to_energy; observed_live_volume_to_energy; aggregate_group_energy</w:t>
            </w:r>
          </w:p>
        </w:tc>
      </w:tr>
      <w:tr>
        <w:trPr>
          <w:cantSplit/>
        </w:trPr>
        <w:tc>
          <w:tcPr>
            <w:tcW w:type="dxa" w:w="2880"/>
            <w:vAlign w:val="center"/>
          </w:tcPr>
          <w:p>
            <w:pPr>
              <w:spacing w:after="0" w:before="0" w:line="240" w:lineRule="auto"/>
            </w:pPr>
            <w:r/>
            <w:r>
              <w:rPr>
                <w:rFonts w:ascii="Aptos" w:hAnsi="Aptos"/>
                <w:b w:val="0"/>
                <w:sz w:val="15"/>
              </w:rPr>
              <w:t>soc_proxy_reservoir</w:t>
            </w:r>
          </w:p>
        </w:tc>
        <w:tc>
          <w:tcPr>
            <w:tcW w:type="dxa" w:w="7776"/>
            <w:vAlign w:val="center"/>
          </w:tcPr>
          <w:p>
            <w:pPr>
              <w:spacing w:after="0" w:before="0" w:line="240" w:lineRule="auto"/>
            </w:pPr>
            <w:r/>
            <w:r>
              <w:rPr>
                <w:rFonts w:ascii="Aptos" w:hAnsi="Aptos"/>
                <w:b w:val="0"/>
                <w:sz w:val="15"/>
              </w:rPr>
              <w:t>Reservoir used only for normalized SOC pattern, never for absolute storage volume</w:t>
            </w:r>
          </w:p>
        </w:tc>
      </w:tr>
      <w:tr>
        <w:trPr>
          <w:cantSplit/>
        </w:trPr>
        <w:tc>
          <w:tcPr>
            <w:tcW w:type="dxa" w:w="2880"/>
            <w:vAlign w:val="center"/>
          </w:tcPr>
          <w:p>
            <w:pPr>
              <w:spacing w:after="0" w:before="0" w:line="240" w:lineRule="auto"/>
            </w:pPr>
            <w:r/>
            <w:r>
              <w:rPr>
                <w:rFonts w:ascii="Aptos" w:hAnsi="Aptos"/>
                <w:b w:val="0"/>
                <w:sz w:val="15"/>
              </w:rPr>
              <w:t>data_quality</w:t>
            </w:r>
          </w:p>
        </w:tc>
        <w:tc>
          <w:tcPr>
            <w:tcW w:type="dxa" w:w="7776"/>
            <w:vAlign w:val="center"/>
          </w:tcPr>
          <w:p>
            <w:pPr>
              <w:spacing w:after="0" w:before="0" w:line="240" w:lineRule="auto"/>
            </w:pPr>
            <w:r/>
            <w:r>
              <w:rPr>
                <w:rFonts w:ascii="Aptos" w:hAnsi="Aptos"/>
                <w:b w:val="0"/>
                <w:sz w:val="15"/>
              </w:rPr>
              <w:t>high / medium / low</w:t>
            </w:r>
          </w:p>
        </w:tc>
      </w:tr>
      <w:tr>
        <w:trPr>
          <w:cantSplit/>
        </w:trPr>
        <w:tc>
          <w:tcPr>
            <w:tcW w:type="dxa" w:w="2880"/>
            <w:vAlign w:val="center"/>
          </w:tcPr>
          <w:p>
            <w:pPr>
              <w:spacing w:after="0" w:before="0" w:line="240" w:lineRule="auto"/>
            </w:pPr>
            <w:r/>
            <w:r>
              <w:rPr>
                <w:rFonts w:ascii="Aptos" w:hAnsi="Aptos"/>
                <w:b w:val="0"/>
                <w:sz w:val="15"/>
              </w:rPr>
              <w:t>initial_soc_method</w:t>
            </w:r>
          </w:p>
        </w:tc>
        <w:tc>
          <w:tcPr>
            <w:tcW w:type="dxa" w:w="7776"/>
            <w:vAlign w:val="center"/>
          </w:tcPr>
          <w:p>
            <w:r>
              <w:t>observed_daily; monthly_interpolated; proxy_fraction; assumed_fraction</w:t>
            </w:r>
          </w:p>
        </w:tc>
      </w:tr>
      <w:tr>
        <w:trPr>
          <w:cantSplit/>
        </w:trPr>
        <w:tc>
          <w:tcPr>
            <w:tcW w:type="dxa" w:w="2880"/>
            <w:vAlign w:val="center"/>
          </w:tcPr>
          <w:p>
            <w:pPr>
              <w:spacing w:after="0" w:before="0" w:line="240" w:lineRule="auto"/>
            </w:pPr>
            <w:r/>
            <w:r>
              <w:rPr>
                <w:rFonts w:ascii="Aptos" w:hAnsi="Aptos"/>
                <w:b w:val="0"/>
                <w:sz w:val="15"/>
              </w:rPr>
              <w:t>terminal_soc_method</w:t>
            </w:r>
          </w:p>
        </w:tc>
        <w:tc>
          <w:tcPr>
            <w:tcW w:type="dxa" w:w="7776"/>
            <w:vAlign w:val="center"/>
          </w:tcPr>
          <w:p>
            <w:r>
              <w:t>observed_daily_target; monthly_interpolated_tolerance; proxy_target; end_equals_start; explicit_assumed_target</w:t>
            </w:r>
          </w:p>
        </w:tc>
      </w:tr>
      <w:tr>
        <w:tc>
          <w:tcPr>
            <w:tcW w:type="dxa" w:w="5256"/>
          </w:tcPr>
          <w:p>
            <w:r>
              <w:t>boundary_data_resolution</w:t>
            </w:r>
          </w:p>
        </w:tc>
        <w:tc>
          <w:tcPr>
            <w:tcW w:type="dxa" w:w="5256"/>
          </w:tcPr>
          <w:p>
            <w:r>
              <w:t>daily; monthly; proxy; none</w:t>
            </w:r>
          </w:p>
        </w:tc>
      </w:tr>
      <w:tr>
        <w:tc>
          <w:tcPr>
            <w:tcW w:type="dxa" w:w="5256"/>
          </w:tcPr>
          <w:p>
            <w:r>
              <w:t>soc_boundary_tolerance_pu</w:t>
            </w:r>
          </w:p>
        </w:tc>
        <w:tc>
          <w:tcPr>
            <w:tcW w:type="dxa" w:w="5256"/>
          </w:tcPr>
          <w:p>
            <w:r>
              <w:t>For monthly-interpolated seasonal SOC: configurable; default 0.05 (±0.05 p.u. SOC (±5% of e_nom)), sensitivity 0.10</w:t>
            </w:r>
          </w:p>
        </w:tc>
      </w:tr>
      <w:tr>
        <w:tc>
          <w:tcPr>
            <w:tcW w:type="dxa" w:w="5256"/>
          </w:tcPr>
          <w:p>
            <w:r>
              <w:t>weekly_balance_method</w:t>
            </w:r>
          </w:p>
        </w:tc>
        <w:tc>
          <w:tcPr>
            <w:tcW w:type="dxa" w:w="5256"/>
          </w:tcPr>
          <w:p>
            <w:r>
              <w:t>seasonal_observed; seasonal_interpolated; end_equals_start; explicit_assumption</w:t>
            </w:r>
          </w:p>
        </w:tc>
      </w:tr>
    </w:tbl>
    <w:p>
      <w:pPr>
        <w:pStyle w:val="Heading1"/>
        <w:keepNext/>
      </w:pPr>
      <w:r>
        <w:t>6. Minimum validation checks</w:t>
      </w:r>
    </w:p>
    <w:p>
      <w:pPr>
        <w:pStyle w:val="ListBullet"/>
        <w:spacing w:after="20"/>
      </w:pPr>
      <w:r>
        <w:t>0 &lt;= SOC &lt;= e_nom for every Store/StorageUnit.</w:t>
      </w:r>
    </w:p>
    <w:p>
      <w:pPr>
        <w:pStyle w:val="ListBullet"/>
        <w:spacing w:after="20"/>
      </w:pPr>
      <w:r>
        <w:t>Reservoirs with observed data are never overwritten by proxy data.</w:t>
      </w:r>
    </w:p>
    <w:p>
      <w:pPr>
        <w:pStyle w:val="ListBullet"/>
        <w:spacing w:after="20"/>
      </w:pPr>
      <w:r>
        <w:t>Natural inflow is retained; water value or terminal SOC does not replace inflow.</w:t>
      </w:r>
    </w:p>
    <w:p>
      <w:pPr>
        <w:pStyle w:val="ListBullet"/>
        <w:spacing w:after="20"/>
      </w:pPr>
      <w:r>
        <w:t>Cascade discharge is routed downstream and not lost after electricity generation.</w:t>
      </w:r>
    </w:p>
    <w:p>
      <w:pPr>
        <w:pStyle w:val="ListBullet"/>
        <w:spacing w:after="20"/>
      </w:pPr>
      <w:r>
        <w:t>Small forebays do not receive artificial seasonal storage trajectories; each representative week is water-neutral for the forebay (end SOC = start SOC) unless observed boundary data exist.</w:t>
      </w:r>
    </w:p>
    <w:p>
      <w:pPr>
        <w:pStyle w:val="ListBullet"/>
        <w:spacing w:after="20"/>
      </w:pPr>
      <w:r>
        <w:t>Kadamparai pumping is separate from natural inflow. Until direct upper-reservoir SOC observations are available, the Kadamparai upper Store uses a documented initial SOC assumption and ends each representative week at the same SOC; simulated pumping energy is checked against TANGEDCO where available.</w:t>
      </w:r>
    </w:p>
    <w:p>
      <w:pPr>
        <w:pStyle w:val="ListBullet"/>
        <w:spacing w:after="20"/>
      </w:pPr>
      <w:r>
        <w:t>For group-calibrated systems, compare the sum of component Stores with observed TANGEDCO group stored energy.</w:t>
      </w:r>
    </w:p>
    <w:p>
      <w:pPr>
        <w:pStyle w:val="ListBullet"/>
        <w:spacing w:after="20"/>
      </w:pPr>
      <w:r>
        <w:t>For representative weeks: daily-observed seasonal reservoirs use observed boundaries; monthly-observed seasonal reservoirs use interpolated boundary targets with tolerance; endogenous pondage is weekly water-neutral; and no SOC is transferred between non-adjacent weeks.</w:t>
      </w:r>
    </w:p>
    <w:p>
      <w:r>
        <w:t>Official Tamil Nadu plant-level p_nom values are preserved exactly; grouped reservoir/system MW totals are never assigned to one turbine unless the grouped plants are explicitly confirmed to be hydraulically equivalent and intentionally aggregated.</w:t>
      </w:r>
    </w:p>
    <w:p>
      <w:pPr>
        <w:pStyle w:val="Heading1"/>
        <w:keepNext/>
        <w:spacing w:before="120" w:after="60"/>
      </w:pPr>
      <w:r>
        <w:t>7. Core references</w:t>
      </w:r>
    </w:p>
    <w:p>
      <w:pPr>
        <w:pStyle w:val="ListBullet"/>
        <w:spacing w:after="0" w:before="0" w:line="240" w:lineRule="auto"/>
      </w:pPr>
      <w:r>
        <w:rPr>
          <w:sz w:val="18"/>
        </w:rPr>
        <w:t>PyPSA StorageUnit documentation: https://docs.pypsa.org/latest/user-guide/components/storage-units/</w:t>
      </w:r>
    </w:p>
    <w:p>
      <w:pPr>
        <w:pStyle w:val="ListBullet"/>
        <w:spacing w:after="0" w:before="0" w:line="240" w:lineRule="auto"/>
      </w:pPr>
      <w:r>
        <w:rPr>
          <w:sz w:val="18"/>
        </w:rPr>
        <w:t>PyPSA Store documentation: https://docs.pypsa.org/latest/user-guide/components/stores/</w:t>
      </w:r>
    </w:p>
    <w:p>
      <w:pPr>
        <w:pStyle w:val="ListBullet"/>
        <w:spacing w:after="0" w:before="0" w:line="240" w:lineRule="auto"/>
      </w:pPr>
      <w:r>
        <w:rPr>
          <w:sz w:val="18"/>
        </w:rPr>
        <w:t>Tamil Nadu Agriculture reservoir database: https://tnagriculture.in/ARS/home/reservoir/</w:t>
      </w:r>
    </w:p>
    <w:p>
      <w:pPr>
        <w:pStyle w:val="ListBullet"/>
        <w:spacing w:after="0" w:before="0" w:line="240" w:lineRule="auto"/>
      </w:pPr>
      <w:r>
        <w:rPr>
          <w:sz w:val="18"/>
        </w:rPr>
        <w:t>CWC Reservoir Storage Monitoring / weekly bulletins: https://rsms.cwc.gov.in/</w:t>
      </w:r>
    </w:p>
    <w:p>
      <w:pPr>
        <w:pStyle w:val="ListBullet"/>
        <w:spacing w:after="0" w:before="0" w:line="240" w:lineRule="auto"/>
      </w:pPr>
      <w:r>
        <w:rPr>
          <w:sz w:val="18"/>
        </w:rPr>
        <w:t>SRPC annual and OCC reports: https://srpc.kar.nic.in/</w:t>
      </w:r>
    </w:p>
    <w:p>
      <w:pPr>
        <w:pStyle w:val="ListBullet"/>
        <w:spacing w:after="0" w:before="0" w:line="240" w:lineRule="auto"/>
      </w:pPr>
      <w:r>
        <w:rPr>
          <w:sz w:val="18"/>
        </w:rPr>
        <w:t>TANGEDCO/TNEB technical bulletins and proceedings: https://tneb.tnebnet.org/</w:t>
      </w:r>
    </w:p>
    <w:p>
      <w:pPr>
        <w:pStyle w:val="ListBullet"/>
        <w:spacing w:after="0" w:before="0" w:line="240" w:lineRule="auto"/>
      </w:pPr>
      <w:r>
        <w:rPr>
          <w:sz w:val="18"/>
        </w:rPr>
        <w:t>CEA hydropower / pumped-storage documentation: https://cea.nic.in/</w:t>
      </w:r>
    </w:p>
    <w:p>
      <w:pPr>
        <w:spacing w:before="0" w:after="0"/>
        <w:sectPr>
          <w:footerReference w:type="default" r:id="rId9"/>
          <w:pgSz w:w="12240" w:h="15840"/>
          <w:pgMar w:top="792" w:right="864" w:bottom="792" w:left="864" w:header="720" w:footer="720" w:gutter="0"/>
          <w:cols w:space="720"/>
          <w:docGrid w:linePitch="360"/>
        </w:sectPr>
      </w:pPr>
    </w:p>
    <w:p>
      <w:pPr>
        <w:pStyle w:val="Heading1"/>
      </w:pPr>
      <w:r>
        <w:t>Appendix A. Complete source plant-to-data mapping</w:t>
      </w:r>
    </w:p>
    <w:p>
      <w:pPr>
        <w:spacing w:after="120"/>
      </w:pPr>
      <w:r>
        <w:t>This appendix reproduces the complete plant/system mapping table from the source implementation note. Some rows intentionally combine multiple powerhouses and therefore show a system-level MW total. These MW values are source-table reference totals, not automatically PyPSA component p_nom values. For implementation, plant-level p_nom must come from the official Tamil Nadu generation inventory already used by the model; hydraulic storage/SOC may still be represented or calibrated at group level.</w:t>
      </w:r>
    </w:p>
    <w:tbl>
      <w:tblPr>
        <w:tblStyle w:val="TableGrid"/>
        <w:tblW w:type="auto" w:w="0"/>
        <w:jc w:val="center"/>
        <w:tblLayout w:type="fixed"/>
        <w:tblLook w:firstColumn="1" w:firstRow="1" w:lastColumn="0" w:lastRow="0" w:noHBand="0" w:noVBand="1" w:val="04A0"/>
      </w:tblPr>
      <w:tblGrid>
        <w:gridCol w:w="2400"/>
        <w:gridCol w:w="2400"/>
        <w:gridCol w:w="2400"/>
        <w:gridCol w:w="2400"/>
        <w:gridCol w:w="2400"/>
        <w:gridCol w:w="2400"/>
      </w:tblGrid>
      <w:tr>
        <w:trPr>
          <w:tblHeader w:val="true"/>
          <w:cantSplit/>
        </w:trPr>
        <w:tc>
          <w:tcPr>
            <w:tcW w:type="dxa" w:w="2088"/>
            <w:vAlign w:val="top"/>
            <w:shd w:fill="D9EAF7"/>
          </w:tcPr>
          <w:p>
            <w:pPr>
              <w:spacing w:before="0" w:after="0" w:line="240" w:lineRule="auto"/>
            </w:pPr>
            <w:r>
              <w:rPr>
                <w:rFonts w:ascii="Aptos" w:hAnsi="Aptos"/>
                <w:b/>
                <w:sz w:val="15"/>
              </w:rPr>
              <w:t>Plant/system</w:t>
            </w:r>
          </w:p>
        </w:tc>
        <w:tc>
          <w:tcPr>
            <w:tcW w:type="dxa" w:w="1080"/>
            <w:vAlign w:val="top"/>
            <w:shd w:fill="D9EAF7"/>
          </w:tcPr>
          <w:p>
            <w:r>
              <w:t>Source MW (may be system total)</w:t>
            </w:r>
          </w:p>
        </w:tc>
        <w:tc>
          <w:tcPr>
            <w:tcW w:type="dxa" w:w="2520"/>
            <w:vAlign w:val="top"/>
            <w:shd w:fill="D9EAF7"/>
          </w:tcPr>
          <w:p>
            <w:pPr>
              <w:spacing w:before="0" w:after="0" w:line="240" w:lineRule="auto"/>
            </w:pPr>
            <w:r>
              <w:rPr>
                <w:rFonts w:ascii="Aptos" w:hAnsi="Aptos"/>
                <w:b/>
                <w:sz w:val="15"/>
              </w:rPr>
              <w:t>Reservoir/source</w:t>
            </w:r>
          </w:p>
        </w:tc>
        <w:tc>
          <w:tcPr>
            <w:tcW w:type="dxa" w:w="4824"/>
            <w:vAlign w:val="top"/>
            <w:shd w:fill="D9EAF7"/>
          </w:tcPr>
          <w:p>
            <w:pPr>
              <w:spacing w:before="0" w:after="0" w:line="240" w:lineRule="auto"/>
            </w:pPr>
            <w:r>
              <w:rPr>
                <w:rFonts w:ascii="Aptos" w:hAnsi="Aptos"/>
                <w:b/>
                <w:sz w:val="15"/>
              </w:rPr>
              <w:t>Best data</w:t>
            </w:r>
          </w:p>
        </w:tc>
        <w:tc>
          <w:tcPr>
            <w:tcW w:type="dxa" w:w="2232"/>
            <w:vAlign w:val="top"/>
            <w:shd w:fill="D9EAF7"/>
          </w:tcPr>
          <w:p>
            <w:pPr>
              <w:spacing w:before="0" w:after="0" w:line="240" w:lineRule="auto"/>
            </w:pPr>
            <w:r>
              <w:rPr>
                <w:rFonts w:ascii="Aptos" w:hAnsi="Aptos"/>
                <w:b/>
                <w:sz w:val="15"/>
              </w:rPr>
              <w:t>PyPSA object</w:t>
            </w:r>
          </w:p>
        </w:tc>
        <w:tc>
          <w:tcPr>
            <w:tcW w:type="dxa" w:w="1944"/>
            <w:vAlign w:val="top"/>
            <w:shd w:fill="D9EAF7"/>
          </w:tcPr>
          <w:p>
            <w:pPr>
              <w:spacing w:before="0" w:after="0" w:line="240" w:lineRule="auto"/>
            </w:pPr>
            <w:r>
              <w:rPr>
                <w:rFonts w:ascii="Aptos" w:hAnsi="Aptos"/>
                <w:b/>
                <w:sz w:val="15"/>
              </w:rPr>
              <w:t>Status</w:t>
            </w:r>
          </w:p>
        </w:tc>
      </w:tr>
      <w:tr>
        <w:trPr>
          <w:cantSplit/>
        </w:trPr>
        <w:tc>
          <w:tcPr>
            <w:tcW w:type="dxa" w:w="2088"/>
            <w:vAlign w:val="top"/>
          </w:tcPr>
          <w:p>
            <w:pPr>
              <w:spacing w:before="0" w:after="0" w:line="240" w:lineRule="auto"/>
            </w:pPr>
            <w:r>
              <w:rPr>
                <w:rFonts w:ascii="Aptos" w:hAnsi="Aptos"/>
                <w:sz w:val="14"/>
              </w:rPr>
              <w:t>Mettur Dam + Tunnel</w:t>
            </w:r>
          </w:p>
        </w:tc>
        <w:tc>
          <w:tcPr>
            <w:tcW w:type="dxa" w:w="1080"/>
            <w:vAlign w:val="top"/>
          </w:tcPr>
          <w:p>
            <w:pPr>
              <w:spacing w:before="0" w:after="0" w:line="240" w:lineRule="auto"/>
            </w:pPr>
            <w:r>
              <w:rPr>
                <w:rFonts w:ascii="Aptos" w:hAnsi="Aptos"/>
                <w:sz w:val="14"/>
              </w:rPr>
              <w:t>250</w:t>
            </w:r>
          </w:p>
        </w:tc>
        <w:tc>
          <w:tcPr>
            <w:tcW w:type="dxa" w:w="2520"/>
            <w:vAlign w:val="top"/>
          </w:tcPr>
          <w:p>
            <w:pPr>
              <w:spacing w:before="0" w:after="0" w:line="240" w:lineRule="auto"/>
            </w:pPr>
            <w:r>
              <w:rPr>
                <w:rFonts w:ascii="Aptos" w:hAnsi="Aptos"/>
                <w:sz w:val="14"/>
              </w:rPr>
              <w:t>Mettur / Stanley</w:t>
            </w:r>
          </w:p>
        </w:tc>
        <w:tc>
          <w:tcPr>
            <w:tcW w:type="dxa" w:w="4824"/>
            <w:vAlign w:val="top"/>
          </w:tcPr>
          <w:p>
            <w:pPr>
              <w:spacing w:before="0" w:after="0" w:line="240" w:lineRule="auto"/>
            </w:pPr>
            <w:r>
              <w:rPr>
                <w:rFonts w:ascii="Aptos" w:hAnsi="Aptos"/>
                <w:sz w:val="14"/>
              </w:rPr>
              <w:t>TN Agriculture daily: level, storage, inflow, outflow</w:t>
            </w:r>
          </w:p>
        </w:tc>
        <w:tc>
          <w:tcPr>
            <w:tcW w:type="dxa" w:w="2232"/>
            <w:vAlign w:val="top"/>
          </w:tcPr>
          <w:p>
            <w:pPr>
              <w:spacing w:before="0" w:after="0" w:line="240" w:lineRule="auto"/>
            </w:pPr>
            <w:r>
              <w:rPr>
                <w:rFonts w:ascii="Aptos" w:hAnsi="Aptos"/>
                <w:sz w:val="14"/>
              </w:rPr>
              <w:t>StorageUnit</w:t>
            </w:r>
          </w:p>
        </w:tc>
        <w:tc>
          <w:tcPr>
            <w:tcW w:type="dxa" w:w="1944"/>
            <w:vAlign w:val="top"/>
          </w:tcPr>
          <w:p>
            <w:pPr>
              <w:spacing w:before="0" w:after="0" w:line="240" w:lineRule="auto"/>
            </w:pPr>
            <w:r>
              <w:rPr>
                <w:rFonts w:ascii="Aptos" w:hAnsi="Aptos"/>
                <w:sz w:val="14"/>
              </w:rPr>
              <w:t>Ready</w:t>
            </w:r>
          </w:p>
        </w:tc>
      </w:tr>
      <w:tr>
        <w:trPr>
          <w:cantSplit/>
        </w:trPr>
        <w:tc>
          <w:tcPr>
            <w:tcW w:type="dxa" w:w="2088"/>
            <w:vAlign w:val="top"/>
          </w:tcPr>
          <w:p>
            <w:pPr>
              <w:spacing w:before="0" w:after="0" w:line="240" w:lineRule="auto"/>
            </w:pPr>
            <w:r>
              <w:rPr>
                <w:rFonts w:ascii="Aptos" w:hAnsi="Aptos"/>
                <w:sz w:val="14"/>
              </w:rPr>
              <w:t>Lower Mettur Barrage I-IV</w:t>
            </w:r>
          </w:p>
        </w:tc>
        <w:tc>
          <w:tcPr>
            <w:tcW w:type="dxa" w:w="1080"/>
            <w:vAlign w:val="top"/>
          </w:tcPr>
          <w:p>
            <w:pPr>
              <w:spacing w:before="0" w:after="0" w:line="240" w:lineRule="auto"/>
            </w:pPr>
            <w:r>
              <w:rPr>
                <w:rFonts w:ascii="Aptos" w:hAnsi="Aptos"/>
                <w:sz w:val="14"/>
              </w:rPr>
              <w:t>120</w:t>
            </w:r>
          </w:p>
        </w:tc>
        <w:tc>
          <w:tcPr>
            <w:tcW w:type="dxa" w:w="2520"/>
            <w:vAlign w:val="top"/>
          </w:tcPr>
          <w:p>
            <w:pPr>
              <w:spacing w:before="0" w:after="0" w:line="240" w:lineRule="auto"/>
            </w:pPr>
            <w:r>
              <w:rPr>
                <w:rFonts w:ascii="Aptos" w:hAnsi="Aptos"/>
                <w:sz w:val="14"/>
              </w:rPr>
              <w:t>Cauvery below Mettur</w:t>
            </w:r>
          </w:p>
        </w:tc>
        <w:tc>
          <w:tcPr>
            <w:tcW w:type="dxa" w:w="4824"/>
            <w:vAlign w:val="top"/>
          </w:tcPr>
          <w:p>
            <w:pPr>
              <w:spacing w:before="0" w:after="0" w:line="240" w:lineRule="auto"/>
            </w:pPr>
            <w:r>
              <w:rPr>
                <w:rFonts w:ascii="Aptos" w:hAnsi="Aptos"/>
                <w:sz w:val="14"/>
              </w:rPr>
              <w:t>Mettur outflow as hydro driver</w:t>
            </w:r>
          </w:p>
        </w:tc>
        <w:tc>
          <w:tcPr>
            <w:tcW w:type="dxa" w:w="2232"/>
            <w:vAlign w:val="top"/>
          </w:tcPr>
          <w:p>
            <w:pPr>
              <w:spacing w:before="0" w:after="0" w:line="240" w:lineRule="auto"/>
            </w:pPr>
            <w:r>
              <w:rPr>
                <w:rFonts w:ascii="Aptos" w:hAnsi="Aptos"/>
                <w:sz w:val="14"/>
              </w:rPr>
              <w:t>Generator / cascade Link</w:t>
            </w:r>
          </w:p>
        </w:tc>
        <w:tc>
          <w:tcPr>
            <w:tcW w:type="dxa" w:w="1944"/>
            <w:vAlign w:val="top"/>
          </w:tcPr>
          <w:p>
            <w:pPr>
              <w:spacing w:before="0" w:after="0" w:line="240" w:lineRule="auto"/>
            </w:pPr>
            <w:r>
              <w:rPr>
                <w:rFonts w:ascii="Aptos" w:hAnsi="Aptos"/>
                <w:sz w:val="14"/>
              </w:rPr>
              <w:t>Proxy</w:t>
            </w:r>
          </w:p>
        </w:tc>
      </w:tr>
      <w:tr>
        <w:trPr>
          <w:cantSplit/>
        </w:trPr>
        <w:tc>
          <w:tcPr>
            <w:tcW w:type="dxa" w:w="2088"/>
            <w:vAlign w:val="top"/>
          </w:tcPr>
          <w:p>
            <w:pPr>
              <w:spacing w:before="0" w:after="0" w:line="240" w:lineRule="auto"/>
            </w:pPr>
            <w:r>
              <w:rPr>
                <w:rFonts w:ascii="Aptos" w:hAnsi="Aptos"/>
                <w:sz w:val="14"/>
              </w:rPr>
              <w:t>Bhavanisagar / Lower Bhavani</w:t>
            </w:r>
          </w:p>
        </w:tc>
        <w:tc>
          <w:tcPr>
            <w:tcW w:type="dxa" w:w="1080"/>
            <w:vAlign w:val="top"/>
          </w:tcPr>
          <w:p>
            <w:pPr>
              <w:spacing w:before="0" w:after="0" w:line="240" w:lineRule="auto"/>
            </w:pPr>
            <w:r>
              <w:rPr>
                <w:rFonts w:ascii="Aptos" w:hAnsi="Aptos"/>
                <w:sz w:val="14"/>
              </w:rPr>
              <w:t>16</w:t>
            </w:r>
          </w:p>
        </w:tc>
        <w:tc>
          <w:tcPr>
            <w:tcW w:type="dxa" w:w="2520"/>
            <w:vAlign w:val="top"/>
          </w:tcPr>
          <w:p>
            <w:pPr>
              <w:spacing w:before="0" w:after="0" w:line="240" w:lineRule="auto"/>
            </w:pPr>
            <w:r>
              <w:rPr>
                <w:rFonts w:ascii="Aptos" w:hAnsi="Aptos"/>
                <w:sz w:val="14"/>
              </w:rPr>
              <w:t>Bhavanisagar</w:t>
            </w:r>
          </w:p>
        </w:tc>
        <w:tc>
          <w:tcPr>
            <w:tcW w:type="dxa" w:w="4824"/>
            <w:vAlign w:val="top"/>
          </w:tcPr>
          <w:p>
            <w:pPr>
              <w:spacing w:before="0" w:after="0" w:line="240" w:lineRule="auto"/>
            </w:pPr>
            <w:r>
              <w:rPr>
                <w:rFonts w:ascii="Aptos" w:hAnsi="Aptos"/>
                <w:sz w:val="14"/>
              </w:rPr>
              <w:t>TN Agriculture daily + CWC</w:t>
            </w:r>
          </w:p>
        </w:tc>
        <w:tc>
          <w:tcPr>
            <w:tcW w:type="dxa" w:w="2232"/>
            <w:vAlign w:val="top"/>
          </w:tcPr>
          <w:p>
            <w:pPr>
              <w:spacing w:before="0" w:after="0" w:line="240" w:lineRule="auto"/>
            </w:pPr>
            <w:r>
              <w:rPr>
                <w:rFonts w:ascii="Aptos" w:hAnsi="Aptos"/>
                <w:sz w:val="14"/>
              </w:rPr>
              <w:t>StorageUnit</w:t>
            </w:r>
          </w:p>
        </w:tc>
        <w:tc>
          <w:tcPr>
            <w:tcW w:type="dxa" w:w="1944"/>
            <w:vAlign w:val="top"/>
          </w:tcPr>
          <w:p>
            <w:pPr>
              <w:spacing w:before="0" w:after="0" w:line="240" w:lineRule="auto"/>
            </w:pPr>
            <w:r>
              <w:rPr>
                <w:rFonts w:ascii="Aptos" w:hAnsi="Aptos"/>
                <w:sz w:val="14"/>
              </w:rPr>
              <w:t>Ready</w:t>
            </w:r>
          </w:p>
        </w:tc>
      </w:tr>
      <w:tr>
        <w:trPr>
          <w:cantSplit/>
        </w:trPr>
        <w:tc>
          <w:tcPr>
            <w:tcW w:type="dxa" w:w="2088"/>
            <w:vAlign w:val="top"/>
          </w:tcPr>
          <w:p>
            <w:pPr>
              <w:spacing w:before="0" w:after="0" w:line="240" w:lineRule="auto"/>
            </w:pPr>
            <w:r>
              <w:rPr>
                <w:rFonts w:ascii="Aptos" w:hAnsi="Aptos"/>
                <w:sz w:val="14"/>
              </w:rPr>
              <w:t>Sholayar I-II</w:t>
            </w:r>
          </w:p>
        </w:tc>
        <w:tc>
          <w:tcPr>
            <w:tcW w:type="dxa" w:w="1080"/>
            <w:vAlign w:val="top"/>
          </w:tcPr>
          <w:p>
            <w:pPr>
              <w:spacing w:before="0" w:after="0" w:line="240" w:lineRule="auto"/>
            </w:pPr>
            <w:r>
              <w:rPr>
                <w:rFonts w:ascii="Aptos" w:hAnsi="Aptos"/>
                <w:sz w:val="14"/>
              </w:rPr>
              <w:t>109</w:t>
            </w:r>
          </w:p>
        </w:tc>
        <w:tc>
          <w:tcPr>
            <w:tcW w:type="dxa" w:w="2520"/>
            <w:vAlign w:val="top"/>
          </w:tcPr>
          <w:p>
            <w:pPr>
              <w:spacing w:before="0" w:after="0" w:line="240" w:lineRule="auto"/>
            </w:pPr>
            <w:r>
              <w:rPr>
                <w:rFonts w:ascii="Aptos" w:hAnsi="Aptos"/>
                <w:sz w:val="14"/>
              </w:rPr>
              <w:t>Sholayar</w:t>
            </w:r>
          </w:p>
        </w:tc>
        <w:tc>
          <w:tcPr>
            <w:tcW w:type="dxa" w:w="4824"/>
            <w:vAlign w:val="top"/>
          </w:tcPr>
          <w:p>
            <w:pPr>
              <w:spacing w:before="0" w:after="0" w:line="240" w:lineRule="auto"/>
            </w:pPr>
            <w:r>
              <w:rPr>
                <w:rFonts w:ascii="Aptos" w:hAnsi="Aptos"/>
                <w:sz w:val="14"/>
              </w:rPr>
              <w:t>TN Agriculture daily + CWC</w:t>
            </w:r>
          </w:p>
        </w:tc>
        <w:tc>
          <w:tcPr>
            <w:tcW w:type="dxa" w:w="2232"/>
            <w:vAlign w:val="top"/>
          </w:tcPr>
          <w:p>
            <w:r>
              <w:t>Shared Store + separate PH-I / PH-II turbine Links where modeled</w:t>
            </w:r>
          </w:p>
        </w:tc>
        <w:tc>
          <w:tcPr>
            <w:tcW w:type="dxa" w:w="1944"/>
            <w:vAlign w:val="top"/>
          </w:tcPr>
          <w:p>
            <w:r>
              <w:t>Source row is a system total; retain official plant-level p_nom for each powerhouse</w:t>
            </w:r>
          </w:p>
        </w:tc>
      </w:tr>
      <w:tr>
        <w:trPr>
          <w:cantSplit/>
        </w:trPr>
        <w:tc>
          <w:tcPr>
            <w:tcW w:type="dxa" w:w="2088"/>
            <w:vAlign w:val="top"/>
          </w:tcPr>
          <w:p>
            <w:pPr>
              <w:spacing w:before="0" w:after="0" w:line="240" w:lineRule="auto"/>
            </w:pPr>
            <w:r>
              <w:rPr>
                <w:rFonts w:ascii="Aptos" w:hAnsi="Aptos"/>
                <w:sz w:val="14"/>
              </w:rPr>
              <w:t>Sarkarpathy</w:t>
            </w:r>
          </w:p>
        </w:tc>
        <w:tc>
          <w:tcPr>
            <w:tcW w:type="dxa" w:w="1080"/>
            <w:vAlign w:val="top"/>
          </w:tcPr>
          <w:p>
            <w:pPr>
              <w:spacing w:before="0" w:after="0" w:line="240" w:lineRule="auto"/>
            </w:pPr>
            <w:r>
              <w:rPr>
                <w:rFonts w:ascii="Aptos" w:hAnsi="Aptos"/>
                <w:sz w:val="14"/>
              </w:rPr>
              <w:t>30</w:t>
            </w:r>
          </w:p>
        </w:tc>
        <w:tc>
          <w:tcPr>
            <w:tcW w:type="dxa" w:w="2520"/>
            <w:vAlign w:val="top"/>
          </w:tcPr>
          <w:p>
            <w:pPr>
              <w:spacing w:before="0" w:after="0" w:line="240" w:lineRule="auto"/>
            </w:pPr>
            <w:r>
              <w:rPr>
                <w:rFonts w:ascii="Aptos" w:hAnsi="Aptos"/>
                <w:sz w:val="14"/>
              </w:rPr>
              <w:t>Thunacadavu fed from Parambikulam</w:t>
            </w:r>
          </w:p>
        </w:tc>
        <w:tc>
          <w:tcPr>
            <w:tcW w:type="dxa" w:w="4824"/>
            <w:vAlign w:val="top"/>
          </w:tcPr>
          <w:p>
            <w:pPr>
              <w:spacing w:before="0" w:after="0" w:line="240" w:lineRule="auto"/>
            </w:pPr>
            <w:r>
              <w:rPr>
                <w:rFonts w:ascii="Aptos" w:hAnsi="Aptos"/>
                <w:sz w:val="14"/>
              </w:rPr>
              <w:t>SRPC OCC monthly Thunakadavu inflow; TANGEDCO PAP group stored-energy equivalent; Parambikulam daily data</w:t>
            </w:r>
          </w:p>
        </w:tc>
        <w:tc>
          <w:tcPr>
            <w:tcW w:type="dxa" w:w="2232"/>
            <w:vAlign w:val="top"/>
          </w:tcPr>
          <w:p>
            <w:pPr>
              <w:spacing w:before="0" w:after="0" w:line="240" w:lineRule="auto"/>
            </w:pPr>
            <w:r>
              <w:rPr>
                <w:rFonts w:ascii="Aptos" w:hAnsi="Aptos"/>
                <w:sz w:val="14"/>
              </w:rPr>
              <w:t>Store + Link</w:t>
            </w:r>
          </w:p>
        </w:tc>
        <w:tc>
          <w:tcPr>
            <w:tcW w:type="dxa" w:w="1944"/>
            <w:vAlign w:val="top"/>
          </w:tcPr>
          <w:p>
            <w:pPr>
              <w:spacing w:before="0" w:after="0" w:line="240" w:lineRule="auto"/>
            </w:pPr>
            <w:r>
              <w:rPr>
                <w:rFonts w:ascii="Aptos" w:hAnsi="Aptos"/>
                <w:sz w:val="14"/>
              </w:rPr>
              <w:t>Good with aggregation</w:t>
            </w:r>
          </w:p>
        </w:tc>
      </w:tr>
      <w:tr>
        <w:trPr>
          <w:cantSplit/>
        </w:trPr>
        <w:tc>
          <w:tcPr>
            <w:tcW w:type="dxa" w:w="2088"/>
            <w:vAlign w:val="top"/>
          </w:tcPr>
          <w:p>
            <w:pPr>
              <w:spacing w:before="0" w:after="0" w:line="240" w:lineRule="auto"/>
            </w:pPr>
            <w:r>
              <w:rPr>
                <w:rFonts w:ascii="Aptos" w:hAnsi="Aptos"/>
                <w:sz w:val="14"/>
              </w:rPr>
              <w:t>Aliyar PH</w:t>
            </w:r>
          </w:p>
        </w:tc>
        <w:tc>
          <w:tcPr>
            <w:tcW w:type="dxa" w:w="1080"/>
            <w:vAlign w:val="top"/>
          </w:tcPr>
          <w:p>
            <w:pPr>
              <w:spacing w:before="0" w:after="0" w:line="240" w:lineRule="auto"/>
            </w:pPr>
            <w:r>
              <w:rPr>
                <w:rFonts w:ascii="Aptos" w:hAnsi="Aptos"/>
                <w:sz w:val="14"/>
              </w:rPr>
              <w:t>60</w:t>
            </w:r>
          </w:p>
        </w:tc>
        <w:tc>
          <w:tcPr>
            <w:tcW w:type="dxa" w:w="2520"/>
            <w:vAlign w:val="top"/>
          </w:tcPr>
          <w:p>
            <w:pPr>
              <w:spacing w:before="0" w:after="0" w:line="240" w:lineRule="auto"/>
            </w:pPr>
            <w:r>
              <w:rPr>
                <w:rFonts w:ascii="Aptos" w:hAnsi="Aptos"/>
                <w:sz w:val="14"/>
              </w:rPr>
              <w:t>Upper Aliyar to Aliyar</w:t>
            </w:r>
          </w:p>
        </w:tc>
        <w:tc>
          <w:tcPr>
            <w:tcW w:type="dxa" w:w="4824"/>
            <w:vAlign w:val="top"/>
          </w:tcPr>
          <w:p>
            <w:pPr>
              <w:spacing w:before="0" w:after="0" w:line="240" w:lineRule="auto"/>
            </w:pPr>
            <w:r>
              <w:rPr>
                <w:rFonts w:ascii="Aptos" w:hAnsi="Aptos"/>
                <w:sz w:val="14"/>
              </w:rPr>
              <w:t>SRPC OCC monthly Upper Aliyar inflow; TANGEDCO PAP group stored-energy equivalent; TANGEDCO confirms Upper Aliyar level monitoring</w:t>
            </w:r>
          </w:p>
        </w:tc>
        <w:tc>
          <w:tcPr>
            <w:tcW w:type="dxa" w:w="2232"/>
            <w:vAlign w:val="top"/>
          </w:tcPr>
          <w:p>
            <w:pPr>
              <w:spacing w:before="0" w:after="0" w:line="240" w:lineRule="auto"/>
            </w:pPr>
            <w:r>
              <w:rPr>
                <w:rFonts w:ascii="Aptos" w:hAnsi="Aptos"/>
                <w:sz w:val="14"/>
              </w:rPr>
              <w:t>Store + Link</w:t>
            </w:r>
          </w:p>
        </w:tc>
        <w:tc>
          <w:tcPr>
            <w:tcW w:type="dxa" w:w="1944"/>
            <w:vAlign w:val="top"/>
          </w:tcPr>
          <w:p>
            <w:pPr>
              <w:spacing w:before="0" w:after="0" w:line="240" w:lineRule="auto"/>
            </w:pPr>
            <w:r>
              <w:rPr>
                <w:rFonts w:ascii="Aptos" w:hAnsi="Aptos"/>
                <w:sz w:val="14"/>
              </w:rPr>
              <w:t>Good with aggregation</w:t>
            </w:r>
          </w:p>
        </w:tc>
      </w:tr>
      <w:tr>
        <w:trPr>
          <w:cantSplit/>
        </w:trPr>
        <w:tc>
          <w:tcPr>
            <w:tcW w:type="dxa" w:w="2088"/>
            <w:vAlign w:val="top"/>
          </w:tcPr>
          <w:p>
            <w:pPr>
              <w:spacing w:before="0" w:after="0" w:line="240" w:lineRule="auto"/>
            </w:pPr>
            <w:r>
              <w:rPr>
                <w:rFonts w:ascii="Aptos" w:hAnsi="Aptos"/>
                <w:sz w:val="14"/>
              </w:rPr>
              <w:t>Kadamparai PSP</w:t>
            </w:r>
          </w:p>
        </w:tc>
        <w:tc>
          <w:tcPr>
            <w:tcW w:type="dxa" w:w="1080"/>
            <w:vAlign w:val="top"/>
          </w:tcPr>
          <w:p>
            <w:pPr>
              <w:spacing w:before="0" w:after="0" w:line="240" w:lineRule="auto"/>
            </w:pPr>
            <w:r>
              <w:rPr>
                <w:rFonts w:ascii="Aptos" w:hAnsi="Aptos"/>
                <w:sz w:val="14"/>
              </w:rPr>
              <w:t>400</w:t>
            </w:r>
          </w:p>
        </w:tc>
        <w:tc>
          <w:tcPr>
            <w:tcW w:type="dxa" w:w="2520"/>
            <w:vAlign w:val="top"/>
          </w:tcPr>
          <w:p>
            <w:pPr>
              <w:spacing w:before="0" w:after="0" w:line="240" w:lineRule="auto"/>
            </w:pPr>
            <w:r>
              <w:rPr>
                <w:rFonts w:ascii="Aptos" w:hAnsi="Aptos"/>
                <w:sz w:val="14"/>
              </w:rPr>
              <w:t>Kadamparai &lt;-&gt; Upper Aliyar</w:t>
            </w:r>
          </w:p>
        </w:tc>
        <w:tc>
          <w:tcPr>
            <w:tcW w:type="dxa" w:w="4824"/>
            <w:vAlign w:val="top"/>
          </w:tcPr>
          <w:p>
            <w:pPr>
              <w:spacing w:before="0" w:after="0" w:line="240" w:lineRule="auto"/>
            </w:pPr>
            <w:r>
              <w:rPr>
                <w:rFonts w:ascii="Aptos" w:hAnsi="Aptos"/>
                <w:sz w:val="14"/>
              </w:rPr>
              <w:t>CEA FRL/MDDL and head; SRPC Kadamparai/PAP inflow; TANGEDCO PAP stored-energy equivalent and monthly pump-energy reporting; Upper Aliyar level is operationally monitored</w:t>
            </w:r>
          </w:p>
        </w:tc>
        <w:tc>
          <w:tcPr>
            <w:tcW w:type="dxa" w:w="2232"/>
            <w:vAlign w:val="top"/>
          </w:tcPr>
          <w:p>
            <w:pPr>
              <w:spacing w:before="0" w:after="0" w:line="240" w:lineRule="auto"/>
            </w:pPr>
            <w:r>
              <w:rPr>
                <w:rFonts w:ascii="Aptos" w:hAnsi="Aptos"/>
                <w:sz w:val="14"/>
              </w:rPr>
              <w:t>Store + pump Link + turbine Link</w:t>
            </w:r>
          </w:p>
        </w:tc>
        <w:tc>
          <w:tcPr>
            <w:tcW w:type="dxa" w:w="1944"/>
            <w:vAlign w:val="top"/>
          </w:tcPr>
          <w:p>
            <w:r>
              <w:t>Usable with current data; initial SOC may use a documented assumption</w:t>
            </w:r>
          </w:p>
        </w:tc>
      </w:tr>
      <w:tr>
        <w:trPr>
          <w:cantSplit/>
        </w:trPr>
        <w:tc>
          <w:tcPr>
            <w:tcW w:type="dxa" w:w="2088"/>
            <w:vAlign w:val="top"/>
          </w:tcPr>
          <w:p>
            <w:pPr>
              <w:spacing w:before="0" w:after="0" w:line="240" w:lineRule="auto"/>
            </w:pPr>
            <w:r>
              <w:rPr>
                <w:rFonts w:ascii="Aptos" w:hAnsi="Aptos"/>
                <w:sz w:val="14"/>
              </w:rPr>
              <w:t>Amaravathi</w:t>
            </w:r>
          </w:p>
        </w:tc>
        <w:tc>
          <w:tcPr>
            <w:tcW w:type="dxa" w:w="1080"/>
            <w:vAlign w:val="top"/>
          </w:tcPr>
          <w:p>
            <w:pPr>
              <w:spacing w:before="0" w:after="0" w:line="240" w:lineRule="auto"/>
            </w:pPr>
            <w:r>
              <w:rPr>
                <w:rFonts w:ascii="Aptos" w:hAnsi="Aptos"/>
                <w:sz w:val="14"/>
              </w:rPr>
              <w:t>4</w:t>
            </w:r>
          </w:p>
        </w:tc>
        <w:tc>
          <w:tcPr>
            <w:tcW w:type="dxa" w:w="2520"/>
            <w:vAlign w:val="top"/>
          </w:tcPr>
          <w:p>
            <w:pPr>
              <w:spacing w:before="0" w:after="0" w:line="240" w:lineRule="auto"/>
            </w:pPr>
            <w:r>
              <w:rPr>
                <w:rFonts w:ascii="Aptos" w:hAnsi="Aptos"/>
                <w:sz w:val="14"/>
              </w:rPr>
              <w:t>Amaravathi</w:t>
            </w:r>
          </w:p>
        </w:tc>
        <w:tc>
          <w:tcPr>
            <w:tcW w:type="dxa" w:w="4824"/>
            <w:vAlign w:val="top"/>
          </w:tcPr>
          <w:p>
            <w:pPr>
              <w:spacing w:before="0" w:after="0" w:line="240" w:lineRule="auto"/>
            </w:pPr>
            <w:r>
              <w:rPr>
                <w:rFonts w:ascii="Aptos" w:hAnsi="Aptos"/>
                <w:sz w:val="14"/>
              </w:rPr>
              <w:t>TN Agriculture daily</w:t>
            </w:r>
          </w:p>
        </w:tc>
        <w:tc>
          <w:tcPr>
            <w:tcW w:type="dxa" w:w="2232"/>
            <w:vAlign w:val="top"/>
          </w:tcPr>
          <w:p>
            <w:pPr>
              <w:spacing w:before="0" w:after="0" w:line="240" w:lineRule="auto"/>
            </w:pPr>
            <w:r>
              <w:rPr>
                <w:rFonts w:ascii="Aptos" w:hAnsi="Aptos"/>
                <w:sz w:val="14"/>
              </w:rPr>
              <w:t>StorageUnit</w:t>
            </w:r>
          </w:p>
        </w:tc>
        <w:tc>
          <w:tcPr>
            <w:tcW w:type="dxa" w:w="1944"/>
            <w:vAlign w:val="top"/>
          </w:tcPr>
          <w:p>
            <w:pPr>
              <w:spacing w:before="0" w:after="0" w:line="240" w:lineRule="auto"/>
            </w:pPr>
            <w:r>
              <w:rPr>
                <w:rFonts w:ascii="Aptos" w:hAnsi="Aptos"/>
                <w:sz w:val="14"/>
              </w:rPr>
              <w:t>Ready</w:t>
            </w:r>
          </w:p>
        </w:tc>
      </w:tr>
      <w:tr>
        <w:trPr>
          <w:cantSplit/>
        </w:trPr>
        <w:tc>
          <w:tcPr>
            <w:tcW w:type="dxa" w:w="2088"/>
            <w:vAlign w:val="top"/>
          </w:tcPr>
          <w:p>
            <w:pPr>
              <w:spacing w:before="0" w:after="0" w:line="240" w:lineRule="auto"/>
            </w:pPr>
            <w:r>
              <w:rPr>
                <w:rFonts w:ascii="Aptos" w:hAnsi="Aptos"/>
                <w:sz w:val="14"/>
              </w:rPr>
              <w:t>Periyar</w:t>
            </w:r>
          </w:p>
        </w:tc>
        <w:tc>
          <w:tcPr>
            <w:tcW w:type="dxa" w:w="1080"/>
            <w:vAlign w:val="top"/>
          </w:tcPr>
          <w:p>
            <w:pPr>
              <w:spacing w:before="0" w:after="0" w:line="240" w:lineRule="auto"/>
            </w:pPr>
            <w:r>
              <w:rPr>
                <w:rFonts w:ascii="Aptos" w:hAnsi="Aptos"/>
                <w:sz w:val="14"/>
              </w:rPr>
              <w:t>168</w:t>
            </w:r>
          </w:p>
        </w:tc>
        <w:tc>
          <w:tcPr>
            <w:tcW w:type="dxa" w:w="2520"/>
            <w:vAlign w:val="top"/>
          </w:tcPr>
          <w:p>
            <w:pPr>
              <w:spacing w:before="0" w:after="0" w:line="240" w:lineRule="auto"/>
            </w:pPr>
            <w:r>
              <w:rPr>
                <w:rFonts w:ascii="Aptos" w:hAnsi="Aptos"/>
                <w:sz w:val="14"/>
              </w:rPr>
              <w:t>Periyar</w:t>
            </w:r>
          </w:p>
        </w:tc>
        <w:tc>
          <w:tcPr>
            <w:tcW w:type="dxa" w:w="4824"/>
            <w:vAlign w:val="top"/>
          </w:tcPr>
          <w:p>
            <w:pPr>
              <w:spacing w:before="0" w:after="0" w:line="240" w:lineRule="auto"/>
            </w:pPr>
            <w:r>
              <w:rPr>
                <w:rFonts w:ascii="Aptos" w:hAnsi="Aptos"/>
                <w:sz w:val="14"/>
              </w:rPr>
              <w:t>TN Agriculture daily</w:t>
            </w:r>
          </w:p>
        </w:tc>
        <w:tc>
          <w:tcPr>
            <w:tcW w:type="dxa" w:w="2232"/>
            <w:vAlign w:val="top"/>
          </w:tcPr>
          <w:p>
            <w:pPr>
              <w:spacing w:before="0" w:after="0" w:line="240" w:lineRule="auto"/>
            </w:pPr>
            <w:r>
              <w:rPr>
                <w:rFonts w:ascii="Aptos" w:hAnsi="Aptos"/>
                <w:sz w:val="14"/>
              </w:rPr>
              <w:t>StorageUnit</w:t>
            </w:r>
          </w:p>
        </w:tc>
        <w:tc>
          <w:tcPr>
            <w:tcW w:type="dxa" w:w="1944"/>
            <w:vAlign w:val="top"/>
          </w:tcPr>
          <w:p>
            <w:pPr>
              <w:spacing w:before="0" w:after="0" w:line="240" w:lineRule="auto"/>
            </w:pPr>
            <w:r>
              <w:rPr>
                <w:rFonts w:ascii="Aptos" w:hAnsi="Aptos"/>
                <w:sz w:val="14"/>
              </w:rPr>
              <w:t>Ready</w:t>
            </w:r>
          </w:p>
        </w:tc>
      </w:tr>
      <w:tr>
        <w:trPr>
          <w:cantSplit/>
        </w:trPr>
        <w:tc>
          <w:tcPr>
            <w:tcW w:type="dxa" w:w="2088"/>
            <w:vAlign w:val="top"/>
          </w:tcPr>
          <w:p>
            <w:pPr>
              <w:spacing w:before="0" w:after="0" w:line="240" w:lineRule="auto"/>
            </w:pPr>
            <w:r>
              <w:rPr>
                <w:rFonts w:ascii="Aptos" w:hAnsi="Aptos"/>
                <w:sz w:val="14"/>
              </w:rPr>
              <w:t>Vaigai</w:t>
            </w:r>
          </w:p>
        </w:tc>
        <w:tc>
          <w:tcPr>
            <w:tcW w:type="dxa" w:w="1080"/>
            <w:vAlign w:val="top"/>
          </w:tcPr>
          <w:p>
            <w:pPr>
              <w:spacing w:before="0" w:after="0" w:line="240" w:lineRule="auto"/>
            </w:pPr>
            <w:r>
              <w:rPr>
                <w:rFonts w:ascii="Aptos" w:hAnsi="Aptos"/>
                <w:sz w:val="14"/>
              </w:rPr>
              <w:t>6</w:t>
            </w:r>
          </w:p>
        </w:tc>
        <w:tc>
          <w:tcPr>
            <w:tcW w:type="dxa" w:w="2520"/>
            <w:vAlign w:val="top"/>
          </w:tcPr>
          <w:p>
            <w:pPr>
              <w:spacing w:before="0" w:after="0" w:line="240" w:lineRule="auto"/>
            </w:pPr>
            <w:r>
              <w:rPr>
                <w:rFonts w:ascii="Aptos" w:hAnsi="Aptos"/>
                <w:sz w:val="14"/>
              </w:rPr>
              <w:t>Vaigai</w:t>
            </w:r>
          </w:p>
        </w:tc>
        <w:tc>
          <w:tcPr>
            <w:tcW w:type="dxa" w:w="4824"/>
            <w:vAlign w:val="top"/>
          </w:tcPr>
          <w:p>
            <w:pPr>
              <w:spacing w:before="0" w:after="0" w:line="240" w:lineRule="auto"/>
            </w:pPr>
            <w:r>
              <w:rPr>
                <w:rFonts w:ascii="Aptos" w:hAnsi="Aptos"/>
                <w:sz w:val="14"/>
              </w:rPr>
              <w:t>TN Agriculture daily + CWC</w:t>
            </w:r>
          </w:p>
        </w:tc>
        <w:tc>
          <w:tcPr>
            <w:tcW w:type="dxa" w:w="2232"/>
            <w:vAlign w:val="top"/>
          </w:tcPr>
          <w:p>
            <w:pPr>
              <w:spacing w:before="0" w:after="0" w:line="240" w:lineRule="auto"/>
            </w:pPr>
            <w:r>
              <w:rPr>
                <w:rFonts w:ascii="Aptos" w:hAnsi="Aptos"/>
                <w:sz w:val="14"/>
              </w:rPr>
              <w:t>StorageUnit</w:t>
            </w:r>
          </w:p>
        </w:tc>
        <w:tc>
          <w:tcPr>
            <w:tcW w:type="dxa" w:w="1944"/>
            <w:vAlign w:val="top"/>
          </w:tcPr>
          <w:p>
            <w:pPr>
              <w:spacing w:before="0" w:after="0" w:line="240" w:lineRule="auto"/>
            </w:pPr>
            <w:r>
              <w:rPr>
                <w:rFonts w:ascii="Aptos" w:hAnsi="Aptos"/>
                <w:sz w:val="14"/>
              </w:rPr>
              <w:t>Ready</w:t>
            </w:r>
          </w:p>
        </w:tc>
      </w:tr>
      <w:tr>
        <w:trPr>
          <w:cantSplit/>
        </w:trPr>
        <w:tc>
          <w:tcPr>
            <w:tcW w:type="dxa" w:w="2088"/>
            <w:vAlign w:val="top"/>
          </w:tcPr>
          <w:p>
            <w:pPr>
              <w:spacing w:before="0" w:after="0" w:line="240" w:lineRule="auto"/>
            </w:pPr>
            <w:r>
              <w:rPr>
                <w:rFonts w:ascii="Aptos" w:hAnsi="Aptos"/>
                <w:sz w:val="14"/>
              </w:rPr>
              <w:t>Papanasam</w:t>
            </w:r>
          </w:p>
        </w:tc>
        <w:tc>
          <w:tcPr>
            <w:tcW w:type="dxa" w:w="1080"/>
            <w:vAlign w:val="top"/>
          </w:tcPr>
          <w:p>
            <w:pPr>
              <w:spacing w:before="0" w:after="0" w:line="240" w:lineRule="auto"/>
            </w:pPr>
            <w:r>
              <w:rPr>
                <w:rFonts w:ascii="Aptos" w:hAnsi="Aptos"/>
                <w:sz w:val="14"/>
              </w:rPr>
              <w:t>32</w:t>
            </w:r>
          </w:p>
        </w:tc>
        <w:tc>
          <w:tcPr>
            <w:tcW w:type="dxa" w:w="2520"/>
            <w:vAlign w:val="top"/>
          </w:tcPr>
          <w:p>
            <w:pPr>
              <w:spacing w:before="0" w:after="0" w:line="240" w:lineRule="auto"/>
            </w:pPr>
            <w:r>
              <w:rPr>
                <w:rFonts w:ascii="Aptos" w:hAnsi="Aptos"/>
                <w:sz w:val="14"/>
              </w:rPr>
              <w:t>Papanasam</w:t>
            </w:r>
          </w:p>
        </w:tc>
        <w:tc>
          <w:tcPr>
            <w:tcW w:type="dxa" w:w="4824"/>
            <w:vAlign w:val="top"/>
          </w:tcPr>
          <w:p>
            <w:pPr>
              <w:spacing w:before="0" w:after="0" w:line="240" w:lineRule="auto"/>
            </w:pPr>
            <w:r>
              <w:rPr>
                <w:rFonts w:ascii="Aptos" w:hAnsi="Aptos"/>
                <w:sz w:val="14"/>
              </w:rPr>
              <w:t>TN Agriculture daily</w:t>
            </w:r>
          </w:p>
        </w:tc>
        <w:tc>
          <w:tcPr>
            <w:tcW w:type="dxa" w:w="2232"/>
            <w:vAlign w:val="top"/>
          </w:tcPr>
          <w:p>
            <w:pPr>
              <w:spacing w:before="0" w:after="0" w:line="240" w:lineRule="auto"/>
            </w:pPr>
            <w:r>
              <w:rPr>
                <w:rFonts w:ascii="Aptos" w:hAnsi="Aptos"/>
                <w:sz w:val="14"/>
              </w:rPr>
              <w:t>StorageUnit</w:t>
            </w:r>
          </w:p>
        </w:tc>
        <w:tc>
          <w:tcPr>
            <w:tcW w:type="dxa" w:w="1944"/>
            <w:vAlign w:val="top"/>
          </w:tcPr>
          <w:p>
            <w:r>
              <w:t>Ready; keep official plant-level p_nom even if storage is calibrated with Servalar as a group</w:t>
            </w:r>
          </w:p>
        </w:tc>
      </w:tr>
      <w:tr>
        <w:trPr>
          <w:cantSplit/>
        </w:trPr>
        <w:tc>
          <w:tcPr>
            <w:tcW w:type="dxa" w:w="2088"/>
            <w:vAlign w:val="top"/>
          </w:tcPr>
          <w:p>
            <w:pPr>
              <w:spacing w:before="0" w:after="0" w:line="240" w:lineRule="auto"/>
            </w:pPr>
            <w:r>
              <w:rPr>
                <w:rFonts w:ascii="Aptos" w:hAnsi="Aptos"/>
                <w:sz w:val="14"/>
              </w:rPr>
              <w:t>Kodayar I-II</w:t>
            </w:r>
          </w:p>
        </w:tc>
        <w:tc>
          <w:tcPr>
            <w:tcW w:type="dxa" w:w="1080"/>
            <w:vAlign w:val="top"/>
          </w:tcPr>
          <w:p>
            <w:pPr>
              <w:spacing w:before="0" w:after="0" w:line="240" w:lineRule="auto"/>
            </w:pPr>
            <w:r>
              <w:rPr>
                <w:rFonts w:ascii="Aptos" w:hAnsi="Aptos"/>
                <w:sz w:val="14"/>
              </w:rPr>
              <w:t>100 nominal</w:t>
            </w:r>
          </w:p>
        </w:tc>
        <w:tc>
          <w:tcPr>
            <w:tcW w:type="dxa" w:w="2520"/>
            <w:vAlign w:val="top"/>
          </w:tcPr>
          <w:p>
            <w:pPr>
              <w:spacing w:before="0" w:after="0" w:line="240" w:lineRule="auto"/>
            </w:pPr>
            <w:r>
              <w:rPr>
                <w:rFonts w:ascii="Aptos" w:hAnsi="Aptos"/>
                <w:sz w:val="14"/>
              </w:rPr>
              <w:t>Upper/Lower Kodayar to Pechiparai</w:t>
            </w:r>
          </w:p>
        </w:tc>
        <w:tc>
          <w:tcPr>
            <w:tcW w:type="dxa" w:w="4824"/>
            <w:vAlign w:val="top"/>
          </w:tcPr>
          <w:p>
            <w:pPr>
              <w:spacing w:before="0" w:after="0" w:line="240" w:lineRule="auto"/>
            </w:pPr>
            <w:r>
              <w:rPr>
                <w:rFonts w:ascii="Aptos" w:hAnsi="Aptos"/>
                <w:sz w:val="14"/>
              </w:rPr>
              <w:t>TANGEDCO Kodayar group stored-energy equivalent; SRPC monthly Kodayar inflow; official Upper Kodayar storage/FRL and Kodayar-II forebay topology</w:t>
            </w:r>
          </w:p>
        </w:tc>
        <w:tc>
          <w:tcPr>
            <w:tcW w:type="dxa" w:w="2232"/>
            <w:vAlign w:val="top"/>
          </w:tcPr>
          <w:p>
            <w:r>
              <w:t>Cascade Store + separate Kodayar I / II turbine Links</w:t>
            </w:r>
          </w:p>
        </w:tc>
        <w:tc>
          <w:tcPr>
            <w:tcW w:type="dxa" w:w="1944"/>
            <w:vAlign w:val="top"/>
          </w:tcPr>
          <w:p>
            <w:r>
              <w:t>Source row is a system total; retain official plant-level p_nom</w:t>
            </w:r>
          </w:p>
        </w:tc>
      </w:tr>
      <w:tr>
        <w:trPr>
          <w:cantSplit/>
        </w:trPr>
        <w:tc>
          <w:tcPr>
            <w:tcW w:type="dxa" w:w="2088"/>
            <w:vAlign w:val="top"/>
          </w:tcPr>
          <w:p>
            <w:pPr>
              <w:spacing w:before="0" w:after="0" w:line="240" w:lineRule="auto"/>
            </w:pPr>
            <w:r>
              <w:rPr>
                <w:rFonts w:ascii="Aptos" w:hAnsi="Aptos"/>
                <w:sz w:val="14"/>
              </w:rPr>
              <w:t>Kundah V</w:t>
            </w:r>
          </w:p>
        </w:tc>
        <w:tc>
          <w:tcPr>
            <w:tcW w:type="dxa" w:w="1080"/>
            <w:vAlign w:val="top"/>
          </w:tcPr>
          <w:p>
            <w:pPr>
              <w:spacing w:before="0" w:after="0" w:line="240" w:lineRule="auto"/>
            </w:pPr>
            <w:r>
              <w:rPr>
                <w:rFonts w:ascii="Aptos" w:hAnsi="Aptos"/>
                <w:sz w:val="14"/>
              </w:rPr>
              <w:t>40</w:t>
            </w:r>
          </w:p>
        </w:tc>
        <w:tc>
          <w:tcPr>
            <w:tcW w:type="dxa" w:w="2520"/>
            <w:vAlign w:val="top"/>
          </w:tcPr>
          <w:p>
            <w:pPr>
              <w:spacing w:before="0" w:after="0" w:line="240" w:lineRule="auto"/>
            </w:pPr>
            <w:r>
              <w:rPr>
                <w:rFonts w:ascii="Aptos" w:hAnsi="Aptos"/>
                <w:sz w:val="14"/>
              </w:rPr>
              <w:t>Upper Bhavani</w:t>
            </w:r>
          </w:p>
        </w:tc>
        <w:tc>
          <w:tcPr>
            <w:tcW w:type="dxa" w:w="4824"/>
            <w:vAlign w:val="top"/>
          </w:tcPr>
          <w:p>
            <w:r>
              <w:t>SRPC monthly level, inflow, stored energy; use monthly stored energy to derive/interpolate week-boundary SOC</w:t>
            </w:r>
          </w:p>
        </w:tc>
        <w:tc>
          <w:tcPr>
            <w:tcW w:type="dxa" w:w="2232"/>
            <w:vAlign w:val="top"/>
          </w:tcPr>
          <w:p>
            <w:pPr>
              <w:spacing w:before="0" w:after="0" w:line="240" w:lineRule="auto"/>
            </w:pPr>
            <w:r>
              <w:rPr>
                <w:rFonts w:ascii="Aptos" w:hAnsi="Aptos"/>
                <w:sz w:val="14"/>
              </w:rPr>
              <w:t>Store + Link</w:t>
            </w:r>
          </w:p>
        </w:tc>
        <w:tc>
          <w:tcPr>
            <w:tcW w:type="dxa" w:w="1944"/>
            <w:vAlign w:val="top"/>
          </w:tcPr>
          <w:p>
            <w:r>
              <w:t>Good; monthly-derived week boundaries</w:t>
            </w:r>
          </w:p>
        </w:tc>
      </w:tr>
      <w:tr>
        <w:trPr>
          <w:cantSplit/>
        </w:trPr>
        <w:tc>
          <w:tcPr>
            <w:tcW w:type="dxa" w:w="2088"/>
            <w:vAlign w:val="top"/>
          </w:tcPr>
          <w:p>
            <w:pPr>
              <w:spacing w:before="0" w:after="0" w:line="240" w:lineRule="auto"/>
            </w:pPr>
            <w:r>
              <w:rPr>
                <w:rFonts w:ascii="Aptos" w:hAnsi="Aptos"/>
                <w:sz w:val="14"/>
              </w:rPr>
              <w:t>Kundah I</w:t>
            </w:r>
          </w:p>
        </w:tc>
        <w:tc>
          <w:tcPr>
            <w:tcW w:type="dxa" w:w="1080"/>
            <w:vAlign w:val="top"/>
          </w:tcPr>
          <w:p>
            <w:pPr>
              <w:spacing w:before="0" w:after="0" w:line="240" w:lineRule="auto"/>
            </w:pPr>
            <w:r>
              <w:rPr>
                <w:rFonts w:ascii="Aptos" w:hAnsi="Aptos"/>
                <w:sz w:val="14"/>
              </w:rPr>
              <w:t>60</w:t>
            </w:r>
          </w:p>
        </w:tc>
        <w:tc>
          <w:tcPr>
            <w:tcW w:type="dxa" w:w="2520"/>
            <w:vAlign w:val="top"/>
          </w:tcPr>
          <w:p>
            <w:pPr>
              <w:spacing w:before="0" w:after="0" w:line="240" w:lineRule="auto"/>
            </w:pPr>
            <w:r>
              <w:rPr>
                <w:rFonts w:ascii="Aptos" w:hAnsi="Aptos"/>
                <w:sz w:val="14"/>
              </w:rPr>
              <w:t>Avalanche + Emerald</w:t>
            </w:r>
          </w:p>
        </w:tc>
        <w:tc>
          <w:tcPr>
            <w:tcW w:type="dxa" w:w="4824"/>
            <w:vAlign w:val="top"/>
          </w:tcPr>
          <w:p>
            <w:r>
              <w:t>SRPC monthly stored energy/inflow; use monthly stored energy to derive/interpolate week-boundary SOC</w:t>
            </w:r>
          </w:p>
        </w:tc>
        <w:tc>
          <w:tcPr>
            <w:tcW w:type="dxa" w:w="2232"/>
            <w:vAlign w:val="top"/>
          </w:tcPr>
          <w:p>
            <w:pPr>
              <w:spacing w:before="0" w:after="0" w:line="240" w:lineRule="auto"/>
            </w:pPr>
            <w:r>
              <w:rPr>
                <w:rFonts w:ascii="Aptos" w:hAnsi="Aptos"/>
                <w:sz w:val="14"/>
              </w:rPr>
              <w:t>Store + Link</w:t>
            </w:r>
          </w:p>
        </w:tc>
        <w:tc>
          <w:tcPr>
            <w:tcW w:type="dxa" w:w="1944"/>
            <w:vAlign w:val="top"/>
          </w:tcPr>
          <w:p>
            <w:r>
              <w:t>Good; monthly-derived week boundaries</w:t>
            </w:r>
          </w:p>
        </w:tc>
      </w:tr>
      <w:tr>
        <w:trPr>
          <w:cantSplit/>
        </w:trPr>
        <w:tc>
          <w:tcPr>
            <w:tcW w:type="dxa" w:w="2088"/>
            <w:vAlign w:val="top"/>
          </w:tcPr>
          <w:p>
            <w:pPr>
              <w:spacing w:before="0" w:after="0" w:line="240" w:lineRule="auto"/>
            </w:pPr>
            <w:r>
              <w:rPr>
                <w:rFonts w:ascii="Aptos" w:hAnsi="Aptos"/>
                <w:sz w:val="14"/>
              </w:rPr>
              <w:t>Kundah II-IV/VI</w:t>
            </w:r>
          </w:p>
        </w:tc>
        <w:tc>
          <w:tcPr>
            <w:tcW w:type="dxa" w:w="1080"/>
            <w:vAlign w:val="top"/>
          </w:tcPr>
          <w:p>
            <w:pPr>
              <w:spacing w:before="0" w:after="0" w:line="240" w:lineRule="auto"/>
            </w:pPr>
            <w:r>
              <w:rPr>
                <w:rFonts w:ascii="Aptos" w:hAnsi="Aptos"/>
                <w:sz w:val="14"/>
              </w:rPr>
              <w:t>485</w:t>
            </w:r>
          </w:p>
        </w:tc>
        <w:tc>
          <w:tcPr>
            <w:tcW w:type="dxa" w:w="2520"/>
            <w:vAlign w:val="top"/>
          </w:tcPr>
          <w:p>
            <w:pPr>
              <w:spacing w:before="0" w:after="0" w:line="240" w:lineRule="auto"/>
            </w:pPr>
            <w:r>
              <w:rPr>
                <w:rFonts w:ascii="Aptos" w:hAnsi="Aptos"/>
                <w:sz w:val="14"/>
              </w:rPr>
              <w:t>Kundah/Pegumbahalla/Pillur/Parsons Valley</w:t>
            </w:r>
          </w:p>
        </w:tc>
        <w:tc>
          <w:tcPr>
            <w:tcW w:type="dxa" w:w="4824"/>
            <w:vAlign w:val="top"/>
          </w:tcPr>
          <w:p>
            <w:r>
              <w:t>TANGEDCO Nilgiris group stored-energy equivalent; SRPC detailed upstream reservoir data; static lower-forebay capacities. Intermediate forebays use weekly-neutral endogenous pondage.</w:t>
            </w:r>
          </w:p>
        </w:tc>
        <w:tc>
          <w:tcPr>
            <w:tcW w:type="dxa" w:w="2232"/>
            <w:vAlign w:val="top"/>
          </w:tcPr>
          <w:p>
            <w:r>
              <w:t>Cascade Stores + separate turbine Links by powerhouse/stage</w:t>
            </w:r>
          </w:p>
        </w:tc>
        <w:tc>
          <w:tcPr>
            <w:tcW w:type="dxa" w:w="1944"/>
            <w:vAlign w:val="top"/>
          </w:tcPr>
          <w:p>
            <w:r>
              <w:t>Seasonal stores data-driven monthly; intermediate forebays weekly-neutral</w:t>
            </w:r>
          </w:p>
        </w:tc>
      </w:tr>
      <w:tr>
        <w:trPr>
          <w:cantSplit/>
        </w:trPr>
        <w:tc>
          <w:tcPr>
            <w:tcW w:type="dxa" w:w="2088"/>
            <w:vAlign w:val="top"/>
          </w:tcPr>
          <w:p>
            <w:pPr>
              <w:spacing w:before="0" w:after="0" w:line="240" w:lineRule="auto"/>
            </w:pPr>
            <w:r>
              <w:rPr>
                <w:rFonts w:ascii="Aptos" w:hAnsi="Aptos"/>
                <w:sz w:val="14"/>
              </w:rPr>
              <w:t>Pykara + Micro</w:t>
            </w:r>
          </w:p>
        </w:tc>
        <w:tc>
          <w:tcPr>
            <w:tcW w:type="dxa" w:w="1080"/>
            <w:vAlign w:val="top"/>
          </w:tcPr>
          <w:p>
            <w:pPr>
              <w:spacing w:before="0" w:after="0" w:line="240" w:lineRule="auto"/>
            </w:pPr>
            <w:r>
              <w:rPr>
                <w:rFonts w:ascii="Aptos" w:hAnsi="Aptos"/>
                <w:sz w:val="14"/>
              </w:rPr>
              <w:t>61.2</w:t>
            </w:r>
          </w:p>
        </w:tc>
        <w:tc>
          <w:tcPr>
            <w:tcW w:type="dxa" w:w="2520"/>
            <w:vAlign w:val="top"/>
          </w:tcPr>
          <w:p>
            <w:pPr>
              <w:spacing w:before="0" w:after="0" w:line="240" w:lineRule="auto"/>
            </w:pPr>
            <w:r>
              <w:rPr>
                <w:rFonts w:ascii="Aptos" w:hAnsi="Aptos"/>
                <w:sz w:val="14"/>
              </w:rPr>
              <w:t>Pykara</w:t>
            </w:r>
          </w:p>
        </w:tc>
        <w:tc>
          <w:tcPr>
            <w:tcW w:type="dxa" w:w="4824"/>
            <w:vAlign w:val="top"/>
          </w:tcPr>
          <w:p>
            <w:r>
              <w:t>SRPC monthly stored energy/inflow; use monthly stored energy to interpolate representative-week SOC boundaries</w:t>
            </w:r>
          </w:p>
        </w:tc>
        <w:tc>
          <w:tcPr>
            <w:tcW w:type="dxa" w:w="2232"/>
            <w:vAlign w:val="top"/>
          </w:tcPr>
          <w:p>
            <w:r>
              <w:t>Shared Pykara Store + separate turbine components where plants are distinct</w:t>
            </w:r>
          </w:p>
        </w:tc>
        <w:tc>
          <w:tcPr>
            <w:tcW w:type="dxa" w:w="1944"/>
            <w:vAlign w:val="top"/>
          </w:tcPr>
          <w:p>
            <w:r>
              <w:t>Good; monthly-derived week boundaries</w:t>
            </w:r>
          </w:p>
        </w:tc>
      </w:tr>
      <w:tr>
        <w:trPr>
          <w:cantSplit/>
        </w:trPr>
        <w:tc>
          <w:tcPr>
            <w:tcW w:type="dxa" w:w="2088"/>
            <w:vAlign w:val="top"/>
          </w:tcPr>
          <w:p>
            <w:pPr>
              <w:spacing w:before="0" w:after="0" w:line="240" w:lineRule="auto"/>
            </w:pPr>
            <w:r>
              <w:rPr>
                <w:rFonts w:ascii="Aptos" w:hAnsi="Aptos"/>
                <w:sz w:val="14"/>
              </w:rPr>
              <w:t>PUSHEP</w:t>
            </w:r>
          </w:p>
        </w:tc>
        <w:tc>
          <w:tcPr>
            <w:tcW w:type="dxa" w:w="1080"/>
            <w:vAlign w:val="top"/>
          </w:tcPr>
          <w:p>
            <w:pPr>
              <w:spacing w:before="0" w:after="0" w:line="240" w:lineRule="auto"/>
            </w:pPr>
            <w:r>
              <w:rPr>
                <w:rFonts w:ascii="Aptos" w:hAnsi="Aptos"/>
                <w:sz w:val="14"/>
              </w:rPr>
              <w:t>150</w:t>
            </w:r>
          </w:p>
        </w:tc>
        <w:tc>
          <w:tcPr>
            <w:tcW w:type="dxa" w:w="2520"/>
            <w:vAlign w:val="top"/>
          </w:tcPr>
          <w:p>
            <w:pPr>
              <w:spacing w:before="0" w:after="0" w:line="240" w:lineRule="auto"/>
            </w:pPr>
            <w:r>
              <w:rPr>
                <w:rFonts w:ascii="Aptos" w:hAnsi="Aptos"/>
                <w:sz w:val="14"/>
              </w:rPr>
              <w:t>Pykara New Forebay / Glenmorgan</w:t>
            </w:r>
          </w:p>
        </w:tc>
        <w:tc>
          <w:tcPr>
            <w:tcW w:type="dxa" w:w="4824"/>
            <w:vAlign w:val="top"/>
          </w:tcPr>
          <w:p>
            <w:r>
              <w:t>Pykara monthly seasonal storage drives water availability. Glenmorgan Forebay is endogenous pondage with per-week end_SOC=start_SOC when unobserved; hourly levels are optional validation only.</w:t>
            </w:r>
          </w:p>
        </w:tc>
        <w:tc>
          <w:tcPr>
            <w:tcW w:type="dxa" w:w="2232"/>
            <w:vAlign w:val="top"/>
          </w:tcPr>
          <w:p>
            <w:r>
              <w:t>Cascade Store + Link</w:t>
            </w:r>
          </w:p>
        </w:tc>
        <w:tc>
          <w:tcPr>
            <w:tcW w:type="dxa" w:w="1944"/>
            <w:vAlign w:val="top"/>
          </w:tcPr>
          <w:p>
            <w:r>
              <w:t>Usable; hourly series optional validation</w:t>
            </w:r>
          </w:p>
        </w:tc>
      </w:tr>
      <w:tr>
        <w:trPr>
          <w:cantSplit/>
        </w:trPr>
        <w:tc>
          <w:tcPr>
            <w:tcW w:type="dxa" w:w="2088"/>
            <w:vAlign w:val="top"/>
          </w:tcPr>
          <w:p>
            <w:pPr>
              <w:spacing w:before="0" w:after="0" w:line="240" w:lineRule="auto"/>
            </w:pPr>
            <w:r>
              <w:rPr>
                <w:rFonts w:ascii="Aptos" w:hAnsi="Aptos"/>
                <w:sz w:val="14"/>
              </w:rPr>
              <w:t>Servalar</w:t>
            </w:r>
          </w:p>
        </w:tc>
        <w:tc>
          <w:tcPr>
            <w:tcW w:type="dxa" w:w="1080"/>
            <w:vAlign w:val="top"/>
          </w:tcPr>
          <w:p>
            <w:pPr>
              <w:spacing w:before="0" w:after="0" w:line="240" w:lineRule="auto"/>
            </w:pPr>
            <w:r>
              <w:rPr>
                <w:rFonts w:ascii="Aptos" w:hAnsi="Aptos"/>
                <w:sz w:val="14"/>
              </w:rPr>
              <w:t>20</w:t>
            </w:r>
          </w:p>
        </w:tc>
        <w:tc>
          <w:tcPr>
            <w:tcW w:type="dxa" w:w="2520"/>
            <w:vAlign w:val="top"/>
          </w:tcPr>
          <w:p>
            <w:pPr>
              <w:spacing w:before="0" w:after="0" w:line="240" w:lineRule="auto"/>
            </w:pPr>
            <w:r>
              <w:rPr>
                <w:rFonts w:ascii="Aptos" w:hAnsi="Aptos"/>
                <w:sz w:val="14"/>
              </w:rPr>
              <w:t>Servalar / Papanasam system</w:t>
            </w:r>
          </w:p>
        </w:tc>
        <w:tc>
          <w:tcPr>
            <w:tcW w:type="dxa" w:w="4824"/>
            <w:vAlign w:val="top"/>
          </w:tcPr>
          <w:p>
            <w:pPr>
              <w:spacing w:before="0" w:after="0" w:line="240" w:lineRule="auto"/>
            </w:pPr>
            <w:r>
              <w:rPr>
                <w:rFonts w:ascii="Aptos" w:hAnsi="Aptos"/>
                <w:sz w:val="14"/>
              </w:rPr>
              <w:t>SRPC OCC monthly Servalar inflow; TANGEDCO monthly stored-energy equivalent for Papanasam + Servalar group</w:t>
            </w:r>
          </w:p>
        </w:tc>
        <w:tc>
          <w:tcPr>
            <w:tcW w:type="dxa" w:w="2232"/>
            <w:vAlign w:val="top"/>
          </w:tcPr>
          <w:p>
            <w:r>
              <w:t>Store/Link; storage may be aggregated with Papanasam, turbine remains separate</w:t>
            </w:r>
          </w:p>
        </w:tc>
        <w:tc>
          <w:tcPr>
            <w:tcW w:type="dxa" w:w="1944"/>
            <w:vAlign w:val="top"/>
          </w:tcPr>
          <w:p>
            <w:r>
              <w:t>Good with hydraulic aggregation; retain official plant-level p_nom</w:t>
            </w:r>
          </w:p>
        </w:tc>
      </w:tr>
      <w:tr>
        <w:trPr>
          <w:cantSplit/>
        </w:trPr>
        <w:tc>
          <w:tcPr>
            <w:tcW w:type="dxa" w:w="2088"/>
            <w:vAlign w:val="top"/>
          </w:tcPr>
          <w:p>
            <w:pPr>
              <w:spacing w:before="0" w:after="0" w:line="240" w:lineRule="auto"/>
            </w:pPr>
            <w:r>
              <w:rPr>
                <w:rFonts w:ascii="Aptos" w:hAnsi="Aptos"/>
                <w:sz w:val="14"/>
              </w:rPr>
              <w:t>Suruliyar</w:t>
            </w:r>
          </w:p>
        </w:tc>
        <w:tc>
          <w:tcPr>
            <w:tcW w:type="dxa" w:w="1080"/>
            <w:vAlign w:val="top"/>
          </w:tcPr>
          <w:p>
            <w:pPr>
              <w:spacing w:before="0" w:after="0" w:line="240" w:lineRule="auto"/>
            </w:pPr>
            <w:r>
              <w:rPr>
                <w:rFonts w:ascii="Aptos" w:hAnsi="Aptos"/>
                <w:sz w:val="14"/>
              </w:rPr>
              <w:t>35</w:t>
            </w:r>
          </w:p>
        </w:tc>
        <w:tc>
          <w:tcPr>
            <w:tcW w:type="dxa" w:w="2520"/>
            <w:vAlign w:val="top"/>
          </w:tcPr>
          <w:p>
            <w:pPr>
              <w:spacing w:before="0" w:after="0" w:line="240" w:lineRule="auto"/>
            </w:pPr>
            <w:r>
              <w:rPr>
                <w:rFonts w:ascii="Aptos" w:hAnsi="Aptos"/>
                <w:sz w:val="14"/>
              </w:rPr>
              <w:t>Highwavys / Manalar / Vennirar cascade</w:t>
            </w:r>
          </w:p>
        </w:tc>
        <w:tc>
          <w:tcPr>
            <w:tcW w:type="dxa" w:w="4824"/>
            <w:vAlign w:val="top"/>
          </w:tcPr>
          <w:p>
            <w:r>
              <w:t>SRPC OCC monthly Suruliyar inflow; TANGEDCO monthly Suruliyar stored-energy equivalent. When loaded, interpolate group SOC only to week boundaries; otherwise use documented proxy/assumption.</w:t>
            </w:r>
          </w:p>
        </w:tc>
        <w:tc>
          <w:tcPr>
            <w:tcW w:type="dxa" w:w="2232"/>
            <w:vAlign w:val="top"/>
          </w:tcPr>
          <w:p>
            <w:pPr>
              <w:spacing w:before="0" w:after="0" w:line="240" w:lineRule="auto"/>
            </w:pPr>
            <w:r>
              <w:rPr>
                <w:rFonts w:ascii="Aptos" w:hAnsi="Aptos"/>
                <w:sz w:val="14"/>
              </w:rPr>
              <w:t>StorageUnit or aggregate cascade Store</w:t>
            </w:r>
          </w:p>
        </w:tc>
        <w:tc>
          <w:tcPr>
            <w:tcW w:type="dxa" w:w="1944"/>
            <w:vAlign w:val="top"/>
          </w:tcPr>
          <w:p>
            <w:r>
              <w:t>Usable now; fully monthly-data-driven after series extraction</w:t>
            </w:r>
          </w:p>
        </w:tc>
      </w:tr>
      <w:tr>
        <w:trPr>
          <w:cantSplit/>
        </w:trPr>
        <w:tc>
          <w:tcPr>
            <w:tcW w:type="dxa" w:w="2088"/>
            <w:vAlign w:val="top"/>
          </w:tcPr>
          <w:p>
            <w:pPr>
              <w:spacing w:before="0" w:after="0" w:line="240" w:lineRule="auto"/>
            </w:pPr>
            <w:r>
              <w:rPr>
                <w:rFonts w:ascii="Aptos" w:hAnsi="Aptos"/>
                <w:sz w:val="14"/>
              </w:rPr>
              <w:t>Maravakandy / Glenmorgan interface</w:t>
            </w:r>
          </w:p>
        </w:tc>
        <w:tc>
          <w:tcPr>
            <w:tcW w:type="dxa" w:w="1080"/>
            <w:vAlign w:val="top"/>
          </w:tcPr>
          <w:p>
            <w:pPr>
              <w:spacing w:before="0" w:after="0" w:line="240" w:lineRule="auto"/>
            </w:pPr>
            <w:r>
              <w:rPr>
                <w:rFonts w:ascii="Aptos" w:hAnsi="Aptos"/>
                <w:sz w:val="14"/>
              </w:rPr>
              <w:t>0.75 + linked downstream hydro</w:t>
            </w:r>
          </w:p>
        </w:tc>
        <w:tc>
          <w:tcPr>
            <w:tcW w:type="dxa" w:w="2520"/>
            <w:vAlign w:val="top"/>
          </w:tcPr>
          <w:p>
            <w:pPr>
              <w:spacing w:before="0" w:after="0" w:line="240" w:lineRule="auto"/>
            </w:pPr>
            <w:r>
              <w:rPr>
                <w:rFonts w:ascii="Aptos" w:hAnsi="Aptos"/>
                <w:sz w:val="14"/>
              </w:rPr>
              <w:t>Glenmorgan Forebay / Pykara cascade</w:t>
            </w:r>
          </w:p>
        </w:tc>
        <w:tc>
          <w:tcPr>
            <w:tcW w:type="dxa" w:w="4824"/>
            <w:vAlign w:val="top"/>
          </w:tcPr>
          <w:p>
            <w:r>
              <w:t>Use Pykara/Nilgiris upstream storage; Glenmorgan Forebay operates as endogenous pondage with per-week end_SOC=start_SOC. Hourly levels are optional validation only.</w:t>
            </w:r>
          </w:p>
        </w:tc>
        <w:tc>
          <w:tcPr>
            <w:tcW w:type="dxa" w:w="2232"/>
            <w:vAlign w:val="top"/>
          </w:tcPr>
          <w:p>
            <w:r>
              <w:t>Cascade Link / endogenous forebay from Nilgiris-Pykara system</w:t>
            </w:r>
          </w:p>
        </w:tc>
        <w:tc>
          <w:tcPr>
            <w:tcW w:type="dxa" w:w="1944"/>
            <w:vAlign w:val="top"/>
          </w:tcPr>
          <w:p>
            <w:r>
              <w:t>Usable with weekly-neutral pondage</w:t>
            </w:r>
          </w:p>
        </w:tc>
      </w:tr>
      <w:tr>
        <w:trPr>
          <w:cantSplit/>
        </w:trPr>
        <w:tc>
          <w:tcPr>
            <w:tcW w:type="dxa" w:w="2088"/>
            <w:vAlign w:val="top"/>
          </w:tcPr>
          <w:p>
            <w:pPr>
              <w:spacing w:before="0" w:after="0" w:line="240" w:lineRule="auto"/>
            </w:pPr>
            <w:r>
              <w:rPr>
                <w:rFonts w:ascii="Aptos" w:hAnsi="Aptos"/>
                <w:sz w:val="14"/>
              </w:rPr>
              <w:t>Moyar</w:t>
            </w:r>
          </w:p>
        </w:tc>
        <w:tc>
          <w:tcPr>
            <w:tcW w:type="dxa" w:w="1080"/>
            <w:vAlign w:val="top"/>
          </w:tcPr>
          <w:p>
            <w:pPr>
              <w:spacing w:before="0" w:after="0" w:line="240" w:lineRule="auto"/>
            </w:pPr>
            <w:r>
              <w:rPr>
                <w:rFonts w:ascii="Aptos" w:hAnsi="Aptos"/>
                <w:sz w:val="14"/>
              </w:rPr>
              <w:t>38</w:t>
            </w:r>
          </w:p>
        </w:tc>
        <w:tc>
          <w:tcPr>
            <w:tcW w:type="dxa" w:w="2520"/>
            <w:vAlign w:val="top"/>
          </w:tcPr>
          <w:p>
            <w:pPr>
              <w:spacing w:before="0" w:after="0" w:line="240" w:lineRule="auto"/>
            </w:pPr>
            <w:r>
              <w:rPr>
                <w:rFonts w:ascii="Aptos" w:hAnsi="Aptos"/>
                <w:sz w:val="14"/>
              </w:rPr>
              <w:t>Moyar forebay / downstream Pykara system</w:t>
            </w:r>
          </w:p>
        </w:tc>
        <w:tc>
          <w:tcPr>
            <w:tcW w:type="dxa" w:w="4824"/>
            <w:vAlign w:val="top"/>
          </w:tcPr>
          <w:p>
            <w:r>
              <w:t>Use Nilgiris/Pykara cascade as upstream source. Treat Moyar forebay as endogenous pondage with per-week end_SOC=start_SOC; separate forebay time series not required.</w:t>
            </w:r>
          </w:p>
        </w:tc>
        <w:tc>
          <w:tcPr>
            <w:tcW w:type="dxa" w:w="2232"/>
            <w:vAlign w:val="top"/>
          </w:tcPr>
          <w:p>
            <w:r>
              <w:t>Cascade Link / endogenous downstream pondage</w:t>
            </w:r>
          </w:p>
        </w:tc>
        <w:tc>
          <w:tcPr>
            <w:tcW w:type="dxa" w:w="1944"/>
            <w:vAlign w:val="top"/>
          </w:tcPr>
          <w:p>
            <w:r>
              <w:t>Usable with weekly-neutral pondage; official p_nom retained</w:t>
            </w:r>
          </w:p>
        </w:tc>
      </w:tr>
    </w:tbl>
    <w:p>
      <w:pPr>
        <w:spacing w:before="100"/>
      </w:pPr>
      <w:r>
        <w:rPr>
          <w:i/>
          <w:sz w:val="16"/>
        </w:rPr>
        <w:t>Source: Tamil_Nadu_Hydro_PyPSA_Implementation_Note_UPDATED_HIGHLIGHTED, Section 7, “Tamil Nadu plant-to-data mapping”.</w:t>
      </w:r>
    </w:p>
    <w:p>
      <w:r>
        <w:t>Implementation rule for Appendix A: do not reconcile the model MW values to grouped totals in this table. If the official Tamil Nadu plant inventory used by the repository differs from a grouped/source-table MW value, preserve the official plant-level model capacity and document the grouping difference.</w:t>
      </w:r>
    </w:p>
    <w:sectPr w:rsidR="00FC693F" w:rsidRPr="0006063C" w:rsidSect="00034616">
      <w:pgSz w:w="15840" w:h="12240" w:orient="landscape"/>
      <w:pgMar w:top="792" w:right="720" w:bottom="79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Tamil Nadu Hydropower PyPSA Methodology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