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DEAL.JS: An Extensible Language for Inspectable Human–AI Research Programming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Mohammad Fathi; Mehrdad CheshmeSohrabi; Ahmad Shabani; Ali Mansouri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Department of Knowledge and Information Science, University of Isfahan, Isfahan, Iran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AI-assisted programming holds profound potential to align a researcher’s creative intent with executable code, yet it introduces a critical bottleneck: the resulting implementation must remain transparent enough for rigorous human oversight. A readable explanation alone can never substitute for computational correctness and reproducibility.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Objectives:</w:t>
      </w:r>
      <w:r w:rsidDel="00000000" w:rsidR="00000000" w:rsidRPr="00000000">
        <w:rPr>
          <w:rFonts w:ascii="Google Sans" w:cs="Google Sans" w:eastAsia="Google Sans" w:hAnsi="Google Sans"/>
          <w:color w:val="1f1f1f"/>
          <w:rtl w:val="0"/>
        </w:rPr>
        <w:t xml:space="preserve"> This study introduces DEAL (Declarative and Extensible Abstract Language) alongside its JavaScript-targeting realization, DEAL.JS. Together, they establish a unified, inspectable representation where human reviewers, AI generation agents, and conventional runtime environments meet on common ground.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Methods:</w:t>
      </w:r>
      <w:r w:rsidDel="00000000" w:rsidR="00000000" w:rsidRPr="00000000">
        <w:rPr>
          <w:rFonts w:ascii="Google Sans" w:cs="Google Sans" w:eastAsia="Google Sans" w:hAnsi="Google Sans"/>
          <w:color w:val="1f1f1f"/>
          <w:rtl w:val="0"/>
        </w:rPr>
        <w:t xml:space="preserve"> We outline the core language model, source-to-source compilation architecture, and modular mechanisms for domain vocabulary extension. A realistic research data extraction case study demonstrates how acquisition, preprocessing, validation, and storage compose seamlessly. Analytical contracts formalize vocabulary equivalence and backend portability, while functional assertions evaluate transformation and serialization boundaries.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Results:</w:t>
      </w:r>
      <w:r w:rsidDel="00000000" w:rsidR="00000000" w:rsidRPr="00000000">
        <w:rPr>
          <w:rFonts w:ascii="Google Sans" w:cs="Google Sans" w:eastAsia="Google Sans" w:hAnsi="Google Sans"/>
          <w:color w:val="1f1f1f"/>
          <w:rtl w:val="0"/>
        </w:rPr>
        <w:t xml:space="preserve"> DEAL.JS harmonizes explicit control structures, reusable domain commands, adaptable vocabulary, contextual handlers, and embedded JavaScript through a robust five-stage compiler. The worked case makes data selection, exclusion, computation, and persistence fully transparent. Nineteen case-validation assertions execute successfully, yielding two accepted and three rejected synthetic records—validating the application data contract while laying the groundwork for broader usability and performance inquiries.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Conclusion:</w:t>
      </w:r>
      <w:r w:rsidDel="00000000" w:rsidR="00000000" w:rsidRPr="00000000">
        <w:rPr>
          <w:rFonts w:ascii="Google Sans" w:cs="Google Sans" w:eastAsia="Google Sans" w:hAnsi="Google Sans"/>
          <w:color w:val="1f1f1f"/>
          <w:rtl w:val="0"/>
        </w:rPr>
        <w:t xml:space="preserve"> DEAL.JS offers a reliable, inspectable programming artifact and explicit extension boundaries tailored for research-software workflows. By bridging domain notation, execution, and review, DEAL moves beyond the limitations of opaque neural-network interpretability. Controlled human studies, AI-generation benchmarks, and full-system regression protocols will further illuminate the full scope of these collaborative benefits.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Keywords:</w:t>
      </w:r>
      <w:r w:rsidDel="00000000" w:rsidR="00000000" w:rsidRPr="00000000">
        <w:rPr>
          <w:rFonts w:ascii="Google Sans" w:cs="Google Sans" w:eastAsia="Google Sans" w:hAnsi="Google Sans"/>
          <w:color w:val="1f1f1f"/>
          <w:rtl w:val="0"/>
        </w:rPr>
        <w:t xml:space="preserve"> human–AI collaboration; controlled languages; end-user programming; extensibility; compilation; reproducibility; web extraction.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programming occupies a uniquely vulnerable and demanding position in software engineering. The scientist shaping the research method is frequently not a professional programmer, yet they bear absolute responsibility for verifying whether software faithfully executes that method. End-user software engineering recognizes that individuals who program in service of a broader scientific goal inevitably grapple with requirements, design, testing, debugging, and maintenance hurdles. Moreover, the broader landscape of end-user development research demonstrates that providing access to a simplified notation alone cannot dissolve these surrounding engineering realities. For data-intensive research, the central challenge is forging a trustworthy bridge between abstract domain intent and a computational procedure precise enough to execute yet transparent enough to audit.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ascent of AI-assisted code generation transforms software creation without eliminating the fundamental need for human comprehension. Developers and domain experts alike report significant friction when trying to understand, modify, and debug machine-suggested code. While functional benchmarks evaluate generated programs through execution, larger test suites routinely uncover critical failures missed by smaller evaluations. This exposes a core representational gap: the researcher, the AI system, and the runtime environment require a shared program, not merely a natural-language prompt paired with an opaque implementation block.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 (Declarative and Extensible Abstract Language) bridges this gap by offering a common representation built on constrained, natural-language-like instructions, reusable domain commands, configurable vocabulary, and explicit control structures. DEAL.JS, its JavaScript-targeting implementation, compiles DEAL instructions into clean JavaScript while gracefully accommodating ordinary JavaScript within the same codebase. Through this unified model, a researcher can articulate and review workflows at a meaningful domain level, an AI system can generate or refine that source, and the compiler produces the exact target program required for execution. Consequently, reliability is treated as a transparent relationship among human intent, source code, translation, dependencies, and observed behavior—rather than as an assumed byproduct of conversational prose.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design builds upon established work in controlled natural languages and domain-specific language implementation. Its primary contribution is synthesizing these concepts into a unified research-programming artifact: a stable structural language featuring adaptable vocabulary, domain modules, an incremental JavaScript adoption path, and fully inspectable translation. The vital question is therefore not whether a program merely resembles human prose, but how effectively its representation exposes scientifically consequential decisions while preserving uncompromising computational precision.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article delivers five distinct contributions: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Formulating a shared executable representation connecting researchers, AI systems, and conventional runtimes.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Presenting the language model and compilation architecture, detailing explicit declarations and JavaScript interoperability.</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Demonstrating how acquisition, extraction, preprocessing, validation, and storage compose into a reviewable research workflow.</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Establishing semantic conditions governing vocabulary localization and backend reuse.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Constructing an evaluation framework that clearly separates translation correctness, application behavior, human comprehension, AI generation, and operational cost.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guiding research questions shape this study:</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RQ1:</w:t>
      </w:r>
      <w:r w:rsidDel="00000000" w:rsidR="00000000" w:rsidRPr="00000000">
        <w:rPr>
          <w:rFonts w:ascii="Google Sans" w:cs="Google Sans" w:eastAsia="Google Sans" w:hAnsi="Google Sans"/>
          <w:color w:val="1f1f1f"/>
          <w:rtl w:val="0"/>
        </w:rPr>
        <w:t xml:space="preserve"> Which representation and compiler mechanisms connect domain-level review with executable implementation?</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RQ2:</w:t>
      </w:r>
      <w:r w:rsidDel="00000000" w:rsidR="00000000" w:rsidRPr="00000000">
        <w:rPr>
          <w:rFonts w:ascii="Google Sans" w:cs="Google Sans" w:eastAsia="Google Sans" w:hAnsi="Google Sans"/>
          <w:color w:val="1f1f1f"/>
          <w:rtl w:val="0"/>
        </w:rPr>
        <w:t xml:space="preserve"> Under what explicit conditions can vocabulary adaptation and alternative backends preserve observable behavior?</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RQ3:</w:t>
      </w:r>
      <w:r w:rsidDel="00000000" w:rsidR="00000000" w:rsidRPr="00000000">
        <w:rPr>
          <w:rFonts w:ascii="Google Sans" w:cs="Google Sans" w:eastAsia="Google Sans" w:hAnsi="Google Sans"/>
          <w:color w:val="1f1f1f"/>
          <w:rtl w:val="0"/>
        </w:rPr>
        <w:t xml:space="preserve"> How can acquisition, extraction, preprocessing, and persistence be composed into a reviewable research workflow?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RQ1 is addressed through the language model and compilation architecture, RQ2 through conditional semantic contracts, and RQ3 through our worked application and its data-contract validation. The broader impacts of these mechanisms on researcher comprehension and AI-generation success remain distinct empirical inquiries.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problem and design rationale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forms of opacity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black-box dilemma manifests at multiple levels within an AI-assisted research architecture. At the neural model level, interpretability concerns the intricate relationship between learned computations, predictions, and post-hoc explanations—properties that literature warns against conflating. The distinction between an inherently interpretable model and a supplementary explanation attached to an opaque predictor is especially critical for high-stakes decisions. A programming language operates at a complementary, equally vital level: it defines the explicit, auditable procedure through which data are acquired, transformed, analyzed, and stored.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distinguish three forms of opacity: </w:t>
      </w:r>
      <w:r w:rsidDel="00000000" w:rsidR="00000000" w:rsidRPr="00000000">
        <w:rPr>
          <w:rFonts w:ascii="Google Sans" w:cs="Google Sans" w:eastAsia="Google Sans" w:hAnsi="Google Sans"/>
          <w:i w:val="1"/>
          <w:iCs w:val="1"/>
          <w:color w:val="1f1f1f"/>
          <w:rtl w:val="0"/>
        </w:rPr>
        <w:t xml:space="preserve">model opacity</w:t>
      </w:r>
      <w:r w:rsidDel="00000000" w:rsidR="00000000" w:rsidRPr="00000000">
        <w:rPr>
          <w:rFonts w:ascii="Google Sans" w:cs="Google Sans" w:eastAsia="Google Sans" w:hAnsi="Google Sans"/>
          <w:color w:val="1f1f1f"/>
          <w:rtl w:val="0"/>
        </w:rPr>
        <w:t xml:space="preserve"> (internal learned computation), </w:t>
      </w:r>
      <w:r w:rsidDel="00000000" w:rsidR="00000000" w:rsidRPr="00000000">
        <w:rPr>
          <w:rFonts w:ascii="Google Sans" w:cs="Google Sans" w:eastAsia="Google Sans" w:hAnsi="Google Sans"/>
          <w:i w:val="1"/>
          <w:iCs w:val="1"/>
          <w:color w:val="1f1f1f"/>
          <w:rtl w:val="0"/>
        </w:rPr>
        <w:t xml:space="preserve">program opacity</w:t>
      </w:r>
      <w:r w:rsidDel="00000000" w:rsidR="00000000" w:rsidRPr="00000000">
        <w:rPr>
          <w:rFonts w:ascii="Google Sans" w:cs="Google Sans" w:eastAsia="Google Sans" w:hAnsi="Google Sans"/>
          <w:color w:val="1f1f1f"/>
          <w:rtl w:val="0"/>
        </w:rPr>
        <w:t xml:space="preserve"> (the procedure embodied in source code), and </w:t>
      </w:r>
      <w:r w:rsidDel="00000000" w:rsidR="00000000" w:rsidRPr="00000000">
        <w:rPr>
          <w:rFonts w:ascii="Google Sans" w:cs="Google Sans" w:eastAsia="Google Sans" w:hAnsi="Google Sans"/>
          <w:i w:val="1"/>
          <w:iCs w:val="1"/>
          <w:color w:val="1f1f1f"/>
          <w:rtl w:val="0"/>
        </w:rPr>
        <w:t xml:space="preserve">workflow opacity</w:t>
      </w:r>
      <w:r w:rsidDel="00000000" w:rsidR="00000000" w:rsidRPr="00000000">
        <w:rPr>
          <w:rFonts w:ascii="Google Sans" w:cs="Google Sans" w:eastAsia="Google Sans" w:hAnsi="Google Sans"/>
          <w:color w:val="1f1f1f"/>
          <w:rtl w:val="0"/>
        </w:rPr>
        <w:t xml:space="preserve"> (the fragile connection among data sources, transformations, dependencies, and outputs). DEAL targets program and workflow opacity by anchoring consequential operations within an identifiable, executable artifact. While a neural-network prediction invoked by that artifact remains a model-interpretability problem, its inputs, invocation conditions, and downstream applications become fully part of the inspectable workflow.</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separation dictates what our solution must expose. Reviewers must be able to trace precisely which observations enter an analysis, which transformations alter them, which criteria exclude records, and what side effects occur outside the program. Domain-level commands render these decisions discussable, while their underlying contracts and target implementations provide a reliable path to deep inspection. Readability and computational evidence thus fulfill mutually supportive roles.</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communication gap</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proposed workflow assigns distinct, respectful responsibilities to each participant in the collaboration loop: the researcher defines the scientific goal and evaluates domain validity; the AI system proposes or revises a program; the compiler translates the source; and the runtime executes operations. A shared source artifact bridges these responsibilities without mistakenly transferring scientific authority to the compiler or assuming blind trust in AI generation.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Figure 1 illustrates this collaborative review-and-execution loop. Its governing invariant is </w:t>
      </w:r>
      <w:r w:rsidDel="00000000" w:rsidR="00000000" w:rsidRPr="00000000">
        <w:rPr>
          <w:rFonts w:ascii="Google Sans" w:cs="Google Sans" w:eastAsia="Google Sans" w:hAnsi="Google Sans"/>
          <w:i w:val="1"/>
          <w:iCs w:val="1"/>
          <w:color w:val="1f1f1f"/>
          <w:rtl w:val="0"/>
        </w:rPr>
        <w:t xml:space="preserve">artifact identity</w:t>
      </w:r>
      <w:r w:rsidDel="00000000" w:rsidR="00000000" w:rsidRPr="00000000">
        <w:rPr>
          <w:rFonts w:ascii="Google Sans" w:cs="Google Sans" w:eastAsia="Google Sans" w:hAnsi="Google Sans"/>
          <w:color w:val="1f1f1f"/>
          <w:rtl w:val="0"/>
        </w:rPr>
        <w:t xml:space="preserve">: the approved source code, generated target code, and execution records must point to the exact same program configuration. This loop gracefully accommodates revision, ensuring that any disagreement can be precisely isolated to a domain rule, a command implementation, a translation step, or an execution condition.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1. Shared executable representation linking researcher intent, AI-assisted revision, and target execution. The review loop preserves the connection between the approved program and its operational interpretation. AI assistance: Perplexity Computer (GPT 6.1 Sol), SVG-code preparation.</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Objectives and requirements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language design is guided by seven core objectives: reviewable intent, precise execution, incremental adoption, domain reuse, adaptable vocabulary, reproducibility, and cross-language reuse of the core model. Table 1 maps each objective to its corresponding structural mechanism and evaluation criterion, ensuring a clear boundary between implemented features and empirical utility.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Design objectives, corresponding mechanisms, and evaluation criteria.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DEAL design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Criterion for evaluation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Reviewable research 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commands and explicit control structures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comprehension and detection of seeded semantic errors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Precise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Constrained grammar and target-source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Agreement with independently specified observable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Incremental adoption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Ordinary JavaScript alongside DEAL instructions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Completion of mixed-source tasks without unnecessary rewrites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Reusable domain knowledge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Commands and importable modules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Reuse across tasks with documented input/output contracts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Adaptable human vocabulary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Replacement reserves and optional readability 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equivalence across vocabulary configurations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Research reproducibility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Executable workflow plus versioned inputs and dependencies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Re-execution from archived materials with matching relevant outputs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Cross-language reuse of the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Separation of language concepts from backend implementation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Equivalent behavior on a declared portable subset</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Reproducible computational research requires meticulous recording of inputs, program versions, parameters, and intermediate outputs; executable workflow descriptions significantly reduce the dangerous divergence between written documentation and actual execution. Furthermore, FAIR principles emphasize interoperability, explicit vocabularies, robust provenance, and reuse across both human and machine consumers. While DEAL provides a robust common representation to support these goals, a language alone cannot replace a comprehensive provenance system or guarantee FAIR certification.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Related work and comparative positioning</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Controlled language and programming accessibility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Controlled natural languages purposefully constrain vocabulary and grammar to balance human accessibility with formal mathematical precision. DEAL extends this philosophy to research programming: familiar terms form precise structural constructions rather than leaving interpretation to an unpredictable runtime language model. Users engage with a defined programming language whose domain vocabulary can expand naturally without compromising its foundational core.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Syntax is a legitimate design choice, though not a standalone guarantor of usability. Stefik and Siebert demonstrated empirical differences in novice performance across diverse programming syntaxes, advocating for evidence-based rather than tradition-based design. A subsequent replication reinforced that while some familiar keywords can be intuitive, intuitive wording alone does not make general programming effortless. Consequently, DEAL’s readability must be measured through concrete comprehension and editing tasks rather than assumed from familiar terminology.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Cognitive Dimensions framework identifies closeness of mapping, hidden dependencies, diffuseness, and error-proneness as critical dimensions of notation design. These dimensions highlight a fundamental trade-off in DEAL: while a domain command can shorten the distance between a scientific concept and its implementation, contextual state can sometimes obscure dependencies. Thus, vocabulary adaptation must preserve clear pathways to canonical operations and their formal contracts.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systematic review of programmers’ mental models connects program comprehension with information needs, available evidence, prior knowledge, mental simulation, and behavioral reasoning. This reinforces our focus on evaluating whether a human reviewer forms an accurate behavioral model of a DEAL program, rather than merely checking whether its keywords sound conversational.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SmellDSL offers a valuable methodological precedent by examining specification effort, correctness, and error rates for domain-specific notations. For DEAL, parallel metrics concern the precision with which researchers comprehend and refine data workflows, embedding our work firmly within empirical software engineering evaluation.</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English-like scripting and extensible languages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_hyperscript serves as a close comparator by uniting English-like, HyperTalk-inspired syntax with first-class DOM selectors, asynchronous transparency, and JavaScript extensibility. Its collection loops, fetching mechanics, and JavaScript interoperability illustrate that readable web interaction is a well-established design direction. DEAL’s unique contribution is a shared research-program artifact centered on explicit target-source generation and granular vocabulary configuration, rather than an ambition to invent English-like web commands.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LiveCode provides another notable precedent for command-oriented programming and explicit block structures. Its repeat for each constructs handle text chunks, array elements, and array keys. These constructs highlight why readability must be evaluated at the level of data representation and task semantics: iterating over comma-delimited text versus navigating a structured array are fundamentally distinct operations.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SugarJ explores a different design space: imported sugar libraries introduce custom grammar productions and desugaring rules, composing extensions directly within a host language. DEAL’s RESERVE mechanism represents a lighter, more focused vocabulary adaptation strategy tailored for an established structural language. This comparison emphasizes lightweight extension boundaries and minimal implementation overhead, rather than claiming lexical aliases possess the expressive power of arbitrary grammar rewriting.</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extraction and executable AI reasoning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WebL established web-document processing as a first-class language task, merging service combinators for retrieval with a markup algebra for extraction and manipulation. A comprehensive survey by Ferrara et al. documents the wide landscape of web data extraction and techniques for cross-domain reuse. Web scraping thus serves as a rigorous, demanding application domain through which to demonstrate DEAL’s integration capabilities, rather than constituting a novel extraction contribution in its own right.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 provides an important human–AI architectural precedent: a language model generates a program, and a conventional interpreter executes the resulting computation. Meanwhile, PICARD and grammar-constrained decoding illustrate how formal syntactic restrictions can guide language model outputs toward structurally valid representations. DEAL offers a natural, highly suitable representation for such integrations without assuming that foundation models inherently generate DEAL code more accurately than traditional languages.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Ensuring trust in AI-written software also depends on the complex interplay between human oversight mechanisms and validation evidence. A recent single-case preprint examines these dynamics while highlighting the practical limits of supervision. DEAL contributes a vital representational building block to this broader challenge: an explicit program against which both human intent and machine behavior can be rigorously verified.</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Limitations addressed by the integrated design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Existing programming languages tackle different fragments of the software engineering puzzle. General-purpose languages offer deep ecosystems and raw expressive power; English-like scripting languages prioritize human readability; extensible languages enable custom syntax; and extraction languages specialize in web operations. Table 2 details the specific integration challenge addressed by DEAL, which combines structural notation, domain commands, adaptable vocabulary, and seamless JavaScript interoperability.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Established approaches and the integration problem addressed by DEAL.</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Approach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Established strength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 otherwise left to the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DEAL response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JavaScript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Target-language execution and rich host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Organize low-level operations into a research-facing review vocabulary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domain commands over inspectable target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sequence iteration and conventional program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Coordinate library-specific APIs and distinguish workflow intent from implementation detail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Offer a common command-oriented orchestration surface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_hyperscript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English-like web scripting, selectors, async transparency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research-specific data contracts and provenance conventions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Emphasize a versioned research program and generated target artifact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LiveCode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Human-oriented commands and chunk/array 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Reconcile its execution and data model with a JavaScript-oriented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a mixed-JavaScript adoption path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SugarJ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Composable syntax extensions and desugaring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 grammar extensions when only vocabulary adaptation is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Separate lightweight vocabulary changes from structural grammar changes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web retrieval and markup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 extraction notation to a broader human–AI review and localization workflow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Treat extraction as one reusable domain module</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our contribution is architectural rather than asserting that previous languages lacked readability or modularity. JavaScript and Python remain exceptionally powerful because equivalent domain libraries can be built in either. Therefore, our evaluation methodology is carefully structured to isolate the specific cognitive and operational effects of DEAL’s representation.</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design and analytical framework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study embraces a design-science paradigm, connecting a tangible research-programming challenge to a formal language artifact, its governing rationale, and an illustrative application demonstration. The primary unit of analysis is the </w:t>
      </w:r>
      <w:r w:rsidDel="00000000" w:rsidR="00000000" w:rsidRPr="00000000">
        <w:rPr>
          <w:rFonts w:ascii="Google Sans" w:cs="Google Sans" w:eastAsia="Google Sans" w:hAnsi="Google Sans"/>
          <w:i w:val="1"/>
          <w:iCs w:val="1"/>
          <w:color w:val="1f1f1f"/>
          <w:rtl w:val="0"/>
        </w:rPr>
        <w:t xml:space="preserve">executable workflow</w:t>
      </w:r>
      <w:r w:rsidDel="00000000" w:rsidR="00000000" w:rsidRPr="00000000">
        <w:rPr>
          <w:rFonts w:ascii="Google Sans" w:cs="Google Sans" w:eastAsia="Google Sans" w:hAnsi="Google Sans"/>
          <w:color w:val="1f1f1f"/>
          <w:rtl w:val="0"/>
        </w:rPr>
        <w:t xml:space="preserve">: a program where domain operations, control flow, data decisions, and execution side-effects can be audited in unison. Our analysis carefully separates the inherent properties of the representation from behavioral outcomes that require direct empirical or comparative experimentation.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primary artifact is a fully functional JavaScript-targeting language implementation; this study examines its design principles and application mechanics rather than presenting a speculative roadmap. The analytical component investigates three critical relationships: translating domain intent into explicit program structure, mapping vocabulary variations to canonical operations, and converting clean program structures into target-language execution. Compilation determinism and semantic preservation are formalized as precise mathematical contracts over source text, vocabulary configurations, dependencies, execution environments, and runtime observations.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component uses a synthetic catalog to demonstrate end-to-end composition from retrieval to persistent storage. Five representative records exercise valid transformations, duplicate identifiers, missing numeric data, a boundary value of zero, and an invalid discount. Functional validation comprises 19 rigorous assertions covering preprocessing, serialization, provenance metadata, a document-shaped test double, and an in-memory storage connector. These assertions were executed successfully under Node.js 20.20.2; compiler execution times, live web extraction accuracy, and human performance metrics were intentionally excluded from this specific experiment.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case-study helper and test harness were prepared with assistance from Perplexity Computer (GPT 6.1 Sol). All inputs, rules, code snippets, and recorded outputs accompany this article to allow independent verification and replication. Broader validation requirements are outlined comprehensively in our evaluation framework.</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design and syntax</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principles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Five foundational principles guide our language design: </w:t>
      </w:r>
      <w:r w:rsidDel="00000000" w:rsidR="00000000" w:rsidRPr="00000000">
        <w:rPr>
          <w:rFonts w:ascii="Google Sans" w:cs="Google Sans" w:eastAsia="Google Sans" w:hAnsi="Google Sans"/>
          <w:i w:val="1"/>
          <w:iCs w:val="1"/>
          <w:color w:val="1f1f1f"/>
          <w:rtl w:val="0"/>
        </w:rPr>
        <w:t xml:space="preserve">intent-oriented abstraction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explicit compilation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hybrid interoperability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modular extensibility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reusable operations</w:t>
      </w:r>
      <w:r w:rsidDel="00000000" w:rsidR="00000000" w:rsidRPr="00000000">
        <w:rPr>
          <w:rFonts w:ascii="Google Sans" w:cs="Google Sans" w:eastAsia="Google Sans" w:hAnsi="Google Sans"/>
          <w:color w:val="1f1f1f"/>
          <w:rtl w:val="0"/>
        </w:rPr>
        <w:t xml:space="preserve">. These principles distribute review responsibilities fairly rather than promising a universally effortless notation. A domain expert must inspect the scientific validity of the operation and data policy; a language implementer must guarantee precise semantic preservation; and a host integrator must provide the necessary runtime resources.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Although the word “declarative” appears in its name, DEAL.JS supports sequencing, loops, assignments, and native JavaScript within the same source files. Intent-oriented commands successfully hide incidental mechanics, but they do not magically abolish program state or control flow. Similarly, automatic source generation alone does not guarantee performance optimization, security, or logical correctness.</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four-part language model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 is organized around four complementary concepts: </w:t>
      </w:r>
      <w:r w:rsidDel="00000000" w:rsidR="00000000" w:rsidRPr="00000000">
        <w:rPr>
          <w:rFonts w:ascii="Google Sans" w:cs="Google Sans" w:eastAsia="Google Sans" w:hAnsi="Google Sans"/>
          <w:i w:val="1"/>
          <w:iCs w:val="1"/>
          <w:color w:val="1f1f1f"/>
          <w:rtl w:val="0"/>
        </w:rPr>
        <w:t xml:space="preserve">structures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commands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reserves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handlers</w:t>
      </w:r>
      <w:r w:rsidDel="00000000" w:rsidR="00000000" w:rsidRPr="00000000">
        <w:rPr>
          <w:rFonts w:ascii="Google Sans" w:cs="Google Sans" w:eastAsia="Google Sans" w:hAnsi="Google Sans"/>
          <w:color w:val="1f1f1f"/>
          <w:rtl w:val="0"/>
        </w:rPr>
        <w:t xml:space="preserve">, with conventional JavaScript fully accessible alongside them. Structures define computation and control flow, commands encapsulate domain operations, reserves adapt human vocabulary, and handlers provide contextual access to the active workspace. Table 3 summarizes the constructs most relevant to research automation.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Core language mechanisms and representative syntax.</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Representative syntax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Computational role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Declaration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ASSUME CONST threshold IS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Bind a constant; alternative forms select let or var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Branching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condition, procedure; ELSE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Make conditional logic explicit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EACH item OF items,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Iterate over collection items (IN denotes distinct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Conditional repetition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condition,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Repeat while a condition holds (do ... while available in JS)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 ... END; or DO ... 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Delimit a procedure block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Callable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DOING ... 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 an encapsulated, reusable computation block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handling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TRY ... CATCH err, ... FINALLY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Separate normal execution, error recovery, and cleanup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Continuations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THEN, OTHERWISE, ANYWAY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 success, rejection, and finalization paths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Promise construction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WILL procedure THEN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Introduce a promise-oriented asynchronous computation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Function command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 clean(value = "") { ...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 a reusable custom operation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Definition command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 settings = { ...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 a reusable value or configuration object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 command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task BEGIN ... 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 and immediately execute a repeatable 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Delegation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 #dataset =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 a case-adapted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Vocabulary replacement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RESERVE into AS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human vocabulary to a canonical token sequence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Readability 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RESERVE the;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Admit stylistic words with zero computational overhead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Module inclusion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scraper;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domain vocabulary and implementation modules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Collection operators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ORDER BY,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 filtering, sorting, and range restriction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 handlers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RESPONSE, LOADED, FETCHED, 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 the active workspace or current operation</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Table 3 highlights key syntactic forms, a complete normative grammar must formally define operator precedence, name resolution, argument binding, scoping rules, error states, and the exact observable contract of every library command. For rigorous research applications, these formal contracts matter just as much as surface readability.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Readable operators include BE for assignment, IS for equality, EQUALS for strict equality, and logical conjunctions like AND / OR, with context-sensitive interpretation inside declarations. Furthermore, domain vocabulary can express data projection and collection building using operations such as SELECT and COLLECT. However, familiar wording never replaces a strict operator contract: type coercion, field naming conventions, missing-value handling, and argument ordering remain consequential computational decisions.</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declarations and ordinary source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ASSUME construction makes binding intent transparent: CONST declares a constant, VAR selects a traditional variable declaration, and LET (or an omitted modifier) establishes a block-scoped lexical binding. Listing 1 pairs DEAL syntax with its direct JavaScript translation, showing how readable declarations preserve familiar target-language semantics.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ASSUME CONST threshold IS 10;</w:t>
        <w:br w:type="textWrapping"/>
        <w:t xml:space="preserve">ASSUME VAR attempts IS EQUAL 0;</w:t>
        <w:br w:type="textWrapping"/>
        <w:t xml:space="preserve">ASSUME LET accepted BE [];</w:t>
        <w:br w:type="textWrapping"/>
        <w:t xml:space="preserve">ASSUME completed EQUALS false;</w:t>
        <w:br w:type="textWrapping"/>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threshold =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attempts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accepted =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completed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1. Explicit declarations make binding intent visible while retaining conventional JavaScript declarations as an alternative. The keyword ASSUME denotes a binding construction here; it is not a probabilistic assertion or a formal proof assumption.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source files serve as a vital adoption bridge. A researcher can leverage high-level domain commands for routine orchestration while leaving complex mathematical expressions or specialized object manipulations in native JavaScript. The goal is not to force every programming operator into prose, but to establish a sensible abstraction boundary separating high-level scientific intent from low-level implementation mechanics.</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Commands and document-like notation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Commands support actions, functions, definitions, and delegated identifiers, featuring both functional and sentence-like invocation styles. Listing 2 illustrates a research-specific normalization command. The underlying computation remains standard JavaScript inside the reusable command, cleanly separating implementation logic from the high-level domain name used within a workflow.</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COMMAND cleanTitle(value = "") {</w:t>
        <w:br w:type="textWrapping"/>
        <w:t xml:space="preserve">    return String(value).normalize("NFKC")</w:t>
        <w:br w:type="textWrapping"/>
        <w:t xml:space="preserve">        .replace(/\s+/gu, " ").trim();</w:t>
        <w:br w:type="textWrapping"/>
        <w:t xml:space="preserve">}</w:t>
        <w:br w:type="textWrapping"/>
        <w:t xml:space="preserve">ASSUME CONST title IS cleanTitle("  Alpha   study ");</w:t>
        <w:br w:type="textWrapping"/>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2. An author-defined command exposing a clearly named preprocessing operation. The example’s contract is Unicode NFKC normalization, whitespace collapse, and trimming; the name alone is not the specification.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Document-like notation incorporates selected Markdown-style list markers and emphasis conventions; heading-like action definitions execute immediately upon definition. This enables procedures to combine navigable human presentation with rigorous executable structure. Nevertheless, because an executable heading denotes an action, programming environments must strictly distinguish actions, comments, declarations, and raw data.</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sensitivity rules are similarly selective. Documented language vocabulary is case-adapted, ordinary user identifiers remain case-sensitive unless explicitly registered, and property names following a dot retain their own native spelling rules. A predictable programming interface therefore depends on disciplined identifier conventions rather than assuming the entire language is case-insensitive.</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Compiler architecture and execution model</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Configured compilation pipeline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DEAL.JS compiler is implemented in C# and executes through a five-stage source-to-source pipeline comprising tokenization, preprocessing, parsing, assembly, and code generation. It builds upon a JavaScript-oriented engine framework, where a generic orchestration layer manages stage transformations and delegates execution to a configurable host. Figure 2 outlines how these responsibilities connect without conflating compilation with runtime execution.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2. DEAL.JS compilation and execution architecture. DEAL source enters the five-stage transformation pipeline; recognized .js inputs follow the native-content passthrough branch. Domain modules and resource bindings support compilation and host execution, while execution remains distinct from generating JavaScript. AI assistance: Perplexity Computer (GPT 6.1 Sol), SVG-code preparation.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tokenizer recognizes source elements and vocabulary adaptations, including module imports and reserve mappings; the preprocessor provides a designated token-processing hook. The parser classifies tokens into abstract nodes, including declarations and block structures, while the assembler constructs and lowers their computational hierarchy. JavaScript code generation is inherited through the language's generator extensions. This represents a pure source-to-source transformation pipeline, distinct from neural translation inside the compiler.</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JavaScript interoperability provides two distinct paths. Mixed DEAL/JavaScript programs pass through the full language pipeline, whereas any input identified by a nonempty .js file path is bypassed and returned directly without DEAL transformation. This design allows existing JavaScript libraries and modules to be reused effortlessly without requiring them to be rewritten in DEAL notation.</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Representations and stage contracts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stage interface accepts and returns object representations, with each stage interpreting its input as a token stream, AST node collection, program structure, or source text. Table 4 relates these structural transitions to semantic preservation requirements. These contracts outline stage responsibilities rather than relying on a statically enforced pipeline type system.</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4. Compilation stages, intermediate representations, and semantic preservation requirements.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Representation transition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Review obligation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Tokenizer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text to positioned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literals and distinguish vocabulary from user identifiers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Preprocessor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Tokens to a token array; default token processing is pass-through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Make any configured rewrite explicit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Tokens to locally classified nodes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statement categories and declaration intent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Assembler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Nodes to a hierarchical, node-derived program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grouping, scope, and continuation attachment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 structure to JavaScript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operations and expose inspectable target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Generated source to host-defined results and effects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 permissions, effects, failures, and completion</w:t>
            </w:r>
          </w:p>
        </w:tc>
      </w:tr>
    </w:tbl>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Tokens carry type, value, and position metadata, while AST nodes add child references, parent links, and structural flags; dedicated AST walkers support traversal across these representations. These abstractions provide vital attachment points for future source-linked explanations and code instrumentation. However, their presence does not imply that complete source maps or diagnostic-location accuracy have already been formally validated.</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Modules, commands, and runtime boundaries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runtime environment maintains active command dictionaries and reserve mappings, while USE statements resolve dependency resources through the language and core engine infrastructure. Consequently, a domain module bundles human vocabulary with concrete implementation resources; achieving true reproducibility requires recording exact module versions alongside the execution order and environment.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Compilation and execution remain strictly separated responsibilities. A ClearScript V8 host provides one robust execution environment, exposing the engine and selected host facilities, while the execution-stage interface also accommodates alternative host implementations. Reusing generated JavaScript requires compatible host APIs and dependencies, whether deployed in a browser, Node.js, or an embedded runtime.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local-resource module exposes file, folder, save, append, prepend, delete, and existence check operations through a standardized resource provider. Its local.save(object, path) operation delegates directly to the host's underlying SetFileContents(path, object) interface. Making this argument contract explicit keeps data flow transparent across the language–host boundary.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resolution maps extensionless names to .deal, .djs, or .js resources; directory-based modules may resolve via an index or traverse directory entries. Unregistered resources are automatically compiled and executed before successful dependency inclusion is recorded. Figure 3 illustrates successful dependency-loading paths and the distinction between initial loading and subsequent reuse.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3. Successful dependency-loading paths after resource resolution. A previously registered path avoids re-loading; first use passes through compilation and execution before dependency registration and resumed scanning. AI assistance: Perplexity Computer (GPT 6.1 Sol), SVG-code preparation.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imported modules can introduce side effects as well as custom vocabulary, module loading falls squarely within the research trust boundary. Reproducible deployment therefore mandates identifiable dependency versions, explicit host bindings, and controlled resource access. Because the ClearScript host exposes powerful .NET capabilities, isolation and permission policies must be rigorously enforced by the deployment environment rather than assumed from readable syntax alone.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generic diagnostic model tracks identifiers, severity levels, source ranges, and diagnostic codes, while Output.Errors records error strings and orchestration engines emit log events. These diagnostic channels should not be conflated with a validated end-to-end automated repair interface. Future AI-repair experiments must record the exact diagnostic payloads received by the model and measure whether the resulting repairs satisfy an independent oracle.</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Determinism, preservation, and reproducibility</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formalize compilation determinism using the analytical function: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(s,v,m,o,</m:t>
        </m:r>
        <m:sSub>
          <m:sSubPr>
            <m:ctrlPr>
              <w:rPr>
                <w:rFonts w:ascii="Google Sans" w:cs="Google Sans" w:eastAsia="Google Sans" w:hAnsi="Google Sans"/>
                <w:color w:val="1f1f1f"/>
              </w:rPr>
            </m:ctrlPr>
          </m:sSubPr>
          <m:e>
            <m:r>
              <w:rPr>
                <w:rFonts w:ascii="Google Sans" w:cs="Google Sans" w:eastAsia="Google Sans" w:hAnsi="Google Sans"/>
                <w:color w:val="1f1f1f"/>
              </w:rPr>
              <m:t>σ</m:t>
            </m:r>
          </m:e>
          <m:sub>
            <m:r>
              <w:rPr>
                <w:rFonts w:ascii="Google Sans" w:cs="Google Sans" w:eastAsia="Google Sans" w:hAnsi="Google Sans"/>
                <w:color w:val="1f1f1f"/>
              </w:rPr>
              <m:t xml:space="preserve">0</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j</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,(1)</m:t>
        </m:r>
      </m:oMath>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m:oMath>
        <m:r>
          <w:rPr>
            <w:rFonts w:ascii="Google Sans" w:cs="Google Sans" w:eastAsia="Google Sans" w:hAnsi="Google Sans"/>
            <w:color w:val="1f1f1f"/>
          </w:rPr>
          <m:t xml:space="preserve">s</m:t>
        </m:r>
      </m:oMath>
      <w:r w:rsidDel="00000000" w:rsidR="00000000" w:rsidRPr="00000000">
        <w:rPr>
          <w:rFonts w:ascii="Google Sans" w:cs="Google Sans" w:eastAsia="Google Sans" w:hAnsi="Google Sans"/>
          <w:color w:val="1f1f1f"/>
          <w:rtl w:val="0"/>
        </w:rPr>
        <w:t xml:space="preserve"> represents source text, </w:t>
      </w:r>
      <m:oMath>
        <m:r>
          <w:rPr>
            <w:rFonts w:ascii="Google Sans" w:cs="Google Sans" w:eastAsia="Google Sans" w:hAnsi="Google Sans"/>
            <w:color w:val="1f1f1f"/>
          </w:rPr>
          <m:t xml:space="preserve">v</m:t>
        </m:r>
      </m:oMath>
      <w:r w:rsidDel="00000000" w:rsidR="00000000" w:rsidRPr="00000000">
        <w:rPr>
          <w:rFonts w:ascii="Google Sans" w:cs="Google Sans" w:eastAsia="Google Sans" w:hAnsi="Google Sans"/>
          <w:color w:val="1f1f1f"/>
          <w:rtl w:val="0"/>
        </w:rPr>
        <w:t xml:space="preserve"> represents vocabulary configuration, </w:t>
      </w:r>
      <m:oMath>
        <m:r>
          <w:rPr>
            <w:rFonts w:ascii="Google Sans" w:cs="Google Sans" w:eastAsia="Google Sans" w:hAnsi="Google Sans"/>
            <w:color w:val="1f1f1f"/>
          </w:rPr>
          <m:t xml:space="preserve">m</m:t>
        </m:r>
      </m:oMath>
      <w:r w:rsidDel="00000000" w:rsidR="00000000" w:rsidRPr="00000000">
        <w:rPr>
          <w:rFonts w:ascii="Google Sans" w:cs="Google Sans" w:eastAsia="Google Sans" w:hAnsi="Google Sans"/>
          <w:color w:val="1f1f1f"/>
          <w:rtl w:val="0"/>
        </w:rPr>
        <w:t xml:space="preserve"> comprises ordered module versions and contents, </w:t>
      </w:r>
      <m:oMath>
        <m:r>
          <w:rPr>
            <w:rFonts w:ascii="Google Sans" w:cs="Google Sans" w:eastAsia="Google Sans" w:hAnsi="Google Sans"/>
            <w:color w:val="1f1f1f"/>
          </w:rPr>
          <m:t xml:space="preserve">o</m:t>
        </m:r>
      </m:oMath>
      <w:r w:rsidDel="00000000" w:rsidR="00000000" w:rsidRPr="00000000">
        <w:rPr>
          <w:rFonts w:ascii="Google Sans" w:cs="Google Sans" w:eastAsia="Google Sans" w:hAnsi="Google Sans"/>
          <w:color w:val="1f1f1f"/>
          <w:rtl w:val="0"/>
        </w:rPr>
        <w:t xml:space="preserve"> includes compiler settings, </w:t>
      </w:r>
      <m:oMath>
        <m:sSub>
          <m:sSubPr>
            <m:ctrlPr>
              <w:rPr>
                <w:rFonts w:ascii="Google Sans" w:cs="Google Sans" w:eastAsia="Google Sans" w:hAnsi="Google Sans"/>
                <w:color w:val="1f1f1f"/>
              </w:rPr>
            </m:ctrlPr>
          </m:sSubPr>
          <m:e>
            <m:r>
              <m:t>σ</m:t>
            </m:r>
          </m:e>
          <m:sub>
            <m:r>
              <w:rPr>
                <w:rFonts w:ascii="Google Sans" w:cs="Google Sans" w:eastAsia="Google Sans" w:hAnsi="Google Sans"/>
                <w:color w:val="1f1f1f"/>
              </w:rPr>
              <m:t xml:space="preserve">0</m:t>
            </m:r>
          </m:sub>
        </m:sSub>
      </m:oMath>
      <w:r w:rsidDel="00000000" w:rsidR="00000000" w:rsidRPr="00000000">
        <w:rPr>
          <w:rFonts w:ascii="Google Sans" w:cs="Google Sans" w:eastAsia="Google Sans" w:hAnsi="Google Sans"/>
          <w:color w:val="1f1f1f"/>
          <w:rtl w:val="0"/>
        </w:rPr>
        <w:t xml:space="preserve"> captures initial compilation state, and </w:t>
      </w:r>
      <m:oMath>
        <m:r>
          <w:rPr>
            <w:rFonts w:ascii="Google Sans" w:cs="Google Sans" w:eastAsia="Google Sans" w:hAnsi="Google Sans"/>
            <w:color w:val="1f1f1f"/>
          </w:rPr>
          <m:t xml:space="preserve">b</m:t>
        </m:r>
      </m:oMath>
      <w:r w:rsidDel="00000000" w:rsidR="00000000" w:rsidRPr="00000000">
        <w:rPr>
          <w:rFonts w:ascii="Google Sans" w:cs="Google Sans" w:eastAsia="Google Sans" w:hAnsi="Google Sans"/>
          <w:color w:val="1f1f1f"/>
          <w:rtl w:val="0"/>
        </w:rPr>
        <w:t xml:space="preserve"> identifies the target backend. Together, these terms define the compilation context </w:t>
      </w:r>
      <m:oMath>
        <m:r>
          <m:t>κ</m:t>
        </m:r>
      </m:oMath>
      <w:r w:rsidDel="00000000" w:rsidR="00000000" w:rsidRPr="00000000">
        <w:rPr>
          <w:rFonts w:ascii="Google Sans" w:cs="Google Sans" w:eastAsia="Google Sans" w:hAnsi="Google Sans"/>
          <w:color w:val="1f1f1f"/>
          <w:rtl w:val="0"/>
        </w:rPr>
        <w:t xml:space="preserve">. The determinism contract guarantees identical target output for identical source code and context, including any influential module-initialization inputs. It does not require external data sources or randomized analyses to remain static across runs.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Translation correctness requires an additional empirical relation: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Obs(Exe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(s,</m:t>
        </m:r>
        <m:r>
          <w:rPr>
            <w:rFonts w:ascii="Google Sans" w:cs="Google Sans" w:eastAsia="Google Sans" w:hAnsi="Google Sans"/>
            <w:color w:val="1f1f1f"/>
          </w:rPr>
          <m:t>κ</m:t>
        </m:r>
        <m:r>
          <w:rPr>
            <w:rFonts w:ascii="Google Sans" w:cs="Google Sans" w:eastAsia="Google Sans" w:hAnsi="Google Sans"/>
            <w:color w:val="1f1f1f"/>
          </w:rPr>
          <m:t xml:space="preserve">),e))=Spec(s,e),(2)</m:t>
        </m:r>
      </m:oMath>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m:oMath>
        <m:r>
          <w:rPr>
            <w:rFonts w:ascii="Google Sans" w:cs="Google Sans" w:eastAsia="Google Sans" w:hAnsi="Google Sans"/>
            <w:color w:val="1f1f1f"/>
          </w:rPr>
          <m:t xml:space="preserve">e</m:t>
        </m:r>
      </m:oMath>
      <w:r w:rsidDel="00000000" w:rsidR="00000000" w:rsidRPr="00000000">
        <w:rPr>
          <w:rFonts w:ascii="Google Sans" w:cs="Google Sans" w:eastAsia="Google Sans" w:hAnsi="Google Sans"/>
          <w:color w:val="1f1f1f"/>
          <w:rtl w:val="0"/>
        </w:rPr>
        <w:t xml:space="preserve"> identifies the controlled execution environment and observations include outputs, errors, persistent file modifications, and relevant event order. The right-hand side must originate from an independent specification or oracle. Agreement with a compiler's own generated output is never sufficient as a standalone correctness criterion.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research reproducibility extends this record to include input data snapshots, runtime and module versions, external API responses, random number seeds, locale settings, and permission scopes. This requirement aligns with broader mandates for archiving complete computational workflows and their influential operational settings. DEAL contributes a reviewable program within that archive, not an exemption from recording the surrounding operational environment.</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Worked application: web retrieval to research-ready storage</w:t>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and data model</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 research workflow designed to monitor a structured catalog. The workflow retrieves a web page or API response, extracts records, normalizes text fields, computes a derived variable, validates strict data constraints, filters out duplicate identifiers, and stores accepted records separately from detailed rejection reasons. DEAL.JS unifies retrieval, selection, transformation, and output operations under a cohesive orchestration surface. The complete application follows the compositional form:</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W(u)=SQNXA(u),(3)</m:t>
        </m:r>
      </m:oMath>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m:oMath>
        <m:r>
          <w:rPr>
            <w:rFonts w:ascii="Google Sans" w:cs="Google Sans" w:eastAsia="Google Sans" w:hAnsi="Google Sans"/>
            <w:color w:val="1f1f1f"/>
          </w:rPr>
          <m:t xml:space="preserve">A</m:t>
        </m:r>
      </m:oMath>
      <w:r w:rsidDel="00000000" w:rsidR="00000000" w:rsidRPr="00000000">
        <w:rPr>
          <w:rFonts w:ascii="Google Sans" w:cs="Google Sans" w:eastAsia="Google Sans" w:hAnsi="Google Sans"/>
          <w:color w:val="1f1f1f"/>
          <w:rtl w:val="0"/>
        </w:rPr>
        <w:t xml:space="preserve"> acquires a source URL </w:t>
      </w:r>
      <m:oMath>
        <m:r>
          <w:rPr>
            <w:rFonts w:ascii="Google Sans" w:cs="Google Sans" w:eastAsia="Google Sans" w:hAnsi="Google Sans"/>
            <w:color w:val="1f1f1f"/>
          </w:rPr>
          <m:t xml:space="preserve">u</m:t>
        </m:r>
      </m:oMath>
      <w:r w:rsidDel="00000000" w:rsidR="00000000" w:rsidRPr="00000000">
        <w:rPr>
          <w:rFonts w:ascii="Google Sans" w:cs="Google Sans" w:eastAsia="Google Sans" w:hAnsi="Google Sans"/>
          <w:color w:val="1f1f1f"/>
          <w:rtl w:val="0"/>
        </w:rPr>
        <w:t xml:space="preserve">, </w:t>
      </w:r>
      <m:oMath>
        <m:r>
          <w:rPr>
            <w:rFonts w:ascii="Google Sans" w:cs="Google Sans" w:eastAsia="Google Sans" w:hAnsi="Google Sans"/>
            <w:color w:val="1f1f1f"/>
          </w:rPr>
          <m:t xml:space="preserve">X</m:t>
        </m:r>
      </m:oMath>
      <w:r w:rsidDel="00000000" w:rsidR="00000000" w:rsidRPr="00000000">
        <w:rPr>
          <w:rFonts w:ascii="Google Sans" w:cs="Google Sans" w:eastAsia="Google Sans" w:hAnsi="Google Sans"/>
          <w:color w:val="1f1f1f"/>
          <w:rtl w:val="0"/>
        </w:rPr>
        <w:t xml:space="preserve"> extracts raw fields, </w:t>
      </w:r>
      <m:oMath>
        <m:r>
          <w:rPr>
            <w:rFonts w:ascii="Google Sans" w:cs="Google Sans" w:eastAsia="Google Sans" w:hAnsi="Google Sans"/>
            <w:color w:val="1f1f1f"/>
          </w:rPr>
          <m:t xml:space="preserve">N</m:t>
        </m:r>
      </m:oMath>
      <w:r w:rsidDel="00000000" w:rsidR="00000000" w:rsidRPr="00000000">
        <w:rPr>
          <w:rFonts w:ascii="Google Sans" w:cs="Google Sans" w:eastAsia="Google Sans" w:hAnsi="Google Sans"/>
          <w:color w:val="1f1f1f"/>
          <w:rtl w:val="0"/>
        </w:rPr>
        <w:t xml:space="preserve"> normalizes data and derives variables, </w:t>
      </w:r>
      <m:oMath>
        <m:r>
          <w:rPr>
            <w:rFonts w:ascii="Google Sans" w:cs="Google Sans" w:eastAsia="Google Sans" w:hAnsi="Google Sans"/>
            <w:color w:val="1f1f1f"/>
          </w:rPr>
          <m:t xml:space="preserve">Q</m:t>
        </m:r>
      </m:oMath>
      <w:r w:rsidDel="00000000" w:rsidR="00000000" w:rsidRPr="00000000">
        <w:rPr>
          <w:rFonts w:ascii="Google Sans" w:cs="Google Sans" w:eastAsia="Google Sans" w:hAnsi="Google Sans"/>
          <w:color w:val="1f1f1f"/>
          <w:rtl w:val="0"/>
        </w:rPr>
        <w:t xml:space="preserve"> validates constraints and deduplicates records, and </w:t>
      </w:r>
      <m:oMath>
        <m:r>
          <w:rPr>
            <w:rFonts w:ascii="Google Sans" w:cs="Google Sans" w:eastAsia="Google Sans" w:hAnsi="Google Sans"/>
            <w:color w:val="1f1f1f"/>
          </w:rPr>
          <m:t xml:space="preserve">S</m:t>
        </m:r>
      </m:oMath>
      <w:r w:rsidDel="00000000" w:rsidR="00000000" w:rsidRPr="00000000">
        <w:rPr>
          <w:rFonts w:ascii="Google Sans" w:cs="Google Sans" w:eastAsia="Google Sans" w:hAnsi="Google Sans"/>
          <w:color w:val="1f1f1f"/>
          <w:rtl w:val="0"/>
        </w:rPr>
        <w:t xml:space="preserve"> serializes and stores outputs. The output preserves both accepted records and explicit rejection logs. This modular decomposition keeps domain policies transparent while allowing acquisition and storage implementations to be swapped independently.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demonstration utilizes five synthetic records designed to test specific data policies. A valid record requires a nonempty identifier and title, a finite nonnegative main price, a finite discount within </w:t>
      </w:r>
      <m:oMath>
        <m:r>
          <w:rPr>
            <w:rFonts w:ascii="Google Sans" w:cs="Google Sans" w:eastAsia="Google Sans" w:hAnsi="Google Sans"/>
            <w:color w:val="1f1f1f"/>
          </w:rPr>
          <m:t xml:space="preserve">[0,1]</m:t>
        </m:r>
      </m:oMath>
      <w:r w:rsidDel="00000000" w:rsidR="00000000" w:rsidRPr="00000000">
        <w:rPr>
          <w:rFonts w:ascii="Google Sans" w:cs="Google Sans" w:eastAsia="Google Sans" w:hAnsi="Google Sans"/>
          <w:color w:val="1f1f1f"/>
          <w:rtl w:val="0"/>
        </w:rPr>
        <w:t xml:space="preserve">, and a nonnegative integer quantity. The derived net price is calculated as: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p</m:t>
            </m:r>
          </m:e>
          <m:sub>
            <m:r>
              <w:rPr>
                <w:rFonts w:ascii="Google Sans" w:cs="Google Sans" w:eastAsia="Google Sans" w:hAnsi="Google Sans"/>
                <w:color w:val="1f1f1f"/>
              </w:rPr>
              <m:t xml:space="preserve">net</m:t>
            </m:r>
          </m:sub>
        </m:sSub>
        <m:r>
          <w:rPr>
            <w:rFonts w:ascii="Google Sans" w:cs="Google Sans" w:eastAsia="Google Sans" w:hAnsi="Google Sans"/>
            <w:color w:val="1f1f1f"/>
          </w:rPr>
          <m:t xml:space="preserve">=roun</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d</m:t>
            </m:r>
          </m:e>
          <m:sub>
            <m:r>
              <w:rPr>
                <w:rFonts w:ascii="Google Sans" w:cs="Google Sans" w:eastAsia="Google Sans" w:hAnsi="Google Sans"/>
                <w:color w:val="1f1f1f"/>
              </w:rPr>
              <m:t xml:space="preserve">2</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p</m:t>
            </m:r>
          </m:e>
          <m:sub>
            <m:r>
              <w:rPr>
                <w:rFonts w:ascii="Google Sans" w:cs="Google Sans" w:eastAsia="Google Sans" w:hAnsi="Google Sans"/>
                <w:color w:val="1f1f1f"/>
              </w:rPr>
              <m:t xml:space="preserve">main</m:t>
            </m:r>
          </m:sub>
        </m:sSub>
        <m:r>
          <w:rPr>
            <w:rFonts w:ascii="Google Sans" w:cs="Google Sans" w:eastAsia="Google Sans" w:hAnsi="Google Sans"/>
            <w:color w:val="1f1f1f"/>
          </w:rPr>
          <m:t xml:space="preserve">(1-d)).(4)</m:t>
        </m:r>
      </m:oMath>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 numeric values are strictly rejected rather than silently coerced to zero. Duplicate handling retains the first valid occurrence of any identifier, ensuring that an invalid row does not block a subsequent valid row with the same identifier.</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5. Input conditions and expected outcomes in the synthetic catalog.</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record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outcome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1</m:t>
                  </m:r>
                </m:sub>
              </m:sSub>
            </m:oMath>
            <w:r w:rsidDel="00000000" w:rsidR="00000000" w:rsidRPr="00000000">
              <w:rPr>
                <w:rFonts w:ascii="Google Sans" w:cs="Google Sans" w:eastAsia="Google Sans" w:hAnsi="Google Sans"/>
                <w:color w:val="1f1f1f"/>
                <w:rtl w:val="0"/>
              </w:rPr>
              <w:t xml:space="preserve">, padded title Alpha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 normalized title; net price 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Duplicate </w:t>
            </w: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1</m:t>
                  </m:r>
                </m:sub>
              </m:sSub>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 as duplicate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2</m:t>
                  </m:r>
                </m:sub>
              </m:sSub>
            </m:oMath>
            <w:r w:rsidDel="00000000" w:rsidR="00000000" w:rsidRPr="00000000">
              <w:rPr>
                <w:rFonts w:ascii="Google Sans" w:cs="Google Sans" w:eastAsia="Google Sans" w:hAnsi="Google Sans"/>
                <w:color w:val="1f1f1f"/>
                <w:rtl w:val="0"/>
              </w:rPr>
              <w:t xml:space="preserve">, full-width initial character in Ｂeta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 as Beta study; preserve zero price and quantity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3</m:t>
                  </m:r>
                </m:sub>
              </m:sSub>
            </m:oMath>
            <w:r w:rsidDel="00000000" w:rsidR="00000000" w:rsidRPr="00000000">
              <w:rPr>
                <w:rFonts w:ascii="Google Sans" w:cs="Google Sans" w:eastAsia="Google Sans" w:hAnsi="Google Sans"/>
                <w:color w:val="1f1f1f"/>
                <w:rtl w:val="0"/>
              </w:rPr>
              <w:t xml:space="preserve">, missing main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 as invalid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4</m:t>
                  </m:r>
                </m:sub>
              </m:sSub>
            </m:oMath>
            <w:r w:rsidDel="00000000" w:rsidR="00000000" w:rsidRPr="00000000">
              <w:rPr>
                <w:rFonts w:ascii="Google Sans" w:cs="Google Sans" w:eastAsia="Google Sans" w:hAnsi="Google Sans"/>
                <w:color w:val="1f1f1f"/>
                <w:rtl w:val="0"/>
              </w:rPr>
              <w:t xml:space="preserve">, discount outside permitted interval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 as invalid</w:t>
            </w:r>
          </w:p>
        </w:tc>
      </w:tr>
    </w:tbl>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Figure 4 outlines these five responsibilities. While retrieval mechanisms may shift between an API client and a browser adapter, the normalization, validation, and storage contracts remain completely invariant. This clean separation supports rigorous scientific review, allowing researchers to inspect both what data were acquired and how records were transformed or excluded.</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4. Research-data workflow expressed through DEAL orchestration and reusable implementations. Accepted records retain provenance fields and rejected records retain source-row identifiers and reasons. Snapshot hashes, acquisition logs, and version manifests supplement the pipeline when it is used in a reproducible study. AI assistance: Perplexity Computer (GPT 6.1 Sol), SVG-code preparation.</w:t>
      </w:r>
    </w:p>
    <w:p w:rsidR="00000000" w:rsidDel="00000000" w:rsidP="00000000" w:rsidRDefault="00000000" w:rsidRPr="00000000" w14:paraId="0000013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Acquisition and extraction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scraper vocabulary includes FETCH for HTTP request/response interactions, LOAD for loading a page into the active context, selectors like ALL, and contextual identifiers including DOCUMENT, RESPONSE, LOADED, and FETCHED. Listing 3 expresses retrieval, selection, and output in a single fluid sequence, where source and destination parameters identify acquisition targets and file outputs.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USE deal;</w:t>
        <w:br w:type="textWrapping"/>
        <w:t xml:space="preserve">USE scraper;</w:t>
        <w:br w:type="textWrapping"/>
        <w:t xml:space="preserve">FOR EACH url OF sources,</w:t>
        <w:br w:type="textWrapping"/>
        <w:t xml:space="preserve">    LOAD url,</w:t>
        <w:br w:type="textWrapping"/>
        <w:t xml:space="preserve">    THEN APPEND ALL "h3.title", TO destination;</w:t>
        <w:br w:type="textWrapping"/>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3. Retrieval, title selection, and output through the load-select-append idiom. A multi-source workflow additionally requires an explicit completion and context-isolation policy.</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structured extraction, an author-defined JavaScript helper receives a document and source identifier explicitly. It selects table.catalog tbody tr, reads each row's data-id, and extracts .title, .price, .discount, and .quantity fields. This avoids embedding contextual handlers directly inside normalization logic, keeping DOM selectors cleanly separated from scientific data processing rules.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API-first variant should convert incoming responses into a standardized plain-record schema before normalization. With standard JavaScript Response objects, JSON parsing is inherently asynchronous and must be awaited or returned within a promise chain; explicit promise chaining and aggregation establish clear completion boundaries. API and DOM extraction are interchangeable only after their respective adapters satisfy a common input schema, not merely because they point to the same web page.</w:t>
      </w:r>
    </w:p>
    <w:p w:rsidR="00000000" w:rsidDel="00000000" w:rsidP="00000000" w:rsidRDefault="00000000" w:rsidRPr="00000000" w14:paraId="0000013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Preprocessing, processing, and persistence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 4 composes the end-to-end single-page workflow. Domain-specific functions extract raw records, enforce data contracts, and serialize accepted outputs; cleanRecords encapsulates normalization inside a reusable DEAL command. Persistence relies on the local resource module, keeping storage side effects explicit at the orchestration level.</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USE deal;</w:t>
        <w:br w:type="textWrapping"/>
        <w:t xml:space="preserve">USE scraper;</w:t>
        <w:br w:type="textWrapping"/>
        <w:t xml:space="preserve">USE deal/data/local;</w:t>
        <w:br w:type="textWrapping"/>
        <w:t xml:space="preserve">USE "./deal-case-helpers.js";</w:t>
        <w:br w:type="textWrapping"/>
        <w:br w:type="textWrapping"/>
        <w:t xml:space="preserve">COMMAND cleanRecords(rows = [], source = "", time = "") {</w:t>
        <w:br w:type="textWrapping"/>
        <w:t xml:space="preserve">    return normalizeRecords(rows, source, time);</w:t>
        <w:br w:type="textWrapping"/>
        <w:t xml:space="preserve">}</w:t>
        <w:br w:type="textWrapping"/>
        <w:br w:type="textWrapping"/>
        <w:t xml:space="preserve">ASSUME CONST sourceURL IS "https://example.org/catalog";</w:t>
        <w:br w:type="textWrapping"/>
        <w:t xml:space="preserve">ASSUME CONST destination IS "results/catalog.jsonl";</w:t>
        <w:br w:type="textWrapping"/>
        <w:br w:type="textWrapping"/>
        <w:t xml:space="preserve">LOAD sourceURL,</w:t>
        <w:br w:type="textWrapping"/>
        <w:t xml:space="preserve">THEN BEGIN</w:t>
        <w:br w:type="textWrapping"/>
        <w:t xml:space="preserve">    ASSUME CONST capturedAt IS new Date().toISOString();</w:t>
        <w:br w:type="textWrapping"/>
        <w:t xml:space="preserve">    ASSUME CONST rawRows IS extractRows(DOCUMENT, sourceURL);</w:t>
        <w:br w:type="textWrapping"/>
        <w:t xml:space="preserve">    ASSUME CONST report IS cleanRecords(rawRows, sourceURL, capturedAt);</w:t>
        <w:br w:type="textWrapping"/>
        <w:t xml:space="preserve">    </w:t>
        <w:br w:type="textWrapping"/>
        <w:t xml:space="preserve">    local.save(toJSONL(report.accepted), destination);</w:t>
        <w:br w:type="textWrapping"/>
        <w:t xml:space="preserve">    local.save(JSON.stringify(report.rejected), "results/rejected.json");</w:t>
        <w:br w:type="textWrapping"/>
        <w:t xml:space="preserve">END;</w:t>
        <w:br w:type="textWrapping"/>
        <w:t xml:space="preserve">OTHERWISE BEGIN</w:t>
        <w:br w:type="textWrapping"/>
        <w:t xml:space="preserve">    throw new Error("Retrieval failed: " + sourceURL);</w:t>
        <w:br w:type="textWrapping"/>
        <w:t xml:space="preserve">END;</w:t>
        <w:br w:type="textWrapping"/>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4. DEAL.JS orchestration for acquisition, normalization, validation, and storage. The domain functions are defined for the case study; example.org represents a configurable endpoint rather than a measured acquisition source.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helper explicitly decouples validation from duplicate detection, marking an identifier as seen </w:t>
      </w:r>
      <w:r w:rsidDel="00000000" w:rsidR="00000000" w:rsidRPr="00000000">
        <w:rPr>
          <w:rFonts w:ascii="Google Sans" w:cs="Google Sans" w:eastAsia="Google Sans" w:hAnsi="Google Sans"/>
          <w:i w:val="1"/>
          <w:iCs w:val="1"/>
          <w:color w:val="1f1f1f"/>
          <w:rtl w:val="0"/>
        </w:rPr>
        <w:t xml:space="preserve">only after</w:t>
      </w:r>
      <w:r w:rsidDel="00000000" w:rsidR="00000000" w:rsidRPr="00000000">
        <w:rPr>
          <w:rFonts w:ascii="Google Sans" w:cs="Google Sans" w:eastAsia="Google Sans" w:hAnsi="Google Sans"/>
          <w:color w:val="1f1f1f"/>
          <w:rtl w:val="0"/>
        </w:rPr>
        <w:t xml:space="preserve"> validation succeeds. Consequently, an invalid early record does not prevent the acceptance of a later valid record sharing the same identifier. Unicode normalization, whitespace collapse, interval checks, numeric finiteness checks, and integer quantity rules constitute transparent operational policies that domain researchers can audit independently of the orchestration script.</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outputs are formatted as JSON Lines for accepted records and a separate JSON file for rejection logs. Each accepted record includes source_url, retrieved_at, and schema_version metadata; a rigorous research run should additionally archive raw response payloads, cryptographic content hashes, module manifests, compiler versions, and permission scopes. These practices operationalize the core provenance and reuse principles emphasized in FAIR guidelines.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Persistence can also be decoupled from document manipulation via a connector interface: the JavaScript ChainDoc layer supports connector-based storage and row/line access. An in-memory connector is used in our case-validation experiment to isolate serialization and storage behavior from underlying filesystem and network variability.</w:t>
      </w:r>
    </w:p>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contracts and rejection semantics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6 specifies the application's preprocessing and storage rules. These rules form part of the formal domain contract rather than the language grammar, enabling researchers to review them independently of the underlying web pages or APIs supplying the raw data.</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6. Accepted-record schema and rejection policy for the synthetic case.</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Field or decision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Rationale or limitation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 title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Trim identifier; normalize title with NFKC and collapsed whitespace; require both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Full-width characters normalize; identifier case is preserved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main_price, discount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Finite price at least zero; finite discount in [0,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Missing/blank values are invalid, never silently coerced to zero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quantity, net_price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Nonnegative safe-integer quantity; net price rounded to two decimal places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 zeros survive; rounding is an explicit case policy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Duplicate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Retain the first valid record per identifier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Invalid records do not consume or reserve an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Provenance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source_url, retrieved_at, schema_version on accepted rows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 timestamp is synthetic; proves no live retrieval event occurred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Rejected records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One-based source_row and rejection reason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Compact rejection log; raw inputs require separate archiving</w:t>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Figure 5 highlights the critical ordering required for duplicate handling. Validation must precede insertion into the seen-identifier set; reversing these steps would corrupt operational behavior. Furthermore, retaining raw input snapshots separately remains essential because compact rejection logs cannot reconstruct excluded source data.</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5. Record validation in the application data contract. Invalid fields or a previously accepted identifier cause rejection; otherwise, the identifier is registered and the record enters the accepted output. Validation therefore precedes duplicate registration. AI assistance: Perplexity Computer (GPT 6.1 Sol), SVG-code preparation.</w:t>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Completion and failure policy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readability must never obscure strict ordering requirements. DEAL’s continuation suffixes map directly to underlying JavaScript promise methods, ensuring that success and failure paths are evaluated in terms of true promise completion rather than assumed multithreading. A run is complete only when retrieval, normalization, and all mandatory persistence operations have successfully finished.</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single-page example avoids concurrent mutation of the DOCUMENT context. Multi-page workflows must either await each page sequentially or provide isolated document contexts and aggregate all returned promises. Moreover, robust research protocols should define bounded retry limits, timeouts, error propagation rules, partial-output handling, and stable identifiers for reruns; merely logging a success message after launching unmonitored asynchronous requests is never an adequate completion criterion.</w:t>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examples and contribution analysis</w:t>
      </w:r>
    </w:p>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Matched collection task</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 5 compares a standard programming task across four notations: iterating over a three-value collection in order. DEAL expresses the loop using readable structural keywords, JavaScript and Python rely on native iteration constructs, and _hyperscript uses an English-like collection loop. This comparison isolates representational style while keeping computational intent constant.</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DEAL.JS</w:t>
        <w:br w:type="textWrapping"/>
        <w:t xml:space="preserve">ASSUME CONST values IS [1, 2, 3];</w:t>
        <w:br w:type="textWrapping"/>
        <w:t xml:space="preserve">FOR EACH value OF values, BEGIN</w:t>
        <w:br w:type="textWrapping"/>
        <w:t xml:space="preserve">    console.log(value);</w:t>
        <w:br w:type="textWrapping"/>
        <w:t xml:space="preserve">END;</w:t>
        <w:br w:type="textWrapping"/>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JavaScript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values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value </w:t>
      </w:r>
      <w:r w:rsidDel="00000000" w:rsidR="00000000" w:rsidRPr="00000000">
        <w:rPr>
          <w:rFonts w:ascii="Google Sans" w:cs="Google Sans" w:eastAsia="Google Sans" w:hAnsi="Google Sans"/>
          <w:i w:val="0"/>
          <w:iCs w:val="0"/>
          <w:color w:val="969dff"/>
          <w:sz w:val="20"/>
          <w:szCs w:val="20"/>
          <w:shd w:fill="141414" w:val="clear"/>
          <w:rtl w:val="0"/>
        </w:rPr>
        <w:t xml:space="preserve">of</w:t>
      </w:r>
      <w:r w:rsidDel="00000000" w:rsidR="00000000" w:rsidRPr="00000000">
        <w:rPr>
          <w:rFonts w:ascii="Google Sans" w:cs="Google Sans" w:eastAsia="Google Sans" w:hAnsi="Google Sans"/>
          <w:color w:val="1f1f1f"/>
          <w:shd w:fill="141414" w:val="clear"/>
          <w:rtl w:val="0"/>
        </w:rPr>
        <w:t xml:space="preserve"> values)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.log(value);</w:t>
        <w:br w:type="textWrapping"/>
        <w:t xml:space="preserve">}</w:t>
        <w:br w:type="textWrapping"/>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Python</w:t>
      </w:r>
      <w:r w:rsidDel="00000000" w:rsidR="00000000" w:rsidRPr="00000000">
        <w:rPr>
          <w:rFonts w:ascii="Google Sans" w:cs="Google Sans" w:eastAsia="Google Sans" w:hAnsi="Google Sans"/>
          <w:color w:val="1f1f1f"/>
          <w:shd w:fill="141414" w:val="clear"/>
          <w:rtl w:val="0"/>
        </w:rPr>
        <w:br w:type="textWrapping"/>
        <w:t xml:space="preserve">values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value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values:</w:t>
        <w:br w:type="textWrapping"/>
        <w:t xml:space="preserve">    print(value)</w:t>
        <w:br w:type="textWrapping"/>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_hyperscript</w:t>
        <w:br w:type="textWrapping"/>
        <w:t xml:space="preserve">repeat for value in [1, 2, 3]</w:t>
        <w:br w:type="textWrapping"/>
        <w:t xml:space="preserve">    log value</w:t>
        <w:br w:type="textWrapping"/>
        <w:t xml:space="preserve">end</w:t>
        <w:br w:type="textWrapping"/>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5. Equivalent iteration intent across four notations. The DEAL form exposes declaration and iteration using readable keywords, but the Python and _hyperscript forms also show that readability is not unique to DEAL.</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LiveCode’s corresponding text-container example uses repeat for each item value in values ... end repeat, operating on comma-delimited strings rather than native JavaScript arrays. Such representational differences must be carefully controlled in empirical studies: a fair task comparison requires aligning underlying operations and data semantics, not just surface visual similarity.</w:t>
      </w:r>
    </w:p>
    <w:p w:rsidR="00000000" w:rsidDel="00000000" w:rsidP="00000000" w:rsidRDefault="00000000" w:rsidRPr="00000000" w14:paraId="0000017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Extension mechanisms and web computation</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 6 demonstrates why SugarJ is an architectural comparator rather than a purely stylistic one. An imported sugar library introduces custom pair types and expressions that desugar into standard Java representations, whereas DEAL’s replacement reserves simply adapt human vocabulary to express existing computational structures.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SugarJ</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pair.Sugar;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Test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(String, Integer) p = (</w:t>
      </w:r>
      <w:r w:rsidDel="00000000" w:rsidR="00000000" w:rsidRPr="00000000">
        <w:rPr>
          <w:rFonts w:ascii="Google Sans" w:cs="Google Sans" w:eastAsia="Google Sans" w:hAnsi="Google Sans"/>
          <w:i w:val="0"/>
          <w:iCs w:val="0"/>
          <w:color w:val="60d673"/>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34</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DEAL.JS Vocabulary Adaptation</w:t>
        <w:br w:type="textWrapping"/>
        <w:t xml:space="preserve">RESERVE every AS "for";</w:t>
        <w:br w:type="textWrapping"/>
        <w:t xml:space="preserve">RESERVE the;</w:t>
        <w:br w:type="textWrapping"/>
        <w:t xml:space="preserve">every item OF the values, console.log(item);</w:t>
        <w:br w:type="textWrapping"/>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6. Two distinct extension levels: grammar/desugaring extension in SugarJ and vocabulary adaptation in DEAL. The comparison supports a lightweight-extension design choice, not a claim of equivalent extensibility.</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WebL pioneered integrated page retrieval, element operations, and markup algebra for web document processing. Listing 7 places WebL’s page/element abstraction alongside DEAL’s load/select orchestration idiom. Both select third-level heading elements, differing primarily in the underlying language abstractions used to manage documents and outputs.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WebL-style notation</w:t>
        <w:br w:type="textWrapping"/>
        <w:t xml:space="preserve">page := getpage("https://example.org/catalog");</w:t>
        <w:br w:type="textWrapping"/>
        <w:t xml:space="preserve">titles := page.Elem("H3");</w:t>
        <w:br w:type="textWrapping"/>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DEAL.JS orchestration idiom</w:t>
        <w:br w:type="textWrapping"/>
        <w:t xml:space="preserve">LOAD "https://example.org/catalog",</w:t>
        <w:br w:type="textWrapping"/>
        <w:t xml:space="preserve">THEN APPEND ALL "h3", TO destination;</w:t>
        <w:br w:type="textWrapping"/>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7. Heading-element selection in WebL-style notation and DEAL.JS. The examples align element-selection intent while retaining their respective document and output models.</w:t>
      </w:r>
    </w:p>
    <w:p w:rsidR="00000000" w:rsidDel="00000000" w:rsidP="00000000" w:rsidRDefault="00000000" w:rsidRPr="00000000" w14:paraId="0000019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Innovation and field-level contribution</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core innovation is an integrated communication architecture featuring explicit extension boundaries. A shared source artifact makes AI-generated proposals fully editable and reviewable; domain commands encapsulate reusable scientific operations; and mixed-source interoperability enables gradual adoption alongside existing JavaScript codebases. These mechanisms directly bridge the practical divide between a researcher’s scientific description of a method and the software executing it.</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additional contribution is the clean separation of conceptual operations, human-facing vocabulary, and target implementation technology. A domain module can maintain its operational contract while researchers employ different terminology, and the DEAL model can guide implementations in other programming languages. Consequently, research workflows become inspectable review objects where data acquisition, exclusion, transformation, and persistence decisions remain permanently linked to a single source representation.</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DEAL.JS successfully realizes these mechanisms in a working language and compiler. Their scientific value rests on this integrated representation and its formal contracts, rather than on any individual keyword, scraper operation, or translation technique. Our evaluation framework rigorously tests both the correctness of this representation and its practical utility for human users.</w:t>
      </w:r>
    </w:p>
    <w:p w:rsidR="00000000" w:rsidDel="00000000" w:rsidP="00000000" w:rsidRDefault="00000000" w:rsidRPr="00000000" w14:paraId="0000019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Multilingual vocabulary and implementation in other languages</w:t>
      </w:r>
    </w:p>
    <w:p w:rsidR="00000000" w:rsidDel="00000000" w:rsidP="00000000" w:rsidRDefault="00000000" w:rsidRPr="00000000" w14:paraId="0000019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Vocabulary localization without changing the task</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Vocabulary modules allow alternative human-language expressions to refer to identical underlying computational operations. This mechanism directly addresses barriers related to English-language dominance, technical communication friction, and the cognitive load of programming keywords. Nonetheless, localization should remain strictly user-selectable: a replication study involving Finnish participants with strong English skills revealed limited native-language performance effects, proving that benefits cannot be assumed uniformly across all populations.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 8 illustrates Spanish and French surface forms using replacement reserves and readability words. User identifiers and logging calls remain untouched, cleanly isolating vocabulary adaptation from core computation. These fragments demonstrate the mechanism rather than representing fully validated locale packages.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Spanish vocabulary fragment</w:t>
        <w:br w:type="textWrapping"/>
        <w:t xml:space="preserve">RESERVE para AS "for";</w:t>
        <w:br w:type="textWrapping"/>
        <w:t xml:space="preserve">RESERVE cada;</w:t>
        <w:br w:type="textWrapping"/>
        <w:t xml:space="preserve">RESERVE de AS "of";</w:t>
        <w:br w:type="textWrapping"/>
        <w:t xml:space="preserve">para cada value de values, console.log(value);</w:t>
        <w:br w:type="textWrapping"/>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French vocabulary fragment</w:t>
        <w:br w:type="textWrapping"/>
        <w:t xml:space="preserve">RESERVE pour AS "for";</w:t>
        <w:br w:type="textWrapping"/>
        <w:t xml:space="preserve">RESERVE chaque;</w:t>
        <w:br w:type="textWrapping"/>
        <w:t xml:space="preserve">RESERVE de AS "of";</w:t>
        <w:br w:type="textWrapping"/>
        <w:t xml:space="preserve">pour chaque value de values, console.log(value);</w:t>
        <w:br w:type="textWrapping"/>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8. Two localized surfaces for the same canonical iteration. These fragments are alternatives and should be loaded as separate locale configurations rather than indiscriminately mixed.</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$\mathcal{N}_\ell$ map source text written in vocabulary $\ell$ into canonical DEAL source. Vocabulary equivalence is formally satisfied when:</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es</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s</m:t>
            </m:r>
          </m:e>
          <m:sub>
            <m:r>
              <w:rPr>
                <w:rFonts w:ascii="Google Sans" w:cs="Google Sans" w:eastAsia="Google Sans" w:hAnsi="Google Sans"/>
                <w:color w:val="1f1f1f"/>
              </w:rPr>
              <m:t xml:space="preserve">es</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fr</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s</m:t>
            </m:r>
          </m:e>
          <m:sub>
            <m:r>
              <w:rPr>
                <w:rFonts w:ascii="Google Sans" w:cs="Google Sans" w:eastAsia="Google Sans" w:hAnsi="Google Sans"/>
                <w:color w:val="1f1f1f"/>
              </w:rPr>
              <m:t xml:space="preserve">fr</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s</m:t>
            </m:r>
          </m:e>
          <m:sub>
            <m:r>
              <w:rPr>
                <w:rFonts w:ascii="Google Sans" w:cs="Google Sans" w:eastAsia="Google Sans" w:hAnsi="Google Sans"/>
                <w:color w:val="1f1f1f"/>
              </w:rPr>
              <m:t xml:space="preserve">c</m:t>
            </m:r>
          </m:sub>
        </m:sSub>
        <m:r>
          <w:rPr>
            <w:rFonts w:ascii="Google Sans" w:cs="Google Sans" w:eastAsia="Google Sans" w:hAnsi="Google Sans"/>
            <w:color w:val="1f1f1f"/>
          </w:rPr>
          <m:t xml:space="preserve">.(5)</m:t>
        </m:r>
      </m:oMath>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fixed canonical compilation context, identically normalized inputs guarantee identical target artifacts. This cleanly separates localization from execution semantics: an alias module must preserve canonical meaning rather than merely supplying a literal translation.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complete localization design must also protect string literals and identifiers, manage Unicode collisions and case behavior, document phrase boundaries, and emit intelligible diagnostic messages. Translation must preserve the scientific task rather than translating every token literally. Native-speaker reviews, bilingual examples, and rigorous equivalence testing are essential to determine whether localized commands genuinely assist a given researcher community.</w:t>
      </w:r>
    </w:p>
    <w:p w:rsidR="00000000" w:rsidDel="00000000" w:rsidP="00000000" w:rsidRDefault="00000000" w:rsidRPr="00000000" w14:paraId="000001B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Reimplementation and target-language portability</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DEAL model supports two distinct forms of reuse. A language implementer can replicate its structures, commands, vocabulary rules, and contextual interfaces in another host language such as Python, Java, or Rust. Independently, a compiler implementer can build a backend that translates a supported DEAL subset into an alternative target language. DEAL.JS provides the concrete JavaScript realization; our model and semantic contracts define what any alternative realization must preserve.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Configurable compilation and execution stages provide architectural reuse points, while DEAL.JS supplies JavaScript-oriented translation behavior. Figure 6 separates vocabulary normalization, canonical structure, and target realization. While the JavaScript backend is fully implemented, expanding to additional target languages represents a distinct development pathway.</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6. Separation of vocabulary adaptation, canonical language structure, and backend realization. The current concrete target is JavaScript. Other targets require explicit semantic mappings and should reject or isolate embedded JavaScript outside the portable subset. AI assistance: Perplexity Computer (GPT 6.1 Sol), SVG-code preparation.</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any portable program </w:t>
      </w:r>
      <m:oMath>
        <m:r>
          <w:rPr>
            <w:rFonts w:ascii="Google Sans" w:cs="Google Sans" w:eastAsia="Google Sans" w:hAnsi="Google Sans"/>
            <w:color w:val="1f1f1f"/>
          </w:rPr>
          <m:t xml:space="preserve">p</m:t>
        </m:r>
      </m:oMath>
      <w:r w:rsidDel="00000000" w:rsidR="00000000" w:rsidRPr="00000000">
        <w:rPr>
          <w:rFonts w:ascii="Google Sans" w:cs="Google Sans" w:eastAsia="Google Sans" w:hAnsi="Google Sans"/>
          <w:color w:val="1f1f1f"/>
          <w:rtl w:val="0"/>
        </w:rPr>
        <w:t xml:space="preserve">, the cross-backend preservation condition is defined as: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Obs(Exe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a</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a</m:t>
            </m:r>
          </m:sub>
        </m:sSub>
        <m:r>
          <w:rPr>
            <w:rFonts w:ascii="Google Sans" w:cs="Google Sans" w:eastAsia="Google Sans" w:hAnsi="Google Sans"/>
            <w:color w:val="1f1f1f"/>
          </w:rPr>
          <m:t xml:space="preserve">(p),</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a</m:t>
            </m:r>
          </m:sub>
        </m:sSub>
        <m:r>
          <w:rPr>
            <w:rFonts w:ascii="Google Sans" w:cs="Google Sans" w:eastAsia="Google Sans" w:hAnsi="Google Sans"/>
            <w:color w:val="1f1f1f"/>
          </w:rPr>
          <m:t xml:space="preserve">))=Obs(Exe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(p),</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)).(6)</m:t>
        </m:r>
      </m:oMath>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environments and observation definitions must be strictly aligned. Numeric precision, string handling, missing-value semantics, event ordering, exception handling, asynchronous effects, and storage encodings form core parts of this contract. A backend-neutral subset makes these obligations manageable, whereas arbitrary embedded JavaScript remains a host-specific escape boundary.</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separation offers a valuable contribution to software language engineering: a domain operation like normalization can maintain a stable, documented contract while its vocabulary and runtime implementation evolve. It also clarifies the inherent limits of unrestricted host interoperability; a program containing arbitrary native JavaScript cannot be automatically ported to a backend whose host language differs.</w:t>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strategy and evaluation methodology</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testing strategy deliberately separates implementation behavior from collaborative utility. Language conformance addresses translation and execution correctness, application correctness governs the research data contract, and utility measures how effectively humans or AI systems construct and review workflows. While our executed results focus on the synthetic catalog's data contract, our broader testing protocols establish the empirical evidence required for future comparative claims.</w:t>
      </w:r>
    </w:p>
    <w:p w:rsidR="00000000" w:rsidDel="00000000" w:rsidP="00000000" w:rsidRDefault="00000000" w:rsidRPr="00000000" w14:paraId="000001B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conformance and regression</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Conformance testing links source constructions to independently specified observations. DEAL-specific, native JavaScript, and mixed-source stress cases exercise core structures, custom commands, expressions, nesting depth, and execution continuations. Table 7 organizes these categories around test constructions and semantic oracles. Successful translation is evaluated against specified operational effects, not merely by surface resemblance to a stored target file.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7. Conformance categories, test constructions, and semantic oracles.</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Language 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Test construction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Semantic oracle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structures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Isolated declarations, branches, loops, and exception paths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bindings, outputs, termination, and error states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Embedded JavaScript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Matched native and mixed-source programs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Agreement with specified JavaScript execution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Nested control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Combinations of blocks, scopes, and continuations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Binding visibility, effect order, and completion guarantees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Commands and vocabulary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Reusable operations, aliases, and readability 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Stable operation contracts and equivalent canonical meaning</w:t>
            </w:r>
          </w:p>
        </w:tc>
      </w:tr>
    </w:tbl>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7. Proposed full-system regression protocol. A controlled fixture and independent oracle drive compilation and execution; observations are compared before recording a pass or capturing a failure. The protocol extends functional application checks to whole-language behavior. AI assistance: Perplexity Computer (GPT 6.1 Sol), SVG-code preparation.</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reproducible conformance protocol initializes from a controlled compiler state, records generated source code and diagnostics, and executes under an explicit host contract. Independent oracles cover outputs, exceptions, persistent storage side-effects, and asynchronous completion. Malformed syntax, missing modules, conflicting vocabulary declarations, and unsupported host operations are treated as negative test cases: expected failure behavior is part of the language contract, not an incidental implementation artifact.</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test suite should be decomposed into minimal tests grouped by declarations, branching, iteration, commands, reserves, handlers, collection operators, module loading, and embedded JavaScript. Property-based and metamorphic testing can verify transformations such as adding declared noise words, altering permitted command capitalization, or applying validated locale aliases. Expanding independent test suites is crucial, as initial test sets frequently overestimate program correctness.</w:t>
      </w:r>
    </w:p>
    <w:p w:rsidR="00000000" w:rsidDel="00000000" w:rsidP="00000000" w:rsidRDefault="00000000" w:rsidRPr="00000000" w14:paraId="000001D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correctness and extraction quality</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catalog case provides deterministic expected outcomes for data normalization, schema validation, serialization, and in-memory persistence. These checks assess application data contracts independently of live web acquisition. Extraction accuracy requires a separate, rigorous comparison between acquired fields and independently annotated source documents.</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Extraction evaluation utilizes HTML and JSON fixtures featuring manually annotated records and fields. Critical test cases include missing fields, altered element order, duplicate rows, pagination boundaries, encoding variations, and malformed numeric data. If </w:t>
      </w:r>
      <m:oMath>
        <m:r>
          <w:rPr>
            <w:rFonts w:ascii="Google Sans" w:cs="Google Sans" w:eastAsia="Google Sans" w:hAnsi="Google Sans"/>
            <w:color w:val="1f1f1f"/>
          </w:rPr>
          <m:t xml:space="preserve">R</m:t>
        </m:r>
      </m:oMath>
      <w:r w:rsidDel="00000000" w:rsidR="00000000" w:rsidRPr="00000000">
        <w:rPr>
          <w:rFonts w:ascii="Google Sans" w:cs="Google Sans" w:eastAsia="Google Sans" w:hAnsi="Google Sans"/>
          <w:color w:val="1f1f1f"/>
          <w:rtl w:val="0"/>
        </w:rPr>
        <w:t xml:space="preserve"> represents the retrieved record set and </w:t>
      </w:r>
      <m:oMath>
        <m:r>
          <w:rPr>
            <w:rFonts w:ascii="Google Sans" w:cs="Google Sans" w:eastAsia="Google Sans" w:hAnsi="Google Sans"/>
            <w:color w:val="1f1f1f"/>
          </w:rPr>
          <m:t xml:space="preserve">G</m:t>
        </m:r>
      </m:oMath>
      <w:r w:rsidDel="00000000" w:rsidR="00000000" w:rsidRPr="00000000">
        <w:rPr>
          <w:rFonts w:ascii="Google Sans" w:cs="Google Sans" w:eastAsia="Google Sans" w:hAnsi="Google Sans"/>
          <w:color w:val="1f1f1f"/>
          <w:rtl w:val="0"/>
        </w:rPr>
        <w:t xml:space="preserve"> represents the ground-truth reference set, record-level metrics are calculated as:</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Precision=</m:t>
        </m:r>
        <m:f>
          <m:fPr>
            <m:ctrlPr>
              <w:rPr>
                <w:rFonts w:ascii="Google Sans" w:cs="Google Sans" w:eastAsia="Google Sans" w:hAnsi="Google Sans"/>
                <w:color w:val="1f1f1f"/>
              </w:rPr>
            </m:ctrlPr>
          </m:fPr>
          <m:num>
            <m:r>
              <w:rPr>
                <w:rFonts w:ascii="Google Sans" w:cs="Google Sans" w:eastAsia="Google Sans" w:hAnsi="Google Sans"/>
                <w:color w:val="1f1f1f"/>
              </w:rPr>
              <m:t xml:space="preserve">|R</m:t>
            </m:r>
            <m:r>
              <w:rPr>
                <w:rFonts w:ascii="Google Sans" w:cs="Google Sans" w:eastAsia="Google Sans" w:hAnsi="Google Sans"/>
                <w:color w:val="1f1f1f"/>
              </w:rPr>
              <m:t>∩</m:t>
            </m:r>
            <m:r>
              <w:rPr>
                <w:rFonts w:ascii="Google Sans" w:cs="Google Sans" w:eastAsia="Google Sans" w:hAnsi="Google Sans"/>
                <w:color w:val="1f1f1f"/>
              </w:rPr>
              <m:t xml:space="preserve">G|</m:t>
            </m:r>
          </m:num>
          <m:den>
            <m:r>
              <w:rPr>
                <w:rFonts w:ascii="Google Sans" w:cs="Google Sans" w:eastAsia="Google Sans" w:hAnsi="Google Sans"/>
                <w:color w:val="1f1f1f"/>
              </w:rPr>
              <m:t xml:space="preserve">|R|</m:t>
            </m:r>
          </m:den>
        </m:f>
        <m:r>
          <w:rPr>
            <w:rFonts w:ascii="Google Sans" w:cs="Google Sans" w:eastAsia="Google Sans" w:hAnsi="Google Sans"/>
            <w:color w:val="1f1f1f"/>
          </w:rPr>
          <m:t xml:space="preserve">,Recall=</m:t>
        </m:r>
        <m:f>
          <m:fPr>
            <m:ctrlPr>
              <w:rPr>
                <w:rFonts w:ascii="Google Sans" w:cs="Google Sans" w:eastAsia="Google Sans" w:hAnsi="Google Sans"/>
                <w:color w:val="1f1f1f"/>
              </w:rPr>
            </m:ctrlPr>
          </m:fPr>
          <m:num>
            <m:r>
              <w:rPr>
                <w:rFonts w:ascii="Google Sans" w:cs="Google Sans" w:eastAsia="Google Sans" w:hAnsi="Google Sans"/>
                <w:color w:val="1f1f1f"/>
              </w:rPr>
              <m:t xml:space="preserve">|R</m:t>
            </m:r>
            <m:r>
              <w:rPr>
                <w:rFonts w:ascii="Google Sans" w:cs="Google Sans" w:eastAsia="Google Sans" w:hAnsi="Google Sans"/>
                <w:color w:val="1f1f1f"/>
              </w:rPr>
              <m:t>∩</m:t>
            </m:r>
            <m:r>
              <w:rPr>
                <w:rFonts w:ascii="Google Sans" w:cs="Google Sans" w:eastAsia="Google Sans" w:hAnsi="Google Sans"/>
                <w:color w:val="1f1f1f"/>
              </w:rPr>
              <m:t xml:space="preserve">G|</m:t>
            </m:r>
          </m:num>
          <m:den>
            <m:r>
              <w:rPr>
                <w:rFonts w:ascii="Google Sans" w:cs="Google Sans" w:eastAsia="Google Sans" w:hAnsi="Google Sans"/>
                <w:color w:val="1f1f1f"/>
              </w:rPr>
              <m:t xml:space="preserve">|G|</m:t>
            </m:r>
          </m:den>
        </m:f>
        <m:r>
          <w:rPr>
            <w:rFonts w:ascii="Google Sans" w:cs="Google Sans" w:eastAsia="Google Sans" w:hAnsi="Google Sans"/>
            <w:color w:val="1f1f1f"/>
          </w:rPr>
          <m:t xml:space="preserve">.(7)</m:t>
        </m:r>
      </m:oMath>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Record matching criteria and empty-denominator handling must be standardized prior to scoring. Field-level accuracy, rejection correctness, and persistence round-trip fidelity measure distinct failure modes and are reported separately. Archived snapshots make extraction regressions fully repeatable, whereas live-site evaluations additionally require recording environmental acquisition conditions and timestamps.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8. Evaluation layers and their corresponding evidence.</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question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and measures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Language conformance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each supported construction preserve its specified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assertions, failures, side-effects, and completion order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Reproducible translation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a fixed compilation context reproduce its exact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Repeated fresh runs, cryptographic hashes, manifests, and config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 the intended records and fields accurately acquired?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Annotated snapshots; precision, recall, and field-level accuracy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transformation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 normalization, exclusion, and derived variables correct?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Boundary cases, zero/missing distinctions, duplicate policies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Persistence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 outputs faithfully preserved and attributable?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Read/write round-trip, schema validation, provenance inspection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Human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researchers understand and correctly approve programs?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Comprehension scores, defect detection, false approvals, and time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 an AI produce correct end-to-end programs within budget?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success, repair iterations, latency, and resource 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Localization and portability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alternative surfaces and targets preserve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Canonical equivalence and cross-runtime observations</w:t>
            </w:r>
          </w:p>
        </w:tc>
      </w:tr>
    </w:tbl>
    <w:p w:rsidR="00000000" w:rsidDel="00000000" w:rsidP="00000000" w:rsidRDefault="00000000" w:rsidRPr="00000000" w14:paraId="000001F6">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comprehension and calibrated trust</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human-evaluation protocol compares DEAL.JS directly with vanilla JavaScript, Python, and—for overlapping web tasks—_hyperscript. A counterbalanced experimental design separates language effects from task execution order, with domain researchers possessing limited professional programming experience serving as the primary participant population. Tasks involving output prediction, modification of extraction criteria, identification of normalization errors, and approval of AI-proposed workflows evaluate different facets of human comprehension.</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Accurate review is our primary outcome metric. The false-approval rate measures whether a readable surface notation induces misplaced confidence. Let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FA</m:t>
            </m:r>
          </m:sub>
        </m:sSub>
      </m:oMath>
      <w:r w:rsidDel="00000000" w:rsidR="00000000" w:rsidRPr="00000000">
        <w:rPr>
          <w:rFonts w:ascii="Google Sans" w:cs="Google Sans" w:eastAsia="Google Sans" w:hAnsi="Google Sans"/>
          <w:color w:val="1f1f1f"/>
          <w:rtl w:val="0"/>
        </w:rPr>
        <w:t xml:space="preserve"> count incorrect workflows erroneously approved and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I</m:t>
            </m:r>
          </m:sub>
        </m:sSub>
      </m:oMath>
      <w:r w:rsidDel="00000000" w:rsidR="00000000" w:rsidRPr="00000000">
        <w:rPr>
          <w:rFonts w:ascii="Google Sans" w:cs="Google Sans" w:eastAsia="Google Sans" w:hAnsi="Google Sans"/>
          <w:color w:val="1f1f1f"/>
          <w:rtl w:val="0"/>
        </w:rPr>
        <w:t xml:space="preserve"> count total incorrect workflows reviewed:</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FAR=</m:t>
        </m:r>
        <m:f>
          <m:fPr>
            <m:ctrlPr>
              <w:rPr>
                <w:rFonts w:ascii="Google Sans" w:cs="Google Sans" w:eastAsia="Google Sans" w:hAnsi="Google Sans"/>
                <w:color w:val="1f1f1f"/>
              </w:rPr>
            </m:ctrlPr>
          </m:fPr>
          <m:num>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FA</m:t>
                </m:r>
              </m:sub>
            </m:sSub>
          </m:num>
          <m:den>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I</m:t>
                </m:r>
              </m:sub>
            </m:sSub>
          </m:den>
        </m:f>
        <m:r>
          <w:rPr>
            <w:rFonts w:ascii="Google Sans" w:cs="Google Sans" w:eastAsia="Google Sans" w:hAnsi="Google Sans"/>
            <w:color w:val="1f1f1f"/>
          </w:rPr>
          <m:t xml:space="preserve">.(8)</m:t>
        </m:r>
      </m:oMath>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values indicate fewer flawed workflows mistakenly accepted as correct. Completion times, cognitive workload surveys, explanation quality scores, and qualitative interviews provide essential complementary evidence. Participant sample sizes are determined via pilot-informed power and precision analyses, accounting for both outcome uncertainty and task variation.</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Equivalent domain APIs, documentation, training materials, and task specifications must be provided across all experimental conditions. Statistical analysis must account for participant and task variation, prior language familiarity, English language proficiency, order effects, and uncertainty intervals. These rigorous controls directly address the distinctions among surface syntax, API design, and actual comprehension highlighted by prior usability research.</w:t>
      </w:r>
    </w:p>
    <w:p w:rsidR="00000000" w:rsidDel="00000000" w:rsidP="00000000" w:rsidRDefault="00000000" w:rsidRPr="00000000" w14:paraId="000001F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generation, performance, and ablation</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AI-generation protocol holds task specifications, documentation, library contracts, model versions, and automated repair budgets constant while varying the output representation language. Providing direct JavaScript with identical domain APIs isolates notation quality from underlying library power. A structured-schema condition can additionally distinguish general benefits of constrained program representations from benefits specific to DEAL syntax.</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success demands successful parsing, compilation, runtime completion, and all task-specific output validations. For </w:t>
      </w:r>
      <m:oMath>
        <m:r>
          <w:rPr>
            <w:rFonts w:ascii="Google Sans" w:cs="Google Sans" w:eastAsia="Google Sans" w:hAnsi="Google Sans"/>
            <w:color w:val="1f1f1f"/>
          </w:rPr>
          <m:t xml:space="preserve">N</m:t>
        </m:r>
      </m:oMath>
      <w:r w:rsidDel="00000000" w:rsidR="00000000" w:rsidRPr="00000000">
        <w:rPr>
          <w:rFonts w:ascii="Google Sans" w:cs="Google Sans" w:eastAsia="Google Sans" w:hAnsi="Google Sans"/>
          <w:color w:val="1f1f1f"/>
          <w:rtl w:val="0"/>
        </w:rPr>
        <w:t xml:space="preserve"> evaluation tasks, functional success is defined as:</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FS=</m:t>
        </m:r>
        <m:f>
          <m:fPr>
            <m:ctrlPr>
              <w:rPr>
                <w:rFonts w:ascii="Google Sans" w:cs="Google Sans" w:eastAsia="Google Sans" w:hAnsi="Google Sans"/>
                <w:color w:val="1f1f1f"/>
              </w:rPr>
            </m:ctrlPr>
          </m:fPr>
          <m:num>
            <m:r>
              <w:rPr>
                <w:rFonts w:ascii="Google Sans" w:cs="Google Sans" w:eastAsia="Google Sans" w:hAnsi="Google Sans"/>
                <w:color w:val="1f1f1f"/>
              </w:rPr>
              <m:t xml:space="preserve">1</m:t>
            </m:r>
          </m:num>
          <m:den>
            <m:r>
              <w:rPr>
                <w:rFonts w:ascii="Google Sans" w:cs="Google Sans" w:eastAsia="Google Sans" w:hAnsi="Google Sans"/>
                <w:color w:val="1f1f1f"/>
              </w:rPr>
              <m:t xml:space="preserve">N</m:t>
            </m:r>
          </m:den>
        </m:f>
        <m:nary>
          <m:naryPr>
            <m:chr m:val="∑"/>
            <m:ctrlPr>
              <w:rPr>
                <w:rFonts w:ascii="Google Sans" w:cs="Google Sans" w:eastAsia="Google Sans" w:hAnsi="Google Sans"/>
                <w:color w:val="1f1f1f"/>
              </w:rPr>
            </m:ctrlPr>
          </m:naryPr>
          <m:sub>
            <m:r>
              <w:rPr>
                <w:rFonts w:ascii="Google Sans" w:cs="Google Sans" w:eastAsia="Google Sans" w:hAnsi="Google Sans"/>
                <w:color w:val="1f1f1f"/>
              </w:rPr>
              <m:t xml:space="preserve">i=1</m:t>
            </m:r>
          </m:sub>
          <m:sup>
            <m:r>
              <w:rPr>
                <w:rFonts w:ascii="Google Sans" w:cs="Google Sans" w:eastAsia="Google Sans" w:hAnsi="Google Sans"/>
                <w:color w:val="1f1f1f"/>
              </w:rPr>
              <m:t xml:space="preserve">N</m:t>
            </m:r>
          </m:sup>
        </m:nary>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z</m:t>
            </m:r>
          </m:e>
          <m:sub>
            <m:r>
              <w:rPr>
                <w:rFonts w:ascii="Google Sans" w:cs="Google Sans" w:eastAsia="Google Sans" w:hAnsi="Google Sans"/>
                <w:color w:val="1f1f1f"/>
              </w:rPr>
              <m:t xml:space="preserve">i</m:t>
            </m:r>
          </m:sub>
        </m:sSub>
        <m:r>
          <w:rPr>
            <w:rFonts w:ascii="Google Sans" w:cs="Google Sans" w:eastAsia="Google Sans" w:hAnsi="Google Sans"/>
            <w:color w:val="1f1f1f"/>
          </w:rPr>
          <m:t xml:space="preserve">.(9)</m:t>
        </m:r>
      </m:oMath>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z</m:t>
            </m:r>
          </m:e>
          <m:sub>
            <m:r>
              <w:rPr>
                <w:rFonts w:ascii="Google Sans" w:cs="Google Sans" w:eastAsia="Google Sans" w:hAnsi="Google Sans"/>
                <w:color w:val="1f1f1f"/>
              </w:rPr>
              <m:t xml:space="preserve">i</m:t>
            </m:r>
          </m:sub>
        </m:sSub>
        <m:r>
          <w:rPr>
            <w:rFonts w:ascii="Google Sans" w:cs="Google Sans" w:eastAsia="Google Sans" w:hAnsi="Google Sans"/>
            <w:color w:val="1f1f1f"/>
          </w:rPr>
          <m:t xml:space="preserve">=1</m:t>
        </m:r>
      </m:oMath>
      <w:r w:rsidDel="00000000" w:rsidR="00000000" w:rsidRPr="00000000">
        <w:rPr>
          <w:rFonts w:ascii="Google Sans" w:cs="Google Sans" w:eastAsia="Google Sans" w:hAnsi="Google Sans"/>
          <w:color w:val="1f1f1f"/>
          <w:rtl w:val="0"/>
        </w:rPr>
        <w:t xml:space="preserve"> only if task </w:t>
      </w:r>
      <m:oMath>
        <m:r>
          <w:rPr>
            <w:rFonts w:ascii="Google Sans" w:cs="Google Sans" w:eastAsia="Google Sans" w:hAnsi="Google Sans"/>
            <w:color w:val="1f1f1f"/>
          </w:rPr>
          <m:t xml:space="preserve">i</m:t>
        </m:r>
      </m:oMath>
      <w:r w:rsidDel="00000000" w:rsidR="00000000" w:rsidRPr="00000000">
        <w:rPr>
          <w:rFonts w:ascii="Google Sans" w:cs="Google Sans" w:eastAsia="Google Sans" w:hAnsi="Google Sans"/>
          <w:color w:val="1f1f1f"/>
          <w:rtl w:val="0"/>
        </w:rPr>
        <w:t xml:space="preserve"> satisfies every mandatory verification check, and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z</m:t>
            </m:r>
          </m:e>
          <m:sub>
            <m:r>
              <w:rPr>
                <w:rFonts w:ascii="Google Sans" w:cs="Google Sans" w:eastAsia="Google Sans" w:hAnsi="Google Sans"/>
                <w:color w:val="1f1f1f"/>
              </w:rPr>
              <m:t xml:space="preserve">i</m:t>
            </m:r>
          </m:sub>
        </m:sSub>
        <m:r>
          <w:rPr>
            <w:rFonts w:ascii="Google Sans" w:cs="Google Sans" w:eastAsia="Google Sans" w:hAnsi="Google Sans"/>
            <w:color w:val="1f1f1f"/>
          </w:rPr>
          <m:t xml:space="preserve">=0</m:t>
        </m:r>
      </m:oMath>
      <w:r w:rsidDel="00000000" w:rsidR="00000000" w:rsidRPr="00000000">
        <w:rPr>
          <w:rFonts w:ascii="Google Sans" w:cs="Google Sans" w:eastAsia="Google Sans" w:hAnsi="Google Sans"/>
          <w:color w:val="1f1f1f"/>
          <w:rtl w:val="0"/>
        </w:rPr>
        <w:t xml:space="preserve"> otherwise. Malformed source output and missing dependencies count as failures. First-attempt success and fixed-repair-budget success are tracked as distinct outcomes, accompanied by token usage counts, latency measurements, and human correction effort. Execution-based assessments follow established code-generation evaluation standards; while grammar-constrained decoding guarantees structural syntax validity, it cannot replace rigorous functional verification.</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performance costs are decomposed into compiler execution time, module initialization overhead, browser/network latency, data processing duration, memory utilization, output size, and steady-state execution speed. Cold and warm runs are measured as distinct operational conditions. Ablation studies isolating vocabulary adaptation, document-like presentation, contextual handlers, and domain commands identify which specific architectural mechanisms drive observed performance effects rather than attributing every difference to the language as a whole.</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Locale studies must compare identical tasks featuring fixed identifiers and controlled vocabulary modules, rather than assuming translation benefits all participants equally. Backend studies must begin with a restricted portable subset and document any unsupported constructs transparently. These evaluations complete the bridge from theoretical language design to empirical evidence without treating a working implementation as proof of every intended advantage.</w:t>
      </w:r>
    </w:p>
    <w:p w:rsidR="00000000" w:rsidDel="00000000" w:rsidP="00000000" w:rsidRDefault="00000000" w:rsidRPr="00000000" w14:paraId="000002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analysis and case-validation results</w:t>
      </w:r>
    </w:p>
    <w:p w:rsidR="00000000" w:rsidDel="00000000" w:rsidP="00000000" w:rsidRDefault="00000000" w:rsidRPr="00000000" w14:paraId="0000020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Representation and extension boundaries</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RQ1, our language model establishes a clean, explicit path from high-level domain commands and control structures down to generated JavaScript and host execution. By cleanly separating structural syntax, reusable operations, vocabulary modules, and contextual handlers, DEAL makes distinct extension decisions fully visible without requiring an entirely new language for every specialized domain. Our matched examples place DEAL within established programming traditions while highlighting its central focus on a common, reviewable workflow representation.</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RQ2, vocabulary equivalence is conditional upon identical canonical normalization and a fixed compilation context. The underlying logical argument is straightforward: substituting identically normalized inputs into the same deterministic compilation function produces identical generated artifacts; executing those artifacts within aligned environments yields identical specified observations. However, cross-backend equivalence requires an additional formal preservation relation and cannot be inferred simply from the existence of a single JavaScript implementation.</w:t>
      </w:r>
    </w:p>
    <w:p w:rsidR="00000000" w:rsidDel="00000000" w:rsidP="00000000" w:rsidRDefault="00000000" w:rsidRPr="00000000" w14:paraId="0000020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composition and functional validation</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RQ3, our worked application successfully composes data acquisition, field extraction, normalization, validation, derived-variable computation, and persistence while keeping exclusion criteria transparent. The DEAL orchestration layer coordinates these operations, domain functions define their rigorous data contracts, and the storage interface records their outputs. This separation enables researchers to inspect specific data processing decisions without conflating them with page selectors or storage backend implementations.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19 case-validation assertions execute successfully. The five-record fixture produces exactly two accepted records and three rejections: a duplicate identifier, a missing price, and an out-of-range discount. The assertions verify identifier and title normalization, discount arithmetic, valid zero values, rejection reason logging, provenance metadata inclusion, schema version tagging, JSONL round-trip serialization, in-memory persistence, and selector-to-field wiring via a document-shaped test double. The fixed timestamp is strictly fixture data, not a live acquisition measurement.</w:t>
      </w:r>
    </w:p>
    <w:p w:rsidR="00000000" w:rsidDel="00000000" w:rsidP="00000000" w:rsidRDefault="00000000" w:rsidRPr="00000000" w14:paraId="0000021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Interpretation of the evidence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functional observations validate the case study's data processing and persistence rules for the specified synthetic inputs. They do not establish whole-language conformance, live web extraction accuracy, localization equivalence, backend portability, or a proven human-performance advantage. Our proposed conformance, extraction, human-review, and AI-generation protocols are specifically designed to address these distinct empirical outcomes.</w:t>
      </w:r>
    </w:p>
    <w:p w:rsidR="00000000" w:rsidDel="00000000" w:rsidP="00000000" w:rsidRDefault="00000000" w:rsidRPr="00000000" w14:paraId="000002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Discussion, limitations, and future directions</w:t>
      </w:r>
    </w:p>
    <w:p w:rsidR="00000000" w:rsidDel="00000000" w:rsidP="00000000" w:rsidRDefault="00000000" w:rsidRPr="00000000" w14:paraId="0000021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Implications for human–AI research programming</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conceptual implication of this work is a deliberate shift from exchanging prose descriptions of code to active human–AI collaboration centered on a shared, executable program. A domain researcher can review and revise an inclusion criterion at the exact level where it is discussed, an AI system can propose corresponding refinements, and conventional execution remains firmly anchored in generated JavaScript. This makes the language an effective human-to-machine communication mechanism without reducing execution semantics to unpredictable natural language.</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Abstraction quality remains paramount. A well-designed domain command exposes the exact aspects of an operation that influence scientific interpretation while encapsulating incidental mechanics. For instance, a normalization command should expose missing-value policies and duplicate handling for human audit, even when DOM traversal and serialization are handled elsewhere. Workflows remain inspectable only as long as users can effortlessly traverse between these levels of abstraction.</w:t>
      </w:r>
    </w:p>
    <w:p w:rsidR="00000000" w:rsidDel="00000000" w:rsidP="00000000" w:rsidRDefault="00000000" w:rsidRPr="00000000" w14:paraId="0000021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Threats to validity and limitations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construct-validity threat is equating surface readability with true comprehension. Our functional assertions do not measure human oversight capability, and self-reported usability ratings alone cannot establish accurate code review. The internal validity of our case experiment is bounded by shared assumptions between its helper functions and test assertions; independent oracles and mutation testing offer stronger safeguards against latent bugs. External validity is constrained by the synthetic catalog fixture, a single runtime engine, an in-memory storage connector, and a document-shaped test double.</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commands shift cognitive complexity rather than abolishing it. A concise command may conceal extensive underlying code, a localized synonym could inadvertently introduce ambiguity or ecosystem fragmentation, and contextual handlers might obscure underlying dependencies. Users must retain the ability to inspect underlying contracts and drill down to raw implementation when necessary; generated source code, test harnesses, and execution traces must remain accessible.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interoperability introduces a deliberate architectural tension. While it successfully supports existing libraries and incremental adoption, arbitrary embedded host code constrains static code analysis, security guarantees, and cross-backend portability. Readability can never substitute for robust permission boundaries, runtime isolation, or rigorous testing; nor can a correct computational pipeline guarantee that acquired data are representative or that a scientific interpretation is valid.</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completeness is distinct from empirical coverage. Our recorded experiments establish specified transformation and storage behaviors, whereas participant effects, AI-generation advantages, live-site extraction robustness, and cross-backend equivalence remain unmeasured. Our analytical contracts define formal preservation conditions rather than claiming machine-checked proofs for the entire compiler.</w:t>
      </w:r>
    </w:p>
    <w:p w:rsidR="00000000" w:rsidDel="00000000" w:rsidP="00000000" w:rsidRDefault="00000000" w:rsidRPr="00000000" w14:paraId="0000021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roadmap</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work will extend the completed language along several productive research directions. A formalized language standard and machine-checkable module contracts would strengthen independent implementations and formal conformance certification. Bidirectional tooling linking domain commands directly to generated JavaScript, exact dependency versions, and execution traces would greatly enhance multi-level review. The most valuable interfaces will highlight data exclusions and side effects rather than merely presenting attractive source text.</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third direction involves expanding beyond web scraping into new domains: bibliographic harvesting, software repository mining, text corpus preparation, simulation setup, and experimental data processing provide rich candidate workflows. Each new module must contribute reusable contracts, representative fixtures, and domain-review guidance. Introducing new vocabulary without a stable operational specification would weaken rather than strengthen the shared-language objective.</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fourth direction encompasses optional multilingual developer tooling, including localized diagnostics and documentation alongside syntax aliases. A fifth direction focuses on defining a backend-neutral subset with explicit foreign-language escape boundaries and rigorous cross-implementation conformance tests. A sixth direction involves integrating grammar-aware AI code generation, leveraging the language's constrained structure while maintaining a strict focus on functional correctness over surface syntax alone.</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research use additionally demands permission-aware data acquisition, rate limiting, privacy protection, strict access controls, and transparent retention policies. Data provenance and standard serialization formats support scientific reuse, while institutional and legal regulations dictate whether a specific acquisition is permissible. These remain properties of the surrounding research ecosystem and institutional governance, rather than automatic benefits conferred by DEAL alone.</w:t>
      </w:r>
    </w:p>
    <w:p w:rsidR="00000000" w:rsidDel="00000000" w:rsidP="00000000" w:rsidRDefault="00000000" w:rsidRPr="00000000" w14:paraId="000002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 introduces a shared programming representation for human–AI research workflows. Structures express control flow, commands encapsulate domain operations, reserves adapt human vocabulary, and handlers expose computational context; DEAL.JS realizes these mechanisms through seamless JavaScript interoperability and staged source-to-source compilation. Together, these mechanisms connect readable research intent to an inspectable, executable program.</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contribution is a working integration of domain-oriented notation, JavaScript execution, modular operations, and adaptable vocabulary. The catalog workflow demonstrates acquisition, extraction, preprocessing, derived-variable computation, validation, deduplication, and storage within this shared representation. Its executed assertions establish the stated application data contract, while our formal account identifies the precise conditions required for deterministic translation, localized equivalence, and reuse across alternative language implementations.</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DEAL provides a robust language-engineering foundation for inspectable human–AI research programming. Its broader significance lies in the capacity to decouple human-facing terminology from computational operations without separating either from concrete executable evidence. Future comparative research can now investigate precisely when this representation improves accurate review, reduces repair effort, or supports seamless reuse across diverse scientific domains and linguistic communities.</w:t>
      </w:r>
    </w:p>
    <w:p w:rsidR="00000000" w:rsidDel="00000000" w:rsidP="00000000" w:rsidRDefault="00000000" w:rsidRPr="00000000" w14:paraId="000002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Glossary</w:t>
      </w:r>
    </w:p>
    <w:p w:rsidR="00000000" w:rsidDel="00000000" w:rsidP="00000000" w:rsidRDefault="00000000" w:rsidRPr="00000000" w14:paraId="0000022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DEAL:</w:t>
      </w:r>
      <w:r w:rsidDel="00000000" w:rsidR="00000000" w:rsidRPr="00000000">
        <w:rPr>
          <w:rFonts w:ascii="Google Sans" w:cs="Google Sans" w:eastAsia="Google Sans" w:hAnsi="Google Sans"/>
          <w:color w:val="1f1f1f"/>
          <w:rtl w:val="0"/>
        </w:rPr>
        <w:t xml:space="preserve"> Declarative and Extensible Abstract Language, the shared programming model examined in this article.</w:t>
      </w:r>
    </w:p>
    <w:p w:rsidR="00000000" w:rsidDel="00000000" w:rsidP="00000000" w:rsidRDefault="00000000" w:rsidRPr="00000000" w14:paraId="0000022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DEAL.JS:</w:t>
      </w:r>
      <w:r w:rsidDel="00000000" w:rsidR="00000000" w:rsidRPr="00000000">
        <w:rPr>
          <w:rFonts w:ascii="Google Sans" w:cs="Google Sans" w:eastAsia="Google Sans" w:hAnsi="Google Sans"/>
          <w:color w:val="1f1f1f"/>
          <w:rtl w:val="0"/>
        </w:rPr>
        <w:t xml:space="preserve"> The JavaScript-targeting realization of DEAL.</w:t>
      </w:r>
    </w:p>
    <w:p w:rsidR="00000000" w:rsidDel="00000000" w:rsidP="00000000" w:rsidRDefault="00000000" w:rsidRPr="00000000" w14:paraId="0000022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Reserve:</w:t>
      </w:r>
      <w:r w:rsidDel="00000000" w:rsidR="00000000" w:rsidRPr="00000000">
        <w:rPr>
          <w:rFonts w:ascii="Google Sans" w:cs="Google Sans" w:eastAsia="Google Sans" w:hAnsi="Google Sans"/>
          <w:color w:val="1f1f1f"/>
          <w:rtl w:val="0"/>
        </w:rPr>
        <w:t xml:space="preserve"> A declared vocabulary replacement or a permitted readability word.</w:t>
      </w:r>
    </w:p>
    <w:p w:rsidR="00000000" w:rsidDel="00000000" w:rsidP="00000000" w:rsidRDefault="00000000" w:rsidRPr="00000000" w14:paraId="0000022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Handler:</w:t>
      </w:r>
      <w:r w:rsidDel="00000000" w:rsidR="00000000" w:rsidRPr="00000000">
        <w:rPr>
          <w:rFonts w:ascii="Google Sans" w:cs="Google Sans" w:eastAsia="Google Sans" w:hAnsi="Google Sans"/>
          <w:color w:val="1f1f1f"/>
          <w:rtl w:val="0"/>
        </w:rPr>
        <w:t xml:space="preserve"> A contextual reference to a current workspace object or operation.</w:t>
      </w:r>
    </w:p>
    <w:p w:rsidR="00000000" w:rsidDel="00000000" w:rsidP="00000000" w:rsidRDefault="00000000" w:rsidRPr="00000000" w14:paraId="0000022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Canonical normalization:</w:t>
      </w:r>
      <w:r w:rsidDel="00000000" w:rsidR="00000000" w:rsidRPr="00000000">
        <w:rPr>
          <w:rFonts w:ascii="Google Sans" w:cs="Google Sans" w:eastAsia="Google Sans" w:hAnsi="Google Sans"/>
          <w:color w:val="1f1f1f"/>
          <w:rtl w:val="0"/>
        </w:rPr>
        <w:t xml:space="preserve"> The analytical mapping from a configured human vocabulary to a common structural representation.</w:t>
      </w:r>
    </w:p>
    <w:p w:rsidR="00000000" w:rsidDel="00000000" w:rsidP="00000000" w:rsidRDefault="00000000" w:rsidRPr="00000000" w14:paraId="0000022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Portable subset:</w:t>
      </w:r>
      <w:r w:rsidDel="00000000" w:rsidR="00000000" w:rsidRPr="00000000">
        <w:rPr>
          <w:rFonts w:ascii="Google Sans" w:cs="Google Sans" w:eastAsia="Google Sans" w:hAnsi="Google Sans"/>
          <w:color w:val="1f1f1f"/>
          <w:rtl w:val="0"/>
        </w:rPr>
        <w:t xml:space="preserve"> A declared set of language constructions whose operational behavior is formally specified across target backends.</w:t>
      </w:r>
    </w:p>
    <w:p w:rsidR="00000000" w:rsidDel="00000000" w:rsidP="00000000" w:rsidRDefault="00000000" w:rsidRPr="00000000" w14:paraId="000002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availability</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language implementation, generic compiler framework, and execution host are openly available through DEAL.JS, DEAL Engine, and DEAL Environment. Accompanying research materials contain the case-study program, domain functions, synthetic fixtures, validation test suites, recorded outputs, editable diagram sources, and reference metadata. No human participant or live-acquisition data were utilized in the case-validation experiment.</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[Persistent research-package identifier to be added before submission.]</w:t>
      </w:r>
    </w:p>
    <w:p w:rsidR="00000000" w:rsidDel="00000000" w:rsidP="00000000" w:rsidRDefault="00000000" w:rsidRPr="00000000" w14:paraId="000002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CRediT authorship contribution statement</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[Author contribution statement to be completed.]</w:t>
      </w:r>
    </w:p>
    <w:p w:rsidR="00000000" w:rsidDel="00000000" w:rsidP="00000000" w:rsidRDefault="00000000" w:rsidRPr="00000000" w14:paraId="000002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Declaration of competing interests</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[Author declarations pending.]</w:t>
      </w:r>
    </w:p>
    <w:p w:rsidR="00000000" w:rsidDel="00000000" w:rsidP="00000000" w:rsidRDefault="00000000" w:rsidRPr="00000000" w14:paraId="000002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Funding</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[Funding information to be provided.]</w:t>
      </w:r>
    </w:p>
    <w:p w:rsidR="00000000" w:rsidDel="00000000" w:rsidP="00000000" w:rsidRDefault="00000000" w:rsidRPr="00000000" w14:paraId="000002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Declaration of generative AI and AI-assisted technologies in the writing process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Perplexity Computer (GPT 6.1 Sol) assisted with literature discovery, manuscript drafting and revision, case-study code implementation, and SVG diagram preparation. Diagrams were rendered programmatically with Node.js 20.20.2 and sharp 0.35.4; they represent conceptual explanatory structures rather than generated experimental observations. </w:t>
      </w:r>
      <w:r w:rsidDel="00000000" w:rsidR="00000000" w:rsidRPr="00000000">
        <w:rPr>
          <w:rFonts w:ascii="Google Sans" w:cs="Google Sans" w:eastAsia="Google Sans" w:hAnsi="Google Sans"/>
          <w:i w:val="1"/>
          <w:iCs w:val="1"/>
          <w:color w:val="1f1f1f"/>
          <w:rtl w:val="0"/>
        </w:rPr>
        <w:t xml:space="preserve">[Author verification and responsibility confirmation pending.]</w:t>
      </w:r>
    </w:p>
    <w:p w:rsidR="00000000" w:rsidDel="00000000" w:rsidP="00000000" w:rsidRDefault="00000000" w:rsidRPr="00000000" w14:paraId="000002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Acknowledgements</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[Acknowledgements to be completed.]</w:t>
      </w:r>
    </w:p>
    <w:p w:rsidR="00000000" w:rsidDel="00000000" w:rsidP="00000000" w:rsidRDefault="00000000" w:rsidRPr="00000000" w14:paraId="000002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References</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Ko, A. J.; Abraham, R.; Beckwith, L.; Blackwell, A.; Burnett, M.; Erwig, M.; Scaffidi, C.; Lawrance, J.; Lieberman, H.; Myers, B.; Rosson, M. B.; Rothermel, G.; Shaw, M.; and Wiedenbeck, S. (2011). The state of the art in end-user software engineering. </w:t>
      </w:r>
      <w:r w:rsidDel="00000000" w:rsidR="00000000" w:rsidRPr="00000000">
        <w:rPr>
          <w:rFonts w:ascii="Google Sans" w:cs="Google Sans" w:eastAsia="Google Sans" w:hAnsi="Google Sans"/>
          <w:i w:val="1"/>
          <w:iCs w:val="1"/>
          <w:color w:val="1f1f1f"/>
          <w:rtl w:val="0"/>
        </w:rPr>
        <w:t xml:space="preserve">ACM Computing Surveys</w:t>
      </w:r>
      <w:r w:rsidDel="00000000" w:rsidR="00000000" w:rsidRPr="00000000">
        <w:rPr>
          <w:rFonts w:ascii="Google Sans" w:cs="Google Sans" w:eastAsia="Google Sans" w:hAnsi="Google Sans"/>
          <w:color w:val="1f1f1f"/>
          <w:rtl w:val="0"/>
        </w:rPr>
        <w:t xml:space="preserve">, 43(3). DOI: 10.1145/1922649.1922658. Available at: </w:t>
      </w:r>
      <w:hyperlink r:id="rId6">
        <w:r w:rsidDel="00000000" w:rsidR="00000000" w:rsidRPr="00000000">
          <w:rPr>
            <w:rFonts w:ascii="Google Sans" w:cs="Google Sans" w:eastAsia="Google Sans" w:hAnsi="Google Sans"/>
            <w:color w:val="000000"/>
            <w:u w:val="single"/>
            <w:rtl w:val="0"/>
          </w:rPr>
          <w:t xml:space="preserve">https://researchdiscovery.drexel.edu/esploro/outputs/journalArticle/The-State-of-the-Art-in/991019167334204721</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Barricelli, B. R.; Cassano, F.; Fogli, D.; and Piccinno, A. (2019). End-user development, end-user programming and end-user software engineering: A systematic mapping study. </w:t>
      </w:r>
      <w:r w:rsidDel="00000000" w:rsidR="00000000" w:rsidRPr="00000000">
        <w:rPr>
          <w:rFonts w:ascii="Google Sans" w:cs="Google Sans" w:eastAsia="Google Sans" w:hAnsi="Google Sans"/>
          <w:i w:val="1"/>
          <w:iCs w:val="1"/>
          <w:color w:val="1f1f1f"/>
          <w:rtl w:val="0"/>
        </w:rPr>
        <w:t xml:space="preserve">Journal of Systems and Software</w:t>
      </w:r>
      <w:r w:rsidDel="00000000" w:rsidR="00000000" w:rsidRPr="00000000">
        <w:rPr>
          <w:rFonts w:ascii="Google Sans" w:cs="Google Sans" w:eastAsia="Google Sans" w:hAnsi="Google Sans"/>
          <w:color w:val="1f1f1f"/>
          <w:rtl w:val="0"/>
        </w:rPr>
        <w:t xml:space="preserve">, 149, pp. 101-137. DOI: 10.1016/j.jss.2018.11.041. Available at: </w:t>
      </w:r>
      <w:hyperlink r:id="rId7">
        <w:r w:rsidDel="00000000" w:rsidR="00000000" w:rsidRPr="00000000">
          <w:rPr>
            <w:rFonts w:ascii="Google Sans" w:cs="Google Sans" w:eastAsia="Google Sans" w:hAnsi="Google Sans"/>
            <w:color w:val="000000"/>
            <w:u w:val="single"/>
            <w:rtl w:val="0"/>
          </w:rPr>
          <w:t xml:space="preserve">https://expertise.unimi.it/resource/item/669695?language=en-US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Vaithilingam, P.; Zhang, T.; and Glassman, E. L. (2022). Expectation vs. Experience: Evaluating the usability of code generation tools powered by large language models. </w:t>
      </w:r>
      <w:r w:rsidDel="00000000" w:rsidR="00000000" w:rsidRPr="00000000">
        <w:rPr>
          <w:rFonts w:ascii="Google Sans" w:cs="Google Sans" w:eastAsia="Google Sans" w:hAnsi="Google Sans"/>
          <w:i w:val="1"/>
          <w:iCs w:val="1"/>
          <w:color w:val="1f1f1f"/>
          <w:rtl w:val="0"/>
        </w:rPr>
        <w:t xml:space="preserve">Extended abstracts of the 2022 CHI conference on human factors in computing systems</w:t>
      </w:r>
      <w:r w:rsidDel="00000000" w:rsidR="00000000" w:rsidRPr="00000000">
        <w:rPr>
          <w:rFonts w:ascii="Google Sans" w:cs="Google Sans" w:eastAsia="Google Sans" w:hAnsi="Google Sans"/>
          <w:color w:val="1f1f1f"/>
          <w:rtl w:val="0"/>
        </w:rPr>
        <w:t xml:space="preserve">, pp. 1-7. DOI: 10.1145/3491101.3519665. Available at: </w:t>
      </w:r>
      <w:hyperlink r:id="rId8">
        <w:r w:rsidDel="00000000" w:rsidR="00000000" w:rsidRPr="00000000">
          <w:rPr>
            <w:rFonts w:ascii="Google Sans" w:cs="Google Sans" w:eastAsia="Google Sans" w:hAnsi="Google Sans"/>
            <w:color w:val="000000"/>
            <w:u w:val="single"/>
            <w:rtl w:val="0"/>
          </w:rPr>
          <w:t xml:space="preserve">https://dl.acm.org/doi/pdf/10.1145/3491101.3519665</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Chen, M., et al. (2021). Evaluating large language models trained on code. </w:t>
      </w:r>
      <w:r w:rsidDel="00000000" w:rsidR="00000000" w:rsidRPr="00000000">
        <w:rPr>
          <w:rFonts w:ascii="Google Sans" w:cs="Google Sans" w:eastAsia="Google Sans" w:hAnsi="Google Sans"/>
          <w:i w:val="1"/>
          <w:iCs w:val="1"/>
          <w:color w:val="1f1f1f"/>
          <w:rtl w:val="0"/>
        </w:rPr>
        <w:t xml:space="preserve">arXiv:2107.03374</w:t>
      </w:r>
      <w:r w:rsidDel="00000000" w:rsidR="00000000" w:rsidRPr="00000000">
        <w:rPr>
          <w:rFonts w:ascii="Google Sans" w:cs="Google Sans" w:eastAsia="Google Sans" w:hAnsi="Google Sans"/>
          <w:color w:val="1f1f1f"/>
          <w:rtl w:val="0"/>
        </w:rPr>
        <w:t xml:space="preserve">. Preprint. Available at: </w:t>
      </w:r>
      <w:hyperlink r:id="rId9">
        <w:r w:rsidDel="00000000" w:rsidR="00000000" w:rsidRPr="00000000">
          <w:rPr>
            <w:rFonts w:ascii="Google Sans" w:cs="Google Sans" w:eastAsia="Google Sans" w:hAnsi="Google Sans"/>
            <w:color w:val="000000"/>
            <w:u w:val="single"/>
            <w:rtl w:val="0"/>
          </w:rPr>
          <w:t xml:space="preserve">https://arxiv.org/abs/2107.03374</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Liu, J.; Xia, C. S.; Wang, Y.; and Zhang, L. (2023). Is your code generated by ChatGPT really correct? Rigorous evaluation of large language models for code generation. </w:t>
      </w:r>
      <w:r w:rsidDel="00000000" w:rsidR="00000000" w:rsidRPr="00000000">
        <w:rPr>
          <w:rFonts w:ascii="Google Sans" w:cs="Google Sans" w:eastAsia="Google Sans" w:hAnsi="Google Sans"/>
          <w:i w:val="1"/>
          <w:iCs w:val="1"/>
          <w:color w:val="1f1f1f"/>
          <w:rtl w:val="0"/>
        </w:rPr>
        <w:t xml:space="preserve">Advances in neural information processing systems</w:t>
      </w:r>
      <w:r w:rsidDel="00000000" w:rsidR="00000000" w:rsidRPr="00000000">
        <w:rPr>
          <w:rFonts w:ascii="Google Sans" w:cs="Google Sans" w:eastAsia="Google Sans" w:hAnsi="Google Sans"/>
          <w:color w:val="1f1f1f"/>
          <w:rtl w:val="0"/>
        </w:rPr>
        <w:t xml:space="preserve">, 36. Available at: </w:t>
      </w:r>
      <w:hyperlink r:id="rId10">
        <w:r w:rsidDel="00000000" w:rsidR="00000000" w:rsidRPr="00000000">
          <w:rPr>
            <w:rFonts w:ascii="Google Sans" w:cs="Google Sans" w:eastAsia="Google Sans" w:hAnsi="Google Sans"/>
            <w:color w:val="000000"/>
            <w:u w:val="single"/>
            <w:rtl w:val="0"/>
          </w:rPr>
          <w:t xml:space="preserve">https://proceedings.neurips.cc/paper_files/paper/2023/hash/43e9d647ccd3e4b7b5baab53f0368686-Abstract-Conference.html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DEAL-X (n.d.). DEAL.JS: Source code, README, libraries, and samples. Software. Version d76dcae3bf157e3969be0bd1f98ed2522defc2b9; accessed 19 October 2026. Available at: </w:t>
      </w:r>
      <w:hyperlink r:id="rId11">
        <w:r w:rsidDel="00000000" w:rsidR="00000000" w:rsidRPr="00000000">
          <w:rPr>
            <w:rFonts w:ascii="Google Sans" w:cs="Google Sans" w:eastAsia="Google Sans" w:hAnsi="Google Sans"/>
            <w:color w:val="000000"/>
            <w:u w:val="single"/>
            <w:rtl w:val="0"/>
          </w:rPr>
          <w:t xml:space="preserve">https://github.com/DEAL-X/DEAL-JS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Kuhn, T. (2014). A survey and classification of controlled natural languages. </w:t>
      </w:r>
      <w:r w:rsidDel="00000000" w:rsidR="00000000" w:rsidRPr="00000000">
        <w:rPr>
          <w:rFonts w:ascii="Google Sans" w:cs="Google Sans" w:eastAsia="Google Sans" w:hAnsi="Google Sans"/>
          <w:i w:val="1"/>
          <w:iCs w:val="1"/>
          <w:color w:val="1f1f1f"/>
          <w:rtl w:val="0"/>
        </w:rPr>
        <w:t xml:space="preserve">Computational Linguistics</w:t>
      </w:r>
      <w:r w:rsidDel="00000000" w:rsidR="00000000" w:rsidRPr="00000000">
        <w:rPr>
          <w:rFonts w:ascii="Google Sans" w:cs="Google Sans" w:eastAsia="Google Sans" w:hAnsi="Google Sans"/>
          <w:color w:val="1f1f1f"/>
          <w:rtl w:val="0"/>
        </w:rPr>
        <w:t xml:space="preserve">, 40(1), pp. 121-170. DOI: 10.1162/COLI_a_00168. Available at: </w:t>
      </w:r>
      <w:hyperlink r:id="rId12">
        <w:r w:rsidDel="00000000" w:rsidR="00000000" w:rsidRPr="00000000">
          <w:rPr>
            <w:rFonts w:ascii="Google Sans" w:cs="Google Sans" w:eastAsia="Google Sans" w:hAnsi="Google Sans"/>
            <w:color w:val="000000"/>
            <w:u w:val="single"/>
            <w:rtl w:val="0"/>
          </w:rPr>
          <w:t xml:space="preserve">https://aclanthology.org/J14-1005/</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Spinellis, D. (2001). Notable design patterns for domain specific languages. </w:t>
      </w:r>
      <w:r w:rsidDel="00000000" w:rsidR="00000000" w:rsidRPr="00000000">
        <w:rPr>
          <w:rFonts w:ascii="Google Sans" w:cs="Google Sans" w:eastAsia="Google Sans" w:hAnsi="Google Sans"/>
          <w:i w:val="1"/>
          <w:iCs w:val="1"/>
          <w:color w:val="1f1f1f"/>
          <w:rtl w:val="0"/>
        </w:rPr>
        <w:t xml:space="preserve">Journal of Systems and Software</w:t>
      </w:r>
      <w:r w:rsidDel="00000000" w:rsidR="00000000" w:rsidRPr="00000000">
        <w:rPr>
          <w:rFonts w:ascii="Google Sans" w:cs="Google Sans" w:eastAsia="Google Sans" w:hAnsi="Google Sans"/>
          <w:color w:val="1f1f1f"/>
          <w:rtl w:val="0"/>
        </w:rPr>
        <w:t xml:space="preserve">, 56(1), pp. 91-99. DOI: 10.1016/S0164-1212(00)00089-3. Linked page is the author’s working-paper rendering, which identifies the preferred publication citation. Available at: </w:t>
      </w:r>
      <w:hyperlink r:id="rId13">
        <w:r w:rsidDel="00000000" w:rsidR="00000000" w:rsidRPr="00000000">
          <w:rPr>
            <w:rFonts w:ascii="Google Sans" w:cs="Google Sans" w:eastAsia="Google Sans" w:hAnsi="Google Sans"/>
            <w:color w:val="000000"/>
            <w:u w:val="single"/>
            <w:rtl w:val="0"/>
          </w:rPr>
          <w:t xml:space="preserve">https://www.spinellis.gr/pubs/jrnl/2000-JSS-DSLPatterns/html/dslpat.html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Lipton, Z. C. (2018). The mythos of model interpretability. </w:t>
      </w:r>
      <w:r w:rsidDel="00000000" w:rsidR="00000000" w:rsidRPr="00000000">
        <w:rPr>
          <w:rFonts w:ascii="Google Sans" w:cs="Google Sans" w:eastAsia="Google Sans" w:hAnsi="Google Sans"/>
          <w:i w:val="1"/>
          <w:iCs w:val="1"/>
          <w:color w:val="1f1f1f"/>
          <w:rtl w:val="0"/>
        </w:rPr>
        <w:t xml:space="preserve">Communications of the ACM</w:t>
      </w:r>
      <w:r w:rsidDel="00000000" w:rsidR="00000000" w:rsidRPr="00000000">
        <w:rPr>
          <w:rFonts w:ascii="Google Sans" w:cs="Google Sans" w:eastAsia="Google Sans" w:hAnsi="Google Sans"/>
          <w:color w:val="1f1f1f"/>
          <w:rtl w:val="0"/>
        </w:rPr>
        <w:t xml:space="preserve">, 61(10), pp. 36-43. DOI: 10.1145/3233231. Available at: </w:t>
      </w:r>
      <w:hyperlink r:id="rId14">
        <w:r w:rsidDel="00000000" w:rsidR="00000000" w:rsidRPr="00000000">
          <w:rPr>
            <w:rFonts w:ascii="Google Sans" w:cs="Google Sans" w:eastAsia="Google Sans" w:hAnsi="Google Sans"/>
            <w:color w:val="000000"/>
            <w:u w:val="single"/>
            <w:rtl w:val="0"/>
          </w:rPr>
          <w:t xml:space="preserve">https://vis.csail.mit.edu/classes/6.859/readings/pdfs/Lipton-TheMythosOfModelInterpretability.pdf</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Doshi-Velez, F.; and Kim, B. (2017). Towards a rigorous science of interpretable machine learning. </w:t>
      </w:r>
      <w:r w:rsidDel="00000000" w:rsidR="00000000" w:rsidRPr="00000000">
        <w:rPr>
          <w:rFonts w:ascii="Google Sans" w:cs="Google Sans" w:eastAsia="Google Sans" w:hAnsi="Google Sans"/>
          <w:i w:val="1"/>
          <w:iCs w:val="1"/>
          <w:color w:val="1f1f1f"/>
          <w:rtl w:val="0"/>
        </w:rPr>
        <w:t xml:space="preserve">arXiv:1702.08608</w:t>
      </w:r>
      <w:r w:rsidDel="00000000" w:rsidR="00000000" w:rsidRPr="00000000">
        <w:rPr>
          <w:rFonts w:ascii="Google Sans" w:cs="Google Sans" w:eastAsia="Google Sans" w:hAnsi="Google Sans"/>
          <w:color w:val="1f1f1f"/>
          <w:rtl w:val="0"/>
        </w:rPr>
        <w:t xml:space="preserve">. Position-paper preprint. Available at: </w:t>
      </w:r>
      <w:hyperlink r:id="rId15">
        <w:r w:rsidDel="00000000" w:rsidR="00000000" w:rsidRPr="00000000">
          <w:rPr>
            <w:rFonts w:ascii="Google Sans" w:cs="Google Sans" w:eastAsia="Google Sans" w:hAnsi="Google Sans"/>
            <w:color w:val="000000"/>
            <w:u w:val="single"/>
            <w:rtl w:val="0"/>
          </w:rPr>
          <w:t xml:space="preserve">https://arxiv.org/abs/1702.08608</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Rudin, C. (2019). Stop explaining black box machine learning models for high stakes decisions and use interpretable models instead. </w:t>
      </w:r>
      <w:r w:rsidDel="00000000" w:rsidR="00000000" w:rsidRPr="00000000">
        <w:rPr>
          <w:rFonts w:ascii="Google Sans" w:cs="Google Sans" w:eastAsia="Google Sans" w:hAnsi="Google Sans"/>
          <w:i w:val="1"/>
          <w:iCs w:val="1"/>
          <w:color w:val="1f1f1f"/>
          <w:rtl w:val="0"/>
        </w:rPr>
        <w:t xml:space="preserve">Nature Machine Intelligence</w:t>
      </w:r>
      <w:r w:rsidDel="00000000" w:rsidR="00000000" w:rsidRPr="00000000">
        <w:rPr>
          <w:rFonts w:ascii="Google Sans" w:cs="Google Sans" w:eastAsia="Google Sans" w:hAnsi="Google Sans"/>
          <w:color w:val="1f1f1f"/>
          <w:rtl w:val="0"/>
        </w:rPr>
        <w:t xml:space="preserve">, 1, pp. 206-215. DOI: 10.1038/s42256-019-0048-x. Available at: </w:t>
      </w:r>
      <w:hyperlink r:id="rId16">
        <w:r w:rsidDel="00000000" w:rsidR="00000000" w:rsidRPr="00000000">
          <w:rPr>
            <w:rFonts w:ascii="Google Sans" w:cs="Google Sans" w:eastAsia="Google Sans" w:hAnsi="Google Sans"/>
            <w:color w:val="000000"/>
            <w:u w:val="single"/>
            <w:rtl w:val="0"/>
          </w:rPr>
          <w:t xml:space="preserve">https://www.nature.com/articles/s42256-019-0048-x</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Sandve, G. K.; Nekrutenko, A.; Taylor, J.; and Hovig, E. (2013). Ten simple rules for reproducible computational research. </w:t>
      </w:r>
      <w:r w:rsidDel="00000000" w:rsidR="00000000" w:rsidRPr="00000000">
        <w:rPr>
          <w:rFonts w:ascii="Google Sans" w:cs="Google Sans" w:eastAsia="Google Sans" w:hAnsi="Google Sans"/>
          <w:i w:val="1"/>
          <w:iCs w:val="1"/>
          <w:color w:val="1f1f1f"/>
          <w:rtl w:val="0"/>
        </w:rPr>
        <w:t xml:space="preserve">PLOS Computational Biology</w:t>
      </w:r>
      <w:r w:rsidDel="00000000" w:rsidR="00000000" w:rsidRPr="00000000">
        <w:rPr>
          <w:rFonts w:ascii="Google Sans" w:cs="Google Sans" w:eastAsia="Google Sans" w:hAnsi="Google Sans"/>
          <w:color w:val="1f1f1f"/>
          <w:rtl w:val="0"/>
        </w:rPr>
        <w:t xml:space="preserve">, 9(10), Article e1003285. DOI: 10.1371/journal.pcbi.1003285. Available at: </w:t>
      </w:r>
      <w:hyperlink r:id="rId17">
        <w:r w:rsidDel="00000000" w:rsidR="00000000" w:rsidRPr="00000000">
          <w:rPr>
            <w:rFonts w:ascii="Google Sans" w:cs="Google Sans" w:eastAsia="Google Sans" w:hAnsi="Google Sans"/>
            <w:color w:val="000000"/>
            <w:u w:val="single"/>
            <w:rtl w:val="0"/>
          </w:rPr>
          <w:t xml:space="preserve">https://journals.plos.org/ploscompbiol/article?id=10.1371/journal.pcbi.1003285</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Wilkinson, M. D., et al. (2016). The FAIR guiding principles for scientific data management and stewardship. </w:t>
      </w:r>
      <w:r w:rsidDel="00000000" w:rsidR="00000000" w:rsidRPr="00000000">
        <w:rPr>
          <w:rFonts w:ascii="Google Sans" w:cs="Google Sans" w:eastAsia="Google Sans" w:hAnsi="Google Sans"/>
          <w:i w:val="1"/>
          <w:iCs w:val="1"/>
          <w:color w:val="1f1f1f"/>
          <w:rtl w:val="0"/>
        </w:rPr>
        <w:t xml:space="preserve">Scientific Data</w:t>
      </w:r>
      <w:r w:rsidDel="00000000" w:rsidR="00000000" w:rsidRPr="00000000">
        <w:rPr>
          <w:rFonts w:ascii="Google Sans" w:cs="Google Sans" w:eastAsia="Google Sans" w:hAnsi="Google Sans"/>
          <w:color w:val="1f1f1f"/>
          <w:rtl w:val="0"/>
        </w:rPr>
        <w:t xml:space="preserve">, 3, Article 160018. DOI: 10.1038/sdata.2016.18. Available at: </w:t>
      </w:r>
      <w:hyperlink r:id="rId18">
        <w:r w:rsidDel="00000000" w:rsidR="00000000" w:rsidRPr="00000000">
          <w:rPr>
            <w:rFonts w:ascii="Google Sans" w:cs="Google Sans" w:eastAsia="Google Sans" w:hAnsi="Google Sans"/>
            <w:color w:val="000000"/>
            <w:u w:val="single"/>
            <w:rtl w:val="0"/>
          </w:rPr>
          <w:t xml:space="preserve">https://www.nature.com/articles/sdata201618</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Stefik, A.; and Siebert, S. (2013). An empirical investigation into programming language syntax. </w:t>
      </w:r>
      <w:r w:rsidDel="00000000" w:rsidR="00000000" w:rsidRPr="00000000">
        <w:rPr>
          <w:rFonts w:ascii="Google Sans" w:cs="Google Sans" w:eastAsia="Google Sans" w:hAnsi="Google Sans"/>
          <w:i w:val="1"/>
          <w:iCs w:val="1"/>
          <w:color w:val="1f1f1f"/>
          <w:rtl w:val="0"/>
        </w:rPr>
        <w:t xml:space="preserve">ACM Transactions on Computing Education</w:t>
      </w:r>
      <w:r w:rsidDel="00000000" w:rsidR="00000000" w:rsidRPr="00000000">
        <w:rPr>
          <w:rFonts w:ascii="Google Sans" w:cs="Google Sans" w:eastAsia="Google Sans" w:hAnsi="Google Sans"/>
          <w:color w:val="1f1f1f"/>
          <w:rtl w:val="0"/>
        </w:rPr>
        <w:t xml:space="preserve">, 13(4), pp. 19:1-19:40. DOI: 10.1145/2534973. Available at: </w:t>
      </w:r>
      <w:hyperlink r:id="rId19">
        <w:r w:rsidDel="00000000" w:rsidR="00000000" w:rsidRPr="00000000">
          <w:rPr>
            <w:rFonts w:ascii="Google Sans" w:cs="Google Sans" w:eastAsia="Google Sans" w:hAnsi="Google Sans"/>
            <w:color w:val="000000"/>
            <w:u w:val="single"/>
            <w:rtl w:val="0"/>
          </w:rPr>
          <w:t xml:space="preserve">https://eric.ed.gov/?id=EJ1042402</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Lappi, V.; Tirronen, V.; and Itkonen, J. (2023). A replication study on the intuitiveness of programming language syntax. </w:t>
      </w:r>
      <w:r w:rsidDel="00000000" w:rsidR="00000000" w:rsidRPr="00000000">
        <w:rPr>
          <w:rFonts w:ascii="Google Sans" w:cs="Google Sans" w:eastAsia="Google Sans" w:hAnsi="Google Sans"/>
          <w:i w:val="1"/>
          <w:iCs w:val="1"/>
          <w:color w:val="1f1f1f"/>
          <w:rtl w:val="0"/>
        </w:rPr>
        <w:t xml:space="preserve">Software Quality Journal</w:t>
      </w:r>
      <w:r w:rsidDel="00000000" w:rsidR="00000000" w:rsidRPr="00000000">
        <w:rPr>
          <w:rFonts w:ascii="Google Sans" w:cs="Google Sans" w:eastAsia="Google Sans" w:hAnsi="Google Sans"/>
          <w:color w:val="1f1f1f"/>
          <w:rtl w:val="0"/>
        </w:rPr>
        <w:t xml:space="preserve">, 31, pp. 1211-1240. DOI: 10.1007/s11219-023-09631-7. Available at: </w:t>
      </w:r>
      <w:hyperlink r:id="rId20">
        <w:r w:rsidDel="00000000" w:rsidR="00000000" w:rsidRPr="00000000">
          <w:rPr>
            <w:rFonts w:ascii="Google Sans" w:cs="Google Sans" w:eastAsia="Google Sans" w:hAnsi="Google Sans"/>
            <w:color w:val="000000"/>
            <w:u w:val="single"/>
            <w:rtl w:val="0"/>
          </w:rPr>
          <w:t xml:space="preserve">https://link.springer.com/article/10.1007/s11219-023-09631-7</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Green, T. R. G.; and Petre, M. (1996). Usability analysis of visual programming environments: A cognitive dimensions framework. </w:t>
      </w:r>
      <w:r w:rsidDel="00000000" w:rsidR="00000000" w:rsidRPr="00000000">
        <w:rPr>
          <w:rFonts w:ascii="Google Sans" w:cs="Google Sans" w:eastAsia="Google Sans" w:hAnsi="Google Sans"/>
          <w:i w:val="1"/>
          <w:iCs w:val="1"/>
          <w:color w:val="1f1f1f"/>
          <w:rtl w:val="0"/>
        </w:rPr>
        <w:t xml:space="preserve">Journal of Visual Languages and Computing</w:t>
      </w:r>
      <w:r w:rsidDel="00000000" w:rsidR="00000000" w:rsidRPr="00000000">
        <w:rPr>
          <w:rFonts w:ascii="Google Sans" w:cs="Google Sans" w:eastAsia="Google Sans" w:hAnsi="Google Sans"/>
          <w:color w:val="1f1f1f"/>
          <w:rtl w:val="0"/>
        </w:rPr>
        <w:t xml:space="preserve">, 7(2), pp. 131-174. DOI: 10.1006/jvlc.1996.0009. Linked text is the author manuscript. Available at: </w:t>
      </w:r>
      <w:hyperlink r:id="rId21">
        <w:r w:rsidDel="00000000" w:rsidR="00000000" w:rsidRPr="00000000">
          <w:rPr>
            <w:rFonts w:ascii="Google Sans" w:cs="Google Sans" w:eastAsia="Google Sans" w:hAnsi="Google Sans"/>
            <w:color w:val="000000"/>
            <w:u w:val="single"/>
            <w:rtl w:val="0"/>
          </w:rPr>
          <w:t xml:space="preserve">https://history.futureofcoding.org/history/msg_files/F6R/F6R1A64AF.pdf</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Heinonen, A.; Lehtelä, B.; Hellas, A.; and Fagerholm, F. (2023). Synthesizing research on programmers’ mental models of programs, tasks and concepts: A systematic literature review. </w:t>
      </w:r>
      <w:r w:rsidDel="00000000" w:rsidR="00000000" w:rsidRPr="00000000">
        <w:rPr>
          <w:rFonts w:ascii="Google Sans" w:cs="Google Sans" w:eastAsia="Google Sans" w:hAnsi="Google Sans"/>
          <w:i w:val="1"/>
          <w:iCs w:val="1"/>
          <w:color w:val="1f1f1f"/>
          <w:rtl w:val="0"/>
        </w:rPr>
        <w:t xml:space="preserve">Information and Software Technology</w:t>
      </w:r>
      <w:r w:rsidDel="00000000" w:rsidR="00000000" w:rsidRPr="00000000">
        <w:rPr>
          <w:rFonts w:ascii="Google Sans" w:cs="Google Sans" w:eastAsia="Google Sans" w:hAnsi="Google Sans"/>
          <w:color w:val="1f1f1f"/>
          <w:rtl w:val="0"/>
        </w:rPr>
        <w:t xml:space="preserve">, 164, Article 107300. DOI: 10.1016/j.infsof.2023.107300. Available at: </w:t>
      </w:r>
      <w:hyperlink r:id="rId22">
        <w:r w:rsidDel="00000000" w:rsidR="00000000" w:rsidRPr="00000000">
          <w:rPr>
            <w:rFonts w:ascii="Google Sans" w:cs="Google Sans" w:eastAsia="Google Sans" w:hAnsi="Google Sans"/>
            <w:color w:val="000000"/>
            <w:u w:val="single"/>
            <w:rtl w:val="0"/>
          </w:rPr>
          <w:t xml:space="preserve">https://www.sciencedirect.com/science/article/pii/S0950584923001544</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Keemps, R.; Farias, K.; Kunst, R.; Carbonera, C.; and Bolzan, W. (2025). SmellDSL: A domain-specific language to assist developers in specifying code smell patterns. </w:t>
      </w:r>
      <w:r w:rsidDel="00000000" w:rsidR="00000000" w:rsidRPr="00000000">
        <w:rPr>
          <w:rFonts w:ascii="Google Sans" w:cs="Google Sans" w:eastAsia="Google Sans" w:hAnsi="Google Sans"/>
          <w:i w:val="1"/>
          <w:iCs w:val="1"/>
          <w:color w:val="1f1f1f"/>
          <w:rtl w:val="0"/>
        </w:rPr>
        <w:t xml:space="preserve">Information and Software Technology</w:t>
      </w:r>
      <w:r w:rsidDel="00000000" w:rsidR="00000000" w:rsidRPr="00000000">
        <w:rPr>
          <w:rFonts w:ascii="Google Sans" w:cs="Google Sans" w:eastAsia="Google Sans" w:hAnsi="Google Sans"/>
          <w:color w:val="1f1f1f"/>
          <w:rtl w:val="0"/>
        </w:rPr>
        <w:t xml:space="preserve">, 184, Article 107760. DOI: 10.1016/j.infsof.2025.107760. Available at: </w:t>
      </w:r>
      <w:hyperlink r:id="rId23">
        <w:r w:rsidDel="00000000" w:rsidR="00000000" w:rsidRPr="00000000">
          <w:rPr>
            <w:rFonts w:ascii="Google Sans" w:cs="Google Sans" w:eastAsia="Google Sans" w:hAnsi="Google Sans"/>
            <w:color w:val="000000"/>
            <w:u w:val="single"/>
            <w:rtl w:val="0"/>
          </w:rPr>
          <w:t xml:space="preserve">https://www.sciencedirect.com/science/article/abs/pii/S0950584925000990</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_hyperscript project (n.d.). _hyperscript: Official language documentation. Online language documentation. Accessed 19 October 2026. Available at: </w:t>
      </w:r>
      <w:hyperlink r:id="rId24">
        <w:r w:rsidDel="00000000" w:rsidR="00000000" w:rsidRPr="00000000">
          <w:rPr>
            <w:rFonts w:ascii="Google Sans" w:cs="Google Sans" w:eastAsia="Google Sans" w:hAnsi="Google Sans"/>
            <w:color w:val="000000"/>
            <w:u w:val="single"/>
            <w:rtl w:val="0"/>
          </w:rPr>
          <w:t xml:space="preserve">https://hyperscript.org/</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_hyperscript project (n.d.). _hyperscript: Official reference. Online language documentation. Accessed 19 October 2026. Available at: </w:t>
      </w:r>
      <w:hyperlink r:id="rId25">
        <w:r w:rsidDel="00000000" w:rsidR="00000000" w:rsidRPr="00000000">
          <w:rPr>
            <w:rFonts w:ascii="Google Sans" w:cs="Google Sans" w:eastAsia="Google Sans" w:hAnsi="Google Sans"/>
            <w:color w:val="000000"/>
            <w:u w:val="single"/>
            <w:rtl w:val="0"/>
          </w:rPr>
          <w:t xml:space="preserve">https://hyperscript.org/reference/</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LiveCode (n.d.). LiveCode Script: Repeat control structure. Online language documentation. Accessed 19 October 2026. Available at: </w:t>
      </w:r>
      <w:hyperlink r:id="rId26">
        <w:r w:rsidDel="00000000" w:rsidR="00000000" w:rsidRPr="00000000">
          <w:rPr>
            <w:rFonts w:ascii="Google Sans" w:cs="Google Sans" w:eastAsia="Google Sans" w:hAnsi="Google Sans"/>
            <w:color w:val="000000"/>
            <w:u w:val="single"/>
            <w:rtl w:val="0"/>
          </w:rPr>
          <w:t xml:space="preserve">https://docs.livecode.com/docs/LiveCode%20Script/Control%20Structures/repeat/</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Erdweg, S.; Rendel, T.; Kästner, C.; and Ostermann, K. (2011). SugarJ: Library-based syntactic language extensibility. </w:t>
      </w:r>
      <w:r w:rsidDel="00000000" w:rsidR="00000000" w:rsidRPr="00000000">
        <w:rPr>
          <w:rFonts w:ascii="Google Sans" w:cs="Google Sans" w:eastAsia="Google Sans" w:hAnsi="Google Sans"/>
          <w:i w:val="1"/>
          <w:iCs w:val="1"/>
          <w:color w:val="1f1f1f"/>
          <w:rtl w:val="0"/>
        </w:rPr>
        <w:t xml:space="preserve">Proceedings of OOPSLA</w:t>
      </w:r>
      <w:r w:rsidDel="00000000" w:rsidR="00000000" w:rsidRPr="00000000">
        <w:rPr>
          <w:rFonts w:ascii="Google Sans" w:cs="Google Sans" w:eastAsia="Google Sans" w:hAnsi="Google Sans"/>
          <w:color w:val="1f1f1f"/>
          <w:rtl w:val="0"/>
        </w:rPr>
        <w:t xml:space="preserve">, pp. 391-406. Available at: </w:t>
      </w:r>
      <w:hyperlink r:id="rId27">
        <w:r w:rsidDel="00000000" w:rsidR="00000000" w:rsidRPr="00000000">
          <w:rPr>
            <w:rFonts w:ascii="Google Sans" w:cs="Google Sans" w:eastAsia="Google Sans" w:hAnsi="Google Sans"/>
            <w:color w:val="000000"/>
            <w:u w:val="single"/>
            <w:rtl w:val="0"/>
          </w:rPr>
          <w:t xml:space="preserve">https://www.pl.informatik.uni-mainz.de/files/2019/04/sugarj.pdf</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Kistler, T.; and Marais, H. (1998). WebL: A programming language for the web. </w:t>
      </w:r>
      <w:r w:rsidDel="00000000" w:rsidR="00000000" w:rsidRPr="00000000">
        <w:rPr>
          <w:rFonts w:ascii="Google Sans" w:cs="Google Sans" w:eastAsia="Google Sans" w:hAnsi="Google Sans"/>
          <w:i w:val="1"/>
          <w:iCs w:val="1"/>
          <w:color w:val="1f1f1f"/>
          <w:rtl w:val="0"/>
        </w:rPr>
        <w:t xml:space="preserve">Computer Networks and ISDN Systems</w:t>
      </w:r>
      <w:r w:rsidDel="00000000" w:rsidR="00000000" w:rsidRPr="00000000">
        <w:rPr>
          <w:rFonts w:ascii="Google Sans" w:cs="Google Sans" w:eastAsia="Google Sans" w:hAnsi="Google Sans"/>
          <w:color w:val="1f1f1f"/>
          <w:rtl w:val="0"/>
        </w:rPr>
        <w:t xml:space="preserve">, 30(1–7), pp. 259-270. DOI: 10.1016/S0169-7552(98)00018-X. Available at: </w:t>
      </w:r>
      <w:hyperlink r:id="rId28">
        <w:r w:rsidDel="00000000" w:rsidR="00000000" w:rsidRPr="00000000">
          <w:rPr>
            <w:rFonts w:ascii="Google Sans" w:cs="Google Sans" w:eastAsia="Google Sans" w:hAnsi="Google Sans"/>
            <w:color w:val="000000"/>
            <w:u w:val="single"/>
            <w:rtl w:val="0"/>
          </w:rPr>
          <w:t xml:space="preserve">https://www.ra.ethz.ch/cdstore/www7/1832/com1832.htm</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Ferrara, E.; De Meo, P.; Fiumara, G.; and Baumgartner, R. (2014). Web data extraction, applications and techniques: A survey. </w:t>
      </w:r>
      <w:r w:rsidDel="00000000" w:rsidR="00000000" w:rsidRPr="00000000">
        <w:rPr>
          <w:rFonts w:ascii="Google Sans" w:cs="Google Sans" w:eastAsia="Google Sans" w:hAnsi="Google Sans"/>
          <w:i w:val="1"/>
          <w:iCs w:val="1"/>
          <w:color w:val="1f1f1f"/>
          <w:rtl w:val="0"/>
        </w:rPr>
        <w:t xml:space="preserve">Knowledge-Based Systems</w:t>
      </w:r>
      <w:r w:rsidDel="00000000" w:rsidR="00000000" w:rsidRPr="00000000">
        <w:rPr>
          <w:rFonts w:ascii="Google Sans" w:cs="Google Sans" w:eastAsia="Google Sans" w:hAnsi="Google Sans"/>
          <w:color w:val="1f1f1f"/>
          <w:rtl w:val="0"/>
        </w:rPr>
        <w:t xml:space="preserve">, 70, pp. 301-323. DOI: 10.1016/j.knosys.2014.07.007. Linked record provides an author preprint and the published journal citation. Available at: </w:t>
      </w:r>
      <w:hyperlink r:id="rId29">
        <w:r w:rsidDel="00000000" w:rsidR="00000000" w:rsidRPr="00000000">
          <w:rPr>
            <w:rFonts w:ascii="Google Sans" w:cs="Google Sans" w:eastAsia="Google Sans" w:hAnsi="Google Sans"/>
            <w:color w:val="000000"/>
            <w:u w:val="single"/>
            <w:rtl w:val="0"/>
          </w:rPr>
          <w:t xml:space="preserve">https://arxiv.org/abs/1207.0246</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Gao, L.; Madaan, A.; Zhou, S.; Alon, U.; Liu, P.; Yang, Y.; Callan, J.; and Neubig, G. (2023). PAL: Program-aided language models. </w:t>
      </w:r>
      <w:r w:rsidDel="00000000" w:rsidR="00000000" w:rsidRPr="00000000">
        <w:rPr>
          <w:rFonts w:ascii="Google Sans" w:cs="Google Sans" w:eastAsia="Google Sans" w:hAnsi="Google Sans"/>
          <w:i w:val="1"/>
          <w:iCs w:val="1"/>
          <w:color w:val="1f1f1f"/>
          <w:rtl w:val="0"/>
        </w:rPr>
        <w:t xml:space="preserve">Proceedings of the 40th international conference on machine learning</w:t>
      </w:r>
      <w:r w:rsidDel="00000000" w:rsidR="00000000" w:rsidRPr="00000000">
        <w:rPr>
          <w:rFonts w:ascii="Google Sans" w:cs="Google Sans" w:eastAsia="Google Sans" w:hAnsi="Google Sans"/>
          <w:color w:val="1f1f1f"/>
          <w:rtl w:val="0"/>
        </w:rPr>
        <w:t xml:space="preserve">, 202, pp. 10764-10799. Available at: </w:t>
      </w:r>
      <w:hyperlink r:id="rId30">
        <w:r w:rsidDel="00000000" w:rsidR="00000000" w:rsidRPr="00000000">
          <w:rPr>
            <w:rFonts w:ascii="Google Sans" w:cs="Google Sans" w:eastAsia="Google Sans" w:hAnsi="Google Sans"/>
            <w:color w:val="000000"/>
            <w:u w:val="single"/>
            <w:rtl w:val="0"/>
          </w:rPr>
          <w:t xml:space="preserve">https://proceedings.mlr.press/v202/gao23f.html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Scholak, T.; Schucher, N.; and Bahdanau, D. (2021). PICARD: Parsing incrementally for constrained auto-regressive decoding from language models. </w:t>
      </w:r>
      <w:r w:rsidDel="00000000" w:rsidR="00000000" w:rsidRPr="00000000">
        <w:rPr>
          <w:rFonts w:ascii="Google Sans" w:cs="Google Sans" w:eastAsia="Google Sans" w:hAnsi="Google Sans"/>
          <w:i w:val="1"/>
          <w:iCs w:val="1"/>
          <w:color w:val="1f1f1f"/>
          <w:rtl w:val="0"/>
        </w:rPr>
        <w:t xml:space="preserve">Proceedings of the 2021 conference on empirical methods in natural language processing</w:t>
      </w:r>
      <w:r w:rsidDel="00000000" w:rsidR="00000000" w:rsidRPr="00000000">
        <w:rPr>
          <w:rFonts w:ascii="Google Sans" w:cs="Google Sans" w:eastAsia="Google Sans" w:hAnsi="Google Sans"/>
          <w:color w:val="1f1f1f"/>
          <w:rtl w:val="0"/>
        </w:rPr>
        <w:t xml:space="preserve">, pp. 9895-9901. DOI: 10.18653/v1/2021.emnlp-main.779. Available at: </w:t>
      </w:r>
      <w:hyperlink r:id="rId31">
        <w:r w:rsidDel="00000000" w:rsidR="00000000" w:rsidRPr="00000000">
          <w:rPr>
            <w:rFonts w:ascii="Google Sans" w:cs="Google Sans" w:eastAsia="Google Sans" w:hAnsi="Google Sans"/>
            <w:color w:val="000000"/>
            <w:u w:val="single"/>
            <w:rtl w:val="0"/>
          </w:rPr>
          <w:t xml:space="preserve">https://aclanthology.org/2021.emnlp-main.779/</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Geng, S.; Josifoski, M.; Peyrard, M.; and West, R. (2023). Grammar-constrained decoding for structured NLP tasks without finetuning. </w:t>
      </w:r>
      <w:r w:rsidDel="00000000" w:rsidR="00000000" w:rsidRPr="00000000">
        <w:rPr>
          <w:rFonts w:ascii="Google Sans" w:cs="Google Sans" w:eastAsia="Google Sans" w:hAnsi="Google Sans"/>
          <w:i w:val="1"/>
          <w:iCs w:val="1"/>
          <w:color w:val="1f1f1f"/>
          <w:rtl w:val="0"/>
        </w:rPr>
        <w:t xml:space="preserve">Proceedings of the 2023 conference on empirical methods in natural language processing</w:t>
      </w:r>
      <w:r w:rsidDel="00000000" w:rsidR="00000000" w:rsidRPr="00000000">
        <w:rPr>
          <w:rFonts w:ascii="Google Sans" w:cs="Google Sans" w:eastAsia="Google Sans" w:hAnsi="Google Sans"/>
          <w:color w:val="1f1f1f"/>
          <w:rtl w:val="0"/>
        </w:rPr>
        <w:t xml:space="preserve">, pp. 10932-10952. Available at: </w:t>
      </w:r>
      <w:hyperlink r:id="rId32">
        <w:r w:rsidDel="00000000" w:rsidR="00000000" w:rsidRPr="00000000">
          <w:rPr>
            <w:rFonts w:ascii="Google Sans" w:cs="Google Sans" w:eastAsia="Google Sans" w:hAnsi="Google Sans"/>
            <w:color w:val="000000"/>
            <w:u w:val="single"/>
            <w:rtl w:val="0"/>
          </w:rPr>
          <w:t xml:space="preserve">https://aclanthology.org/2023.emnlp-main.674/</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Ferris, L.; and Bonilla, S. (2026). A case study in assuring AI-written software. </w:t>
      </w:r>
      <w:r w:rsidDel="00000000" w:rsidR="00000000" w:rsidRPr="00000000">
        <w:rPr>
          <w:rFonts w:ascii="Google Sans" w:cs="Google Sans" w:eastAsia="Google Sans" w:hAnsi="Google Sans"/>
          <w:i w:val="1"/>
          <w:iCs w:val="1"/>
          <w:color w:val="1f1f1f"/>
          <w:rtl w:val="0"/>
        </w:rPr>
        <w:t xml:space="preserve">arXiv:2610.08651v1</w:t>
      </w:r>
      <w:r w:rsidDel="00000000" w:rsidR="00000000" w:rsidRPr="00000000">
        <w:rPr>
          <w:rFonts w:ascii="Google Sans" w:cs="Google Sans" w:eastAsia="Google Sans" w:hAnsi="Google Sans"/>
          <w:color w:val="1f1f1f"/>
          <w:rtl w:val="0"/>
        </w:rPr>
        <w:t xml:space="preserve">. Preprint. arXiv version 1; preprint, not used as established general evidence. Available at: </w:t>
      </w:r>
      <w:hyperlink r:id="rId33">
        <w:r w:rsidDel="00000000" w:rsidR="00000000" w:rsidRPr="00000000">
          <w:rPr>
            <w:rFonts w:ascii="Google Sans" w:cs="Google Sans" w:eastAsia="Google Sans" w:hAnsi="Google Sans"/>
            <w:color w:val="000000"/>
            <w:u w:val="single"/>
            <w:rtl w:val="0"/>
          </w:rPr>
          <w:t xml:space="preserve">https://arxiv.org/html/2610.08651v1</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Python Software Foundation (n.d.). Python tutorial: More control flow tools. Online language documentation. accessed 19 October 2026. Available at: </w:t>
      </w:r>
      <w:hyperlink r:id="rId34">
        <w:r w:rsidDel="00000000" w:rsidR="00000000" w:rsidRPr="00000000">
          <w:rPr>
            <w:rFonts w:ascii="Google Sans" w:cs="Google Sans" w:eastAsia="Google Sans" w:hAnsi="Google Sans"/>
            <w:color w:val="000000"/>
            <w:u w:val="single"/>
            <w:rtl w:val="0"/>
          </w:rPr>
          <w:t xml:space="preserve">https://docs.python.org/3/tutorial/controlflow.html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Hevner, A. R.; March, S. T.; Park, J.; and Ram, S. (2004). Design science in information systems research. </w:t>
      </w:r>
      <w:r w:rsidDel="00000000" w:rsidR="00000000" w:rsidRPr="00000000">
        <w:rPr>
          <w:rFonts w:ascii="Google Sans" w:cs="Google Sans" w:eastAsia="Google Sans" w:hAnsi="Google Sans"/>
          <w:i w:val="1"/>
          <w:iCs w:val="1"/>
          <w:color w:val="1f1f1f"/>
          <w:rtl w:val="0"/>
        </w:rPr>
        <w:t xml:space="preserve">MIS Quarterly</w:t>
      </w:r>
      <w:r w:rsidDel="00000000" w:rsidR="00000000" w:rsidRPr="00000000">
        <w:rPr>
          <w:rFonts w:ascii="Google Sans" w:cs="Google Sans" w:eastAsia="Google Sans" w:hAnsi="Google Sans"/>
          <w:color w:val="1f1f1f"/>
          <w:rtl w:val="0"/>
        </w:rPr>
        <w:t xml:space="preserve">, 28(1), pp. 75-105. Available at: </w:t>
      </w:r>
      <w:hyperlink r:id="rId35">
        <w:r w:rsidDel="00000000" w:rsidR="00000000" w:rsidRPr="00000000">
          <w:rPr>
            <w:rFonts w:ascii="Google Sans" w:cs="Google Sans" w:eastAsia="Google Sans" w:hAnsi="Google Sans"/>
            <w:color w:val="000000"/>
            <w:u w:val="single"/>
            <w:rtl w:val="0"/>
          </w:rPr>
          <w:t xml:space="preserve">https://aisel.aisnet.org/misq/vol28/iss1/6/</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DEAL-X (n.d.). DEAL.JS: Engine configuration and native JavaScript passthrough. Software. Engine.cs, commit d76dcae3bf157e3969be0bd1f98ed2522defc2b9; accessed 19 October 2026. Available at: </w:t>
      </w:r>
      <w:hyperlink r:id="rId36">
        <w:r w:rsidDel="00000000" w:rsidR="00000000" w:rsidRPr="00000000">
          <w:rPr>
            <w:rFonts w:ascii="Google Sans" w:cs="Google Sans" w:eastAsia="Google Sans" w:hAnsi="Google Sans"/>
            <w:color w:val="000000"/>
            <w:u w:val="single"/>
            <w:rtl w:val="0"/>
          </w:rPr>
          <w:t xml:space="preserve">https://github.com/DEAL-X/DEAL-JS/blob/d76dcae3bf157e3969be0bd1f98ed2522defc2b9/DEAL.JS/Engine.cs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DEAL-X (n.d.). DEAL Engine: Generic compiler framework. Software. Version 8800695b1bbe6274f71f581473943ff7943d5036; accessed 19 October 2026. Available at: </w:t>
      </w:r>
      <w:hyperlink r:id="rId37">
        <w:r w:rsidDel="00000000" w:rsidR="00000000" w:rsidRPr="00000000">
          <w:rPr>
            <w:rFonts w:ascii="Google Sans" w:cs="Google Sans" w:eastAsia="Google Sans" w:hAnsi="Google Sans"/>
            <w:color w:val="000000"/>
            <w:u w:val="single"/>
            <w:rtl w:val="0"/>
          </w:rPr>
          <w:t xml:space="preserve">https://github.com/DEAL-X/Engine</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DEAL-X (n.d.). DEAL.JS: Tokenizer implementation. Software. Tokenizer.cs, commit d76dcae3bf157e3969be0bd1f98ed2522defc2b9; accessed 19 October 2026. Available at: </w:t>
      </w:r>
      <w:hyperlink r:id="rId38">
        <w:r w:rsidDel="00000000" w:rsidR="00000000" w:rsidRPr="00000000">
          <w:rPr>
            <w:rFonts w:ascii="Google Sans" w:cs="Google Sans" w:eastAsia="Google Sans" w:hAnsi="Google Sans"/>
            <w:color w:val="000000"/>
            <w:u w:val="single"/>
            <w:rtl w:val="0"/>
          </w:rPr>
          <w:t xml:space="preserve">https://github.com/DEAL-X/DEAL-JS/blob/d76dcae3bf157e3969be0bd1f98ed2522defc2b9/DEAL.JS/Tokenizer.cs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DEAL-X (n.d.). DEAL Engine: Generic engine implementation. Software. Engine.cs, commit 8800695b1bbe6274f71f581473943ff7943d5036; accessed 19 October 2026. Available at: </w:t>
      </w:r>
      <w:hyperlink r:id="rId39">
        <w:r w:rsidDel="00000000" w:rsidR="00000000" w:rsidRPr="00000000">
          <w:rPr>
            <w:rFonts w:ascii="Google Sans" w:cs="Google Sans" w:eastAsia="Google Sans" w:hAnsi="Google Sans"/>
            <w:color w:val="000000"/>
            <w:u w:val="single"/>
            <w:rtl w:val="0"/>
          </w:rPr>
          <w:t xml:space="preserve">https://github.com/DEAL-X/Engine/blob/8800695b1bbe6274f71f581473943ff7943d5036/Engine/Engine.cs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DEAL-X (n.d.). DEAL Environment: JavaScript execution host. Software. Version 9ef64b9ae94e1017273f9780a4466973b4d5747d; accessed 19 October 2026. Available at: </w:t>
      </w:r>
      <w:hyperlink r:id="rId40">
        <w:r w:rsidDel="00000000" w:rsidR="00000000" w:rsidRPr="00000000">
          <w:rPr>
            <w:rFonts w:ascii="Google Sans" w:cs="Google Sans" w:eastAsia="Google Sans" w:hAnsi="Google Sans"/>
            <w:color w:val="000000"/>
            <w:u w:val="single"/>
            <w:rtl w:val="0"/>
          </w:rPr>
          <w:t xml:space="preserve">https://github.com/DEAL-X/Environment</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DEAL-X (n.d.). DEAL.JS: Local resource commands. Software. local.djs, commit d76dcae3bf157e3969be0bd1f98ed2522defc2b9; accessed 19 October 2026. Available at: </w:t>
      </w:r>
      <w:hyperlink r:id="rId41">
        <w:r w:rsidDel="00000000" w:rsidR="00000000" w:rsidRPr="00000000">
          <w:rPr>
            <w:rFonts w:ascii="Google Sans" w:cs="Google Sans" w:eastAsia="Google Sans" w:hAnsi="Google Sans"/>
            <w:color w:val="000000"/>
            <w:u w:val="single"/>
            <w:rtl w:val="0"/>
          </w:rPr>
          <w:t xml:space="preserve">https://github.com/DEAL-X/DEAL-JS/blob/d76dcae3bf157e3969be0bd1f98ed2522defc2b9/Library/deal/data/local.djs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MDN contributors (n.d.). JavaScript guide: Using promises. Online technical documentation. Technical documentation; accessed 19 October 2026. Available at: </w:t>
      </w:r>
      <w:hyperlink r:id="rId42">
        <w:r w:rsidDel="00000000" w:rsidR="00000000" w:rsidRPr="00000000">
          <w:rPr>
            <w:rFonts w:ascii="Google Sans" w:cs="Google Sans" w:eastAsia="Google Sans" w:hAnsi="Google Sans"/>
            <w:color w:val="000000"/>
            <w:u w:val="single"/>
            <w:rtl w:val="0"/>
          </w:rPr>
          <w:t xml:space="preserve">https://developer.mozilla.org/en-US/docs/Web/JavaScript/Guide/Using_promises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DEAL-X (n.d.). DEAL.JS: Assembler implementation. Software. Assembler.cs, commit d76dcae3bf157e3969be0bd1f98ed2522defc2b9; accessed 19 October 2026. Available at: </w:t>
      </w:r>
      <w:hyperlink r:id="rId43">
        <w:r w:rsidDel="00000000" w:rsidR="00000000" w:rsidRPr="00000000">
          <w:rPr>
            <w:rFonts w:ascii="Google Sans" w:cs="Google Sans" w:eastAsia="Google Sans" w:hAnsi="Google Sans"/>
            <w:color w:val="000000"/>
            <w:u w:val="single"/>
            <w:rtl w:val="0"/>
          </w:rPr>
          <w:t xml:space="preserve">https://github.com/DEAL-X/DEAL-JS/blob/d76dcae3bf157e3969be0bd1f98ed2522defc2b9/DEAL.JS/Assembler.cs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 Guo, P. J. (2018). Non-native english speakers learning computer programming: Barriers, desires, and design opportunities. Proceedings of the 2018 CHI conference on human factors in computing systems, pp. 396:1-396:14. DOI: 10.1145/3173574.3173970. Available at: </w:t>
      </w:r>
      <w:hyperlink r:id="rId44">
        <w:r w:rsidDel="00000000" w:rsidR="00000000" w:rsidRPr="00000000">
          <w:rPr>
            <w:rFonts w:ascii="Google Sans" w:cs="Google Sans" w:eastAsia="Google Sans" w:hAnsi="Google Sans"/>
            <w:color w:val="000000"/>
            <w:u w:val="single"/>
            <w:rtl w:val="0"/>
          </w:rPr>
          <w:t xml:space="preserve">https://pg.ucsd.edu/publications/non-native-english-speakers-learning-programming_CHI-2018.pdf</w:t>
        </w:r>
      </w:hyperlink>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q=https://github.com/DEAL-X/Environment" TargetMode="External"/><Relationship Id="rId20" Type="http://schemas.openxmlformats.org/officeDocument/2006/relationships/hyperlink" Target="https://link.springer.com/article/10.1007/s11219-023-09631-7" TargetMode="External"/><Relationship Id="rId42" Type="http://schemas.openxmlformats.org/officeDocument/2006/relationships/hyperlink" Target="https://developer.mozilla.org/en-US/docs/Web/JavaScript/Guide/Using_promises" TargetMode="External"/><Relationship Id="rId41" Type="http://schemas.openxmlformats.org/officeDocument/2006/relationships/hyperlink" Target="https://www.google.com/search?q=https://github.com/DEAL-X/DEAL-JS/blob/d76dcae3bf157e3969be0bd1f98ed2522defc2b9/Library/deal/data/local.djs" TargetMode="External"/><Relationship Id="rId22" Type="http://schemas.openxmlformats.org/officeDocument/2006/relationships/hyperlink" Target="https://www.sciencedirect.com/science/article/pii/S0950584923001544" TargetMode="External"/><Relationship Id="rId44" Type="http://schemas.openxmlformats.org/officeDocument/2006/relationships/hyperlink" Target="https://www.google.com/search?q=https://pg.ucsd.edu/publications/non-native-english-speakers-learning-programming_CHI-2018.pdf" TargetMode="External"/><Relationship Id="rId21" Type="http://schemas.openxmlformats.org/officeDocument/2006/relationships/hyperlink" Target="https://history.futureofcoding.org/history/msg_files/F6R/F6R1A64AF.pdf" TargetMode="External"/><Relationship Id="rId43" Type="http://schemas.openxmlformats.org/officeDocument/2006/relationships/hyperlink" Target="https://www.google.com/search?q=https://github.com/DEAL-X/DEAL-JS/blob/d76dcae3bf157e3969be0bd1f98ed2522defc2b9/DEAL.JS/Assembler.cs" TargetMode="External"/><Relationship Id="rId24" Type="http://schemas.openxmlformats.org/officeDocument/2006/relationships/hyperlink" Target="https://hyperscript.org/" TargetMode="External"/><Relationship Id="rId23" Type="http://schemas.openxmlformats.org/officeDocument/2006/relationships/hyperlink" Target="https://www.sciencedirect.com/science/article/abs/pii/S09505849250009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107.03374" TargetMode="External"/><Relationship Id="rId26" Type="http://schemas.openxmlformats.org/officeDocument/2006/relationships/hyperlink" Target="https://docs.livecode.com/docs/LiveCode%20Script/Control%20Structures/repeat/" TargetMode="External"/><Relationship Id="rId25" Type="http://schemas.openxmlformats.org/officeDocument/2006/relationships/hyperlink" Target="https://hyperscript.org/reference/" TargetMode="External"/><Relationship Id="rId28" Type="http://schemas.openxmlformats.org/officeDocument/2006/relationships/hyperlink" Target="https://www.ra.ethz.ch/cdstore/www7/1832/com1832.htm" TargetMode="External"/><Relationship Id="rId27" Type="http://schemas.openxmlformats.org/officeDocument/2006/relationships/hyperlink" Target="https://www.google.com/search?q=https://www.pl.informatik.uni-mainz.de/files/2019/04/sugarj.pdf" TargetMode="External"/><Relationship Id="rId5" Type="http://schemas.openxmlformats.org/officeDocument/2006/relationships/styles" Target="styles.xml"/><Relationship Id="rId6" Type="http://schemas.openxmlformats.org/officeDocument/2006/relationships/hyperlink" Target="https://researchdiscovery.drexel.edu/esploro/outputs/journalArticle/The-State-of-the-Art-in/991019167334204721" TargetMode="External"/><Relationship Id="rId29" Type="http://schemas.openxmlformats.org/officeDocument/2006/relationships/hyperlink" Target="https://arxiv.org/abs/1207.0246" TargetMode="External"/><Relationship Id="rId7" Type="http://schemas.openxmlformats.org/officeDocument/2006/relationships/hyperlink" Target="https://www.google.com/search?q=https://expertise.unimi.it/resource/item/669695?language%3Den-US" TargetMode="External"/><Relationship Id="rId8" Type="http://schemas.openxmlformats.org/officeDocument/2006/relationships/hyperlink" Target="https://dl.acm.org/doi/pdf/10.1145/3491101.3519665" TargetMode="External"/><Relationship Id="rId31" Type="http://schemas.openxmlformats.org/officeDocument/2006/relationships/hyperlink" Target="https://aclanthology.org/2021.emnlp-main.779/" TargetMode="External"/><Relationship Id="rId30" Type="http://schemas.openxmlformats.org/officeDocument/2006/relationships/hyperlink" Target="https://proceedings.mlr.press/v202/gao23f.html" TargetMode="External"/><Relationship Id="rId11" Type="http://schemas.openxmlformats.org/officeDocument/2006/relationships/hyperlink" Target="https://www.google.com/search?q=https://github.com/DEAL-X/DEAL-JS" TargetMode="External"/><Relationship Id="rId33" Type="http://schemas.openxmlformats.org/officeDocument/2006/relationships/hyperlink" Target="https://arxiv.org/html/2610.08651v1" TargetMode="External"/><Relationship Id="rId10" Type="http://schemas.openxmlformats.org/officeDocument/2006/relationships/hyperlink" Target="https://proceedings.neurips.cc/paper_files/paper/2023/hash/43e9d647ccd3e4b7b5baab53f0368686-Abstract-Conference.html" TargetMode="External"/><Relationship Id="rId32" Type="http://schemas.openxmlformats.org/officeDocument/2006/relationships/hyperlink" Target="https://aclanthology.org/2023.emnlp-main.674/" TargetMode="External"/><Relationship Id="rId13" Type="http://schemas.openxmlformats.org/officeDocument/2006/relationships/hyperlink" Target="https://www.spinellis.gr/pubs/jrnl/2000-JSS-DSLPatterns/html/dslpat.html" TargetMode="External"/><Relationship Id="rId35" Type="http://schemas.openxmlformats.org/officeDocument/2006/relationships/hyperlink" Target="https://aisel.aisnet.org/misq/vol28/iss1/6/" TargetMode="External"/><Relationship Id="rId12" Type="http://schemas.openxmlformats.org/officeDocument/2006/relationships/hyperlink" Target="https://aclanthology.org/J14-1005/" TargetMode="External"/><Relationship Id="rId34" Type="http://schemas.openxmlformats.org/officeDocument/2006/relationships/hyperlink" Target="https://docs.python.org/3/tutorial/controlflow.html" TargetMode="External"/><Relationship Id="rId15" Type="http://schemas.openxmlformats.org/officeDocument/2006/relationships/hyperlink" Target="https://arxiv.org/abs/1702.08608" TargetMode="External"/><Relationship Id="rId37" Type="http://schemas.openxmlformats.org/officeDocument/2006/relationships/hyperlink" Target="https://www.google.com/search?q=https://github.com/DEAL-X/Engine" TargetMode="External"/><Relationship Id="rId14" Type="http://schemas.openxmlformats.org/officeDocument/2006/relationships/hyperlink" Target="https://vis.csail.mit.edu/classes/6.859/readings/pdfs/Lipton-TheMythosOfModelInterpretability.pdf" TargetMode="External"/><Relationship Id="rId36" Type="http://schemas.openxmlformats.org/officeDocument/2006/relationships/hyperlink" Target="https://www.google.com/search?q=https://github.com/DEAL-X/DEAL-JS/blob/d76dcae3bf157e3969be0bd1f98ed2522defc2b9/DEAL.JS/Engine.cs" TargetMode="External"/><Relationship Id="rId17" Type="http://schemas.openxmlformats.org/officeDocument/2006/relationships/hyperlink" Target="https://journals.plos.org/ploscompbiol/article?id=10.1371/journal.pcbi.1003285" TargetMode="External"/><Relationship Id="rId39" Type="http://schemas.openxmlformats.org/officeDocument/2006/relationships/hyperlink" Target="https://www.google.com/search?q=https://github.com/DEAL-X/Engine/blob/8800695b1bbe6274f71f581473943ff7943d5036/Engine/Engine.cs" TargetMode="External"/><Relationship Id="rId16" Type="http://schemas.openxmlformats.org/officeDocument/2006/relationships/hyperlink" Target="https://www.nature.com/articles/s42256-019-0048-x" TargetMode="External"/><Relationship Id="rId38" Type="http://schemas.openxmlformats.org/officeDocument/2006/relationships/hyperlink" Target="https://www.google.com/search?q=https://github.com/DEAL-X/DEAL-JS/blob/d76dcae3bf157e3969be0bd1f98ed2522defc2b9/DEAL.JS/Tokenizer.cs" TargetMode="External"/><Relationship Id="rId19" Type="http://schemas.openxmlformats.org/officeDocument/2006/relationships/hyperlink" Target="https://eric.ed.gov/?id=EJ1042402" TargetMode="External"/><Relationship Id="rId18" Type="http://schemas.openxmlformats.org/officeDocument/2006/relationships/hyperlink" Target="https://www.nature.com/articles/sdata2016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