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hd w:fill="auto" w:val="clear"/>
        <w:spacing w:after="0" w:before="0" w:line="275.9999942779541" w:lineRule="auto"/>
        <w:jc w:val="center"/>
        <w:rPr>
          <w:rFonts w:ascii="Google Sans" w:cs="Google Sans" w:eastAsia="Google Sans" w:hAnsi="Google Sans"/>
          <w:color w:val="1f1f1f"/>
        </w:rPr>
      </w:pPr>
      <w:r w:rsidDel="00000000" w:rsidR="00000000" w:rsidRPr="00000000">
        <w:rPr>
          <w:rFonts w:ascii="Times New Roman" w:cs="Google Sans" w:eastAsia="Google Sans" w:hAnsi="Times New Roman"/>
          <w:b/>
          <w:color w:val="17324D"/>
          <w:sz w:val="42"/>
          <w:rtl w:val="0"/>
        </w:rPr>
        <w:t xml:space="preserve">DEAL.JS: An Extensible Language for Inspectable Human–AI Research Programming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f1f1f"/>
          <w:sz w:val="20"/>
          <w:rtl w:val="0"/>
        </w:rPr>
        <w:t xml:space="preserve">Mohammad Fathi; Mehrdad CheshmeSohrabi; Ahmad Shabani; Ali Mansouri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i w:val="1"/>
          <w:iCs w:val="1"/>
          <w:color w:val="1f1f1f"/>
        </w:rPr>
      </w:pPr>
      <w:r w:rsidDel="00000000" w:rsidR="00000000" w:rsidRPr="00000000">
        <w:rPr>
          <w:rFonts w:ascii="Times New Roman" w:cs="Google Sans" w:eastAsia="Google Sans" w:hAnsi="Times New Roman"/>
          <w:i/>
          <w:iCs w:val="1"/>
          <w:color w:val="1f1f1f"/>
          <w:sz w:val="20"/>
          <w:rtl w:val="0"/>
        </w:rPr>
        <w:t xml:space="preserve">Department of Knowledge and Information Science, University of Isfahan, Isfahan, Iran</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52" w:lineRule="auto" w:after="80"/>
        <w:rPr>
          <w:rFonts w:ascii="Google Sans" w:cs="Google Sans" w:eastAsia="Google Sans" w:hAnsi="Google Sans"/>
          <w:color w:val="1f1f1f"/>
        </w:rPr>
      </w:pPr>
      <w:r>
        <w:rPr>
          <w:b/>
        </w:rPr>
        <w:t>Context:</w:t>
      </w:r>
      <w:r>
        <w:t xml:space="preserve"> AI-assisted programming can reduce the effort required to draft software, but it does not remove the need to establish that an implementation faithfully executes a research method. This paper examines how an explicit source representation can make program intent, translation, and execution evidence available for review.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52" w:lineRule="auto" w:after="80"/>
        <w:rPr>
          <w:rFonts w:ascii="Google Sans" w:cs="Google Sans" w:eastAsia="Google Sans" w:hAnsi="Google Sans"/>
          <w:color w:val="1f1f1f"/>
        </w:rPr>
      </w:pPr>
      <w:r>
        <w:rPr>
          <w:b/>
        </w:rPr>
        <w:t>Objective:</w:t>
      </w:r>
      <w:r>
        <w:t xml:space="preserve"> We present DEAL (Declarative and Extensible Abstract Language) and DEAL.JS, its JavaScript-targeting implementation, as a constrained, natural-language-like programming representation that can be inspected by researchers, generated or revised with AI assistance, and compiled into JavaScript using defined language rules.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52" w:lineRule="auto" w:after="80"/>
        <w:rPr>
          <w:rFonts w:ascii="Google Sans" w:cs="Google Sans" w:eastAsia="Google Sans" w:hAnsi="Google Sans"/>
          <w:color w:val="1f1f1f"/>
        </w:rPr>
      </w:pPr>
      <w:r>
        <w:rPr>
          <w:b/>
        </w:rPr>
        <w:t>Methods:</w:t>
      </w:r>
      <w:r>
        <w:t xml:space="preserve"> We describe the language constructs, modular vocabulary mechanism, and five-stage source-to-source compiler; define analytical conditions for deterministic translation and semantic preservation; and evaluate a synthetic catalog workflow covering extraction-shaped inputs, normalization, validation, deduplication, and serialization. A 19-check JavaScript test suite assesses the stated application data contract. No human-participant study or live web acquisition was conducted.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52" w:lineRule="auto" w:after="80"/>
        <w:rPr>
          <w:rFonts w:ascii="Google Sans" w:cs="Google Sans" w:eastAsia="Google Sans" w:hAnsi="Google Sans"/>
          <w:color w:val="1f1f1f"/>
        </w:rPr>
      </w:pPr>
      <w:r>
        <w:rPr>
          <w:b/>
        </w:rPr>
        <w:t>Results:</w:t>
      </w:r>
      <w:r>
        <w:t xml:space="preserve"> All 19 checks in the accompanying reconstructed case-validation suite passed. Of five synthetic records, two were accepted (40%) and three rejected (60%): one duplicate identifier, one missing or invalid main price, and one discount outside the permitted interval. The results support the tested transformation and storage rules for these fixtures only; they do not measure whole-language conformance, live extraction accuracy, usability, AI-generation success, or performance.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52" w:lineRule="auto" w:after="80"/>
        <w:rPr>
          <w:rFonts w:ascii="Google Sans" w:cs="Google Sans" w:eastAsia="Google Sans" w:hAnsi="Google Sans"/>
          <w:color w:val="1f1f1f"/>
        </w:rPr>
      </w:pPr>
      <w:r>
        <w:rPr>
          <w:b/>
        </w:rPr>
        <w:t>Conclusion:</w:t>
      </w:r>
      <w:r>
        <w:t xml:space="preserve"> DEAL.JS demonstrates an implemented architecture for combining domain-oriented commands, configurable vocabulary, contextual handlers, and embedded JavaScript under a source-to-source compiler. Its contribution is a reviewable program representation and an explicit basis for testing—not evidence that readable syntax by itself guarantees correctness, reproducibility, or improved human performance. Comparative compiler, extraction, human-comprehension, and AI-generation studies remain necessary.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52" w:lineRule="auto" w:after="80"/>
        <w:rPr>
          <w:rFonts w:ascii="Google Sans" w:cs="Google Sans" w:eastAsia="Google Sans" w:hAnsi="Google Sans"/>
          <w:color w:val="1f1f1f"/>
        </w:rPr>
      </w:pPr>
      <w:r>
        <w:rPr>
          <w:b/>
        </w:rPr>
        <w:t>Keywords:</w:t>
      </w:r>
      <w:r>
        <w:t xml:space="preserve"> AI-assisted programming; controlled natural language; domain-specific languages; source-to-source compilation; program comprehension; reproducible research; web data extraction.</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Research software often sits at the boundary between domain expertise and software engineering. A researcher may understand the scientific method in depth without having equivalent experience in software design, testing, debugging, and maintenance. End-user software engineering research has long documented that the work required to create dependable software extends beyond writing an initial program [1,2]. The resulting challenge is to represent a research procedure precisely enough to execute, while keeping its consequential decisions available for inspection.</w:t>
      </w:r>
      <w:r>
        <w:t xml:space="preserve"> [1,2]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AI-assisted code generation changes how software can be drafted, but generated code still requires independent verification. User studies have identified difficulties in understanding, editing, and debugging model-generated code, while execution-based evaluations show that apparent plausibility is not a reliable proxy for functional correctness [3–5]. For research workflows, this creates a representational problem: a natural-language request and a large implementation are insufficient unless a reviewer can trace the link between methodological intent, executable operations, and observed results.</w:t>
      </w:r>
      <w:r>
        <w:t xml:space="preserve"> [3–5]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DEAL (Declarative and Extensible Abstract Language) addresses this problem by providing a constrained programming representation with explicit control structures, reusable commands, configurable vocabulary, and contextual handlers. DEAL.JS is its JavaScript-targeting implementation. Its compiler translates recognized DEAL constructions into JavaScript while permitting ordinary JavaScript to coexist in the same source file [6]. The proposed workflow keeps the program itself—not an explanatory paragraph or a model-generated rationale—as the central artifact for human review and machine execution.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design draws on controlled-language research and established approaches to domain-specific language engineering [7,8]. Its contribution is not the invention of readable keywords or modular programming; it is the integration of a stable structural language, replaceable vocabulary, domain modules, a mixed-source adoption path, and inspectable target generation in a research-oriented workflow. Readability is therefore treated as a design property to evaluate, not as proof of usability or correctness.</w:t>
      </w:r>
      <w:r>
        <w:t xml:space="preserve"> [7,8]</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This article makes five contributions: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t>It specifies a shared, executable source representation for researcher intent, AI-assisted revision, and conventional runtime execution.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t>It documents DEAL.JS language constructs and the five-stage compilation architecture, including JavaScript interoperability.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t>It presents a synthetic catalog workflow that combines acquisition-oriented orchestration, extraction-shaped records, preprocessing, validation, and persistence.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t>It states conditional semantic requirements for vocabulary localization and reuse across alternative target backends.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t>It separates implemented functionality and case-level assertions from the additional evidence needed to establish compiler conformance, human comprehension, AI-generation performance, and operational cost.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analysis is organized around three research questions: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t>RQ1: Which representation and compiler mechanisms connect domain-level review with executable implementation?</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t>RQ2: Under what explicit conditions can vocabulary adaptation and alternative backends preserve observable behavior?</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t>RQ3: How can acquisition, extraction, preprocessing, and persistence be composed into a reviewable research workflow?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RQ1 is addressed by the language model and compilation architecture; RQ2 by conditional semantic contracts; and RQ3 by the worked synthetic workflow and its data-contract checks. Effects on human comprehension, AI-generation success, and operational performance are not treated as results because those outcomes were not measured in this study.</w:t>
      </w:r>
    </w:p>
    <w:p w:rsidR="00000000" w:rsidDel="00000000" w:rsidP="00000000" w:rsidRDefault="00000000" w:rsidRPr="00000000" w14:paraId="0000001B">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problem and design rationale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forms of opacity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“Opacity” arises at several distinct levels in AI-assisted research. Model interpretability concerns the relationship between learned computation, predictions, and post-hoc explanations; these concepts should not be conflated [9–11]. Programming-language design addresses a different object: the explicit procedure through which data are acquired, transformed, analyzed, and stored. Improving the visibility of that procedure does not, by itself, explain the internal workings of a neural model.</w:t>
      </w:r>
      <w:r>
        <w:t xml:space="preserve"> [9–11]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We distinguish model opacity (internal learned computation), program opacity (the procedure expressed in source code), and workflow opacity (the links among data sources, transformations, dependencies, and outputs). DEAL primarily targets program and workflow opacity by placing consequential operations in an identifiable executable artifact. If a workflow invokes an opaque predictive model, the invocation conditions and downstream uses can be inspected even though the model’s internal computation remains a separate interpretability problem.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This distinction defines what the representation should expose: which observations enter an analysis, which transformations are applied, which criteria exclude records, what dependencies are loaded, and which external effects occur. Domain commands can make those choices easier to locate, but their implementations and contracts must remain inspectable. Readability and computational evidence are complementary; neither substitutes for the other.</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communication gap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proposed workflow assigns separate responsibilities to each participant. Researchers define the scientific objective and judge domain validity; an AI system may draft or revise the program; the compiler translates supported source constructions; and the runtime executes the generated program. This arrangement supports review without transferring scientific authority to the compiler or presuming that AI-produced source is correct.</w:t>
      </w:r>
    </w:p>
    <w:p w:rsidR="00000000" w:rsidDel="00000000" w:rsidP="00000000" w:rsidRDefault="00000000" w:rsidRPr="00000000" w14:paraId="00000022">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Pr>
          <w:rFonts w:ascii="Times New Roman" w:hAnsi="Times New Roman"/>
          <w:i/>
          <w:color w:val="46525E"/>
          <w:sz w:val="18"/>
        </w:rPr>
        <w:t>Figure 1 summarizes the collaboration loop. Its central control is artifact identity: the reviewed source, generated JavaScript, configuration, dependencies, and execution record should refer to the same program version. When observations disagree with expectations, this record allows investigation of whether the cause lies in a domain rule, command implementation, translation, dependency, or runtime condition.</w:t>
      </w:r>
    </w:p>
    <w:p>
      <w:pPr>
        <w:keepNext/>
        <w:spacing w:before="80" w:after="40"/>
        <w:jc w:val="center"/>
      </w:pPr>
      <w:r>
        <w:drawing>
          <wp:inline>
            <wp:extent cx="5806440" cy="2249995"/>
            <wp:docPr id="1" name="Picture 1" descr="Diagram of researcher intent passing through DEAL source, compiler, and runtime, with execution evidence returning for human review."/>
            <wp:cNvGraphicFramePr>
              <a:graphicFrameLocks noChangeAspect="1"/>
            </wp:cNvGraphicFramePr>
            <a:graphic>
              <a:graphicData uri="http://schemas.openxmlformats.org/drawingml/2006/picture">
                <pic:pic>
                  <pic:nvPicPr>
                    <pic:cNvPr id="0" name="figure1.png"/>
                    <pic:cNvPicPr/>
                  </pic:nvPicPr>
                  <pic:blipFill>
                    <a:blip r:embed="rId45"/>
                    <a:stretch>
                      <a:fillRect/>
                    </a:stretch>
                  </pic:blipFill>
                  <pic:spPr>
                    <a:xfrm>
                      <a:off x="0" y="0"/>
                      <a:ext cx="5806440" cy="2249995"/>
                    </a:xfrm>
                    <a:prstGeom prst="rect"/>
                  </pic:spPr>
                </pic:pic>
              </a:graphicData>
            </a:graphic>
          </wp:inline>
        </w:drawing>
      </w:r>
    </w:p>
    <w:p w:rsidR="00000000" w:rsidDel="00000000" w:rsidP="00000000" w:rsidRDefault="00000000" w:rsidRPr="00000000" w14:paraId="00000023">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Pr>
          <w:rFonts w:ascii="Times New Roman" w:hAnsi="Times New Roman"/>
          <w:i/>
          <w:color w:val="46525E"/>
          <w:sz w:val="18"/>
        </w:rPr>
        <w:t>Figure 1. Shared executable representation linking researcher intent, AI-assisted revision, compilation, and execution. The diagram is conceptual; the reviewed source, generated target, configuration, and run record should be version-linked.</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Objectives and requirements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design is guided by seven objectives: reviewable intent, precise translation, incremental adoption, domain reuse, adaptable vocabulary, reproducibility, and reuse of the core model across backends. Table 1 maps these objectives to implementation mechanisms and to evidence that would be needed to evaluate them.</w:t>
      </w:r>
    </w:p>
    <w:p w:rsidR="00000000" w:rsidDel="00000000" w:rsidP="00000000" w:rsidRDefault="00000000" w:rsidRPr="00000000" w14:paraId="00000026">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Pr>
          <w:rFonts w:ascii="Times New Roman" w:hAnsi="Times New Roman"/>
          <w:i/>
          <w:color w:val="46525E"/>
          <w:sz w:val="18"/>
        </w:rPr>
        <w:t>Table 1. Design objectives, corresponding mechanisms, and evaluation criteria.</w:t>
      </w:r>
    </w:p>
    <w:tbl>
      <w:tblPr>
        <w:tblStyle w:val="Table1"/>
        <w:tblW w:w="9360.0" w:type="dxa"/>
        <w:jc w:val="center"/>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autofit"/>
        <w:tblLook w:val="0600"/>
      </w:tblPr>
      <w:tblGrid>
        <w:gridCol w:w="3120"/>
        <w:gridCol w:w="3120"/>
        <w:gridCol w:w="3120"/>
        <w:tblGridChange w:id="0">
          <w:tblGrid>
            <w:gridCol w:w="3120"/>
            <w:gridCol w:w="3120"/>
            <w:gridCol w:w="3120"/>
          </w:tblGrid>
        </w:tblGridChange>
      </w:tblGrid>
      <w:tr>
        <w:trPr>
          <w:cantSplit w:val="0"/>
          <w:tblHeader w:val="0"/>
          <w:tblHeader w:val="true"/>
        </w:trPr>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Objective</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DEAL design response</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Criterion for evaluation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Reviewable research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Domain commands and explicit control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Correct comprehension and detection of seeded semantic errors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Precise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Constrained grammar and target-source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Agreement with independently specified observable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Incremental adoption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Ordinary JavaScript alongside DEAL instructions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Completion of mixed-source tasks without unnecessary rewrites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Reusable domain knowledge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Commands and importable modules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Reuse across tasks with documented input/output contracts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Adaptable human vocabulary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Replacement reserves and optional readability 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Semantic equivalence across vocabulary configurations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Research reproducibility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Executable workflow plus versioned inputs and dependencies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Re-execution from archived materials with matching relevant outputs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Cross-language reuse of the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Separation of language concepts from backend implementation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Equivalent behavior on a declared portable subset</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t>Reproducible computational research requires recording inputs, program versions, parameters, dependencies, and relevant intermediate outputs; otherwise, written methods may diverge from the procedures that actually ran [12]. The FAIR principles emphasize findability, accessibility, interoperability, and reuse of data and metadata [13]. DEAL can provide an inspectable program artifact within such a record, but the language alone does not provide provenance capture, guarantee rerun equivalence, or confer FAIR compliance.</w:t>
      </w:r>
      <w:r>
        <w:t xml:space="preserve"> [12,13]</w:t>
      </w:r>
    </w:p>
    <w:p w:rsidR="00000000" w:rsidDel="00000000" w:rsidP="00000000" w:rsidRDefault="00000000" w:rsidRPr="00000000" w14:paraId="00000040">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Related work and comparative positioning</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Controlled language and programming accessibility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Controlled natural languages restrict vocabulary and grammar to make language more tractable for formal interpretation [7]. Domain-specific language design similarly uses task-oriented abstractions to expose domain concepts while retaining defined computational semantics [8]. DEAL applies these ideas to research programming: its natural-language-like surface remains a constrained formal language, and vocabulary extension does not imply unrestricted interpretation of ordinary prose.</w:t>
      </w:r>
      <w:r>
        <w:t xml:space="preserve"> [7,8]</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Programming syntax is an empirical design choice, not a self-validating usability feature. Experiments have found that notation affects novice performance, while replication work cautions that familiar words do not make programming uniformly intuitive [14,15]. Accordingly, DEAL’s readability should be evaluated using behavioral-comprehension tasks, error detection, and editing performance—not inferred from its English-like appearance.</w:t>
      </w:r>
      <w:r>
        <w:t xml:space="preserve"> [14,15]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Cognitive Dimensions framework provides a vocabulary for analyzing notation properties such as closeness of mapping, hidden dependencies, diffuseness, and error-proneness [16]. Applied to DEAL, it highlights a trade-off: domain commands may bring a scientific concept closer to its implementation, while implicit handler state or excessive abstraction may conceal dependencies. Command contracts and routes to underlying JavaScript should therefore remain discoverable.</w:t>
      </w:r>
      <w:r>
        <w:t xml:space="preserve"> [16]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Research on programmers’ mental models shows that comprehension depends on the information available to readers, prior knowledge, and their ability to reason about program behavior [17]. The relevant question for DEAL is whether reviewers can predict and explain a program’s behavior accurately, not whether its vocabulary sounds conversational.</w:t>
      </w:r>
      <w:r>
        <w:t xml:space="preserve"> [17]</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SmellDSL offers a recent example of empirical evaluation for a domain-specific notation, examining specification performance and user acceptance rather than relying solely on a language-design argument [18]. A corresponding DEAL study should measure task accuracy and errors alongside completion time and perceived usability.</w:t>
      </w:r>
      <w:r>
        <w:t xml:space="preserve"> [18]</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English-like scripting and extensible languages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_hyperscript is a relevant comparator because it combines English-like scripting with DOM-oriented operations and JavaScript interoperability [19,20]. It demonstrates that readable web scripting is an established design direction. DEAL’s stated distinction is its emphasis on a common research-program artifact, explicit target-source generation, and configurable vocabulary; this is a difference in emphasis, not a claim that comparable languages lack readability or extensibility.</w:t>
      </w:r>
      <w:r>
        <w:t xml:space="preserve"> [19,20]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LiveCode provides a command-oriented programming environment with human-readable control structures [21]. Its collection and text-container operations also illustrate why comparisons must align data semantics: iterating over a delimiter-based text chunk is not necessarily equivalent to iterating over a structured JavaScript array.</w:t>
      </w:r>
      <w:r>
        <w:t xml:space="preserve"> [21]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SugarJ explores library-based syntax extension through imported grammar and desugaring rules [22]. DEAL’s RESERVE mechanism is narrower: it adapts selected vocabulary and readability words without claiming to support arbitrary grammar rewriting. The comparison therefore concerns the level and cost of extension, not equivalence in expressive power.</w:t>
      </w:r>
      <w:r>
        <w:t xml:space="preserve"> [22]</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extraction and executable AI reasoning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WebL treated web-page retrieval and document manipulation as language-level tasks [23], while later surveys have catalogued a broad range of web data extraction methods and applications [24]. Web extraction is consequently a useful demonstration domain for DEAL’s composition mechanisms, not a novelty claim for extraction itself.</w:t>
      </w:r>
      <w:r>
        <w:t xml:space="preserve"> [23,24]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Program-aided language models demonstrate an architecture in which generated programs are executed by conventional tools [25]. PICARD and grammar-constrained decoding show how structural restrictions can reduce invalid outputs in language-generation pipelines [26,27]. These approaches motivate evaluating DEAL as a constrained target representation, but do not establish that a model generates DEAL more accurately than JavaScript or another formal language.</w:t>
      </w:r>
      <w:r>
        <w:t xml:space="preserve"> [25–27]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Recent work on assurance for AI-written software has also considered the practical limits of human supervision [28]. Because that source is a preprint, it is used here as emerging context rather than as established consensus. DEAL’s relevant contribution is a program artifact that can be inspected and tested against independent requirements.</w:t>
      </w:r>
      <w:r>
        <w:t xml:space="preserve"> [28]</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Limitations addressed by the integrated design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Existing languages address different parts of the software-engineering problem: general-purpose languages offer mature ecosystems; English-like scripting emphasizes accessible surface syntax; extensible languages allow selected syntax changes; and web-oriented languages support retrieval or markup operations. Table 2 positions DEAL as an integration of these concerns. It does not imply that the compared systems lack domain libraries, modularity, or their own ways to support research work.</w:t>
      </w:r>
    </w:p>
    <w:p w:rsidR="00000000" w:rsidDel="00000000" w:rsidP="00000000" w:rsidRDefault="00000000" w:rsidRPr="00000000" w14:paraId="00000051">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Pr>
          <w:rFonts w:ascii="Times New Roman" w:hAnsi="Times New Roman"/>
          <w:i/>
          <w:color w:val="46525E"/>
          <w:sz w:val="18"/>
        </w:rPr>
        <w:t>Table 2. Established approaches and the integration problem addressed by DEAL.</w:t>
      </w:r>
    </w:p>
    <w:tbl>
      <w:tblPr>
        <w:tblStyle w:val="Table2"/>
        <w:tblW w:w="9360.0" w:type="dxa"/>
        <w:jc w:val="center"/>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autofit"/>
        <w:tblLook w:val="0600"/>
      </w:tblPr>
      <w:tblGrid>
        <w:gridCol w:w="2340"/>
        <w:gridCol w:w="2340"/>
        <w:gridCol w:w="2340"/>
        <w:gridCol w:w="2340"/>
        <w:tblGridChange w:id="0">
          <w:tblGrid>
            <w:gridCol w:w="2340"/>
            <w:gridCol w:w="2340"/>
            <w:gridCol w:w="2340"/>
            <w:gridCol w:w="2340"/>
          </w:tblGrid>
        </w:tblGridChange>
      </w:tblGrid>
      <w:tr>
        <w:trPr>
          <w:cantSplit w:val="0"/>
          <w:tblHeader w:val="0"/>
          <w:tblHeader w:val="true"/>
        </w:trPr>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Approach</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Established strength</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Work otherwise left to the user</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DEAL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JavaScript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Target-language execution and rich host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Organize low-level operations into a research-facing review vocabulary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Layer domain commands over inspectable target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Direct sequence iteration and conventional program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Coordinate library-specific APIs and distinguish workflow intent from implementation detail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Offer a common command-oriented orchestration surface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_hyperscript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English-like web scripting, selectors, async transparency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Establish research-specific data contracts and provenance conventions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Emphasize a versioned research program and generated target artifact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LiveCode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Human-oriented commands and chunk/array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Reconcile its execution and data model with a JavaScript-oriented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Preserve a mixed-JavaScript adoption path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SugarJ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Composable syntax extensions and desugaring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Engineer grammar extensions when only vocabulary adaptation is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Separate lightweight vocabulary changes from structural grammar changes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WebL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Integrated web retrieval and markup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Connect extraction notation to a broader human–AI review and localization workflow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Treat extraction as one reusable domain module</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t>The contribution is architectural rather than a claim that previous languages lacked readable syntax or modularity. Comparable domain libraries can be written in JavaScript or Python, so an evaluation must isolate the effects of representation from the effects of the underlying APIs, task specification, documentation, and user familiarity [14,19–24,29].</w:t>
      </w:r>
    </w:p>
    <w:p w:rsidR="00000000" w:rsidDel="00000000" w:rsidP="00000000" w:rsidRDefault="00000000" w:rsidRPr="00000000" w14:paraId="0000006F">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design and analytical framework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This study follows a design-science orientation: it examines a constructed language artifact, the rationale for its mechanisms, and an illustrative workflow addressing a defined research-programming problem [30]. It combines descriptive analysis of the language architecture with a bounded functional evaluation of the application data contract. The evaluation is not a controlled experiment with users or a benchmark of AI-generated programs.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primary unit of analysis is an executable workflow whose control flow, data decisions, dependencies, and side effects can be reviewed together. We distinguish artifact properties—such as command forms and the compiler pipeline—from outcomes requiring empirical measurement, including comprehension, generation success, performance, and generalized extraction accuracy.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analysis addresses three relationships: translation of domain-oriented instructions into explicit source structures; normalization of configured vocabulary to canonical instructions; and execution of generated JavaScript under a declared host environment. Determinism and semantic preservation are stated as analytical contracts over source text, vocabulary, dependencies, compiler settings, initial state, backend, environment, and observable behavior.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case study uses five synthetic catalog records to exercise title and identifier normalization, duplicate detection, missing numeric input, a valid zero boundary, discount validation, derived-price calculation, provenance fields, serialization, and in-memory persistence. For this revision, the helper and test harness were reconstructed from the data rules described in the supplied manuscript. The included 19-check suite ran under Node.js v22.16.0. It uses only synthetic inputs and a document-shaped test double: no live web endpoint was queried and no human participants were involved. It therefore tests the stated application contract, not extraction accuracy, whole-compiler conformance, usability, AI-generation advantages, or performance. The supplementary bundle contains the helper, tests, and captured output for repetition.</w:t>
      </w:r>
    </w:p>
    <w:p w:rsidR="00000000" w:rsidDel="00000000" w:rsidP="00000000" w:rsidRDefault="00000000" w:rsidRPr="00000000" w14:paraId="00000074">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design and syntax</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principles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five design principles are abstraction oriented toward intent, explicit and deterministic compilation, hybrid interoperability with JavaScript, modular extensibility, and reusable operations. They are intended to make domain decisions visible without promising that all users will find the language easier or that every implementation is correct.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term “declarative” describes one design tendency, not the entirety of the language. DEAL.JS also supports sequencing, loops, assignments, and native JavaScript. Domain commands can hide incidental mechanics, but they do not eliminate mutable state or control flow; generated source alone does not guarantee optimization, security, or logical correctness.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four-part language model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DEAL is organized around four complementary concepts: structures, commands, reserves, and handlers, while conventional JavaScript remains available within the same source. Structures define control flow and grouping; commands encapsulate reusable operations; reserves adapt selected vocabulary; and handlers expose the current execution context. Table 3 summarizes constructs relevant to the workflows studied here.</w:t>
      </w:r>
    </w:p>
    <w:p w:rsidR="00000000" w:rsidDel="00000000" w:rsidP="00000000" w:rsidRDefault="00000000" w:rsidRPr="00000000" w14:paraId="0000007A">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sidDel="00000000" w:rsidR="00000000" w:rsidRPr="00000000">
        <w:rPr>
          <w:rFonts w:ascii="Times New Roman" w:cs="Google Sans" w:eastAsia="Google Sans" w:hAnsi="Times New Roman"/>
          <w:i/>
          <w:color w:val="46525E"/>
          <w:sz w:val="18"/>
          <w:rtl w:val="0"/>
        </w:rPr>
        <w:t xml:space="preserve">Table 3. Core language mechanisms and representative syntax.</w:t>
      </w:r>
    </w:p>
    <w:tbl>
      <w:tblPr>
        <w:tblStyle w:val="Table3"/>
        <w:tblW w:w="9360.0" w:type="dxa"/>
        <w:jc w:val="center"/>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autofit"/>
        <w:tblLook w:val="0600"/>
      </w:tblPr>
      <w:tblGrid>
        <w:gridCol w:w="3120"/>
        <w:gridCol w:w="3120"/>
        <w:gridCol w:w="3120"/>
        <w:tblGridChange w:id="0">
          <w:tblGrid>
            <w:gridCol w:w="3120"/>
            <w:gridCol w:w="3120"/>
            <w:gridCol w:w="3120"/>
          </w:tblGrid>
        </w:tblGridChange>
      </w:tblGrid>
      <w:tr>
        <w:trPr>
          <w:cantSplit w:val="0"/>
          <w:tblHeader w:val="0"/>
          <w:tblHeader w:val="true"/>
        </w:trPr>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Mechanism</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Representative syntax</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Computational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Declaration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ASSUME CONST threshold IS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Bind a constant; alternative forms select let or var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Branching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IF condition, procedure; ELSE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Make conditional logic explicit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FOR EACH item OF items,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Iterate over collection items (IN denotes distinct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Conditional repetition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WHILE condition,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Repeat while a condition holds (do ... while available in JS)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Grouping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BEGIN ... END; or DO ...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Delimit a procedure block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Callable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DOING ...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Represent an encapsulated, reusable computation block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Failure handling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TRY ... CATCH err, ... FINALLY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Separate normal execution, error recovery, and cleanup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Continuations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THEN, OTHERWISE, ANYWAY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Express success, rejection, and finalization paths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Promise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WILL procedure THEN procedure;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Introduce a promise-oriented asynchronous computation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Function command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COMMAND clean(value = "") { ...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Register a reusable custom operation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Definition command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COMMAND settings = { ...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Register a reusable value or configuration object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Action command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 task BEGIN ... 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Define and immediately execute a repeatable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Delegation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const #dataset =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Register a case-adapted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Vocabulary replacement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RESERVE into AS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Map human vocabulary to a canonical token sequence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Readability 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RESERVE the;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Admit stylistic words with zero computational overhead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Module inclusion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USE scraper;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Import domain vocabulary and implementation modules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Collection operators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WHERE, ORDER BY,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Perform filtering, sorting, and range restriction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Context handlers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DOCUMENT, RESPONSE, LOADED, FETCHED, 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Reference the active workspace or current operation</w:t>
            </w:r>
          </w:p>
        </w:tc>
      </w:tr>
    </w:tbl>
    <w:p w:rsidR="00000000" w:rsidDel="00000000" w:rsidP="00000000" w:rsidRDefault="00000000" w:rsidRPr="00000000" w14:paraId="000000B4">
      <w:pPr>
        <w:keepNext w:val="0"/>
        <w:pBdr>
          <w:top w:space="0" w:sz="0" w:val="nil"/>
          <w:left w:space="0" w:sz="0" w:val="nil"/>
          <w:bottom w:space="0" w:sz="0" w:val="nil"/>
          <w:right w:space="0" w:sz="0" w:val="nil"/>
          <w:between w:space="0" w:sz="0" w:val="nil"/>
        </w:pBdr>
        <w:shd w:fill="auto" w:val="clear"/>
        <w:spacing w:before="80" w:line="275.9999942779541" w:lineRule="auto" w:after="160"/>
        <w:rPr>
          <w:rFonts w:ascii="Google Sans" w:cs="Google Sans" w:eastAsia="Google Sans" w:hAnsi="Google Sans"/>
          <w:color w:val="1f1f1f"/>
        </w:rPr>
      </w:pPr>
      <w:r>
        <w:rPr>
          <w:rFonts w:ascii="Times New Roman" w:hAnsi="Times New Roman"/>
          <w:i/>
          <w:color w:val="46525E"/>
          <w:sz w:val="18"/>
        </w:rPr>
        <w:t>Table 3 documents representative forms rather than a complete normative grammar. A production specification would also need to define operator precedence, name resolution, scope, argument binding, error conditions, and the observable contract of each library command. These details are essential for deterministic interpretation, irrespective of surface readability.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Readable operators include BE for assignment, IS for equality, EQUALS for strict equality, and AND/OR for logical composition, with context-sensitive rules in declarations. Operations such as SELECT and COLLECT can express projection and collection construction. These aliases remain meaningful only when their coercion, field naming, missing-value, and argument-order semantics are precisely specified.</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declarations and ordinary source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ASSUME construction makes binding intent transparent: CONST declares a constant, VAR selects a traditional variable declaration, and LET (or an omitted modifier) establishes a block-scoped lexical binding. Listing 1 pairs DEAL syntax with its direct JavaScript translation, showing how readable declarations preserve familiar target-language semantics.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Times New Roman" w:cs="Google Sans" w:eastAsia="Google Sans" w:hAnsi="Times New Roman"/>
          <w:b/>
          <w:color w:val="FFFFFF"/>
          <w:sz w:val="18"/>
          <w:shd w:fill="141414" w:val="clear"/>
          <w:rtl w:val="0"/>
        </w:rPr>
        <w:t xml:space="preserve">Code snippet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color w:val="1F3041"/>
          <w:sz w:val="16"/>
          <w:shd w:fill="EEF3F7" w:val="clear"/>
          <w:rtl w:val="0"/>
        </w:rPr>
        <w:t xml:space="preserve">ASSUME CONST threshold IS 10;</w:t>
        <w:br w:type="textWrapping"/>
        <w:t xml:space="preserve">ASSUME VAR attempts IS EQUAL 0;</w:t>
        <w:br w:type="textWrapping"/>
        <w:t xml:space="preserve">ASSUME LET accepted BE [];</w:t>
        <w:br w:type="textWrapping"/>
        <w:t xml:space="preserve">ASSUME completed EQUALS false;</w:t>
        <w:br w:type="textWrapping"/>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20" w:line="240" w:lineRule="auto"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40" w:lineRule="auto" w:before="20" w:after="20"/>
        <w:ind w:left="115" w:right="115" w:firstLine="0"/>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40" w:lineRule="auto" w:before="100" w:after="40"/>
        <w:ind w:left="115" w:right="115" w:firstLine="0"/>
        <w:rPr>
          <w:rFonts w:ascii="Google Sans" w:cs="Google Sans" w:eastAsia="Google Sans" w:hAnsi="Google Sans"/>
          <w:color w:val="ffffff"/>
          <w:shd w:fill="EEF3F7" w:val="clear"/>
        </w:rPr>
      </w:pPr>
      <w:r w:rsidDel="00000000" w:rsidR="00000000" w:rsidRPr="00000000">
        <w:rPr>
          <w:rFonts w:ascii="Consolas" w:cs="Google Sans" w:eastAsia="Consolas" w:hAnsi="Consolas"/>
          <w:b/>
          <w:color w:val="1F3041"/>
          <w:sz w:val="18"/>
          <w:shd w:fill="EEF3F7" w:val="clear"/>
          <w:rtl w:val="0"/>
        </w:rPr>
        <w:t xml:space="preserve">JavaScript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i w:val="0"/>
          <w:iCs w:val="0"/>
          <w:color w:val="1F3041"/>
          <w:sz w:val="16"/>
          <w:szCs w:val="20"/>
          <w:shd w:fill="EEF3F7" w:val="clear"/>
          <w:rtl w:val="0"/>
        </w:rPr>
        <w:t xml:space="preserve">const</w:t>
      </w:r>
      <w:r w:rsidDel="00000000" w:rsidR="00000000" w:rsidRPr="00000000">
        <w:rPr>
          <w:rFonts w:ascii="Consolas" w:cs="Google Sans" w:eastAsia="Consolas" w:hAnsi="Consolas"/>
          <w:color w:val="1F3041"/>
          <w:sz w:val="16"/>
          <w:shd w:fill="EEF3F7" w:val="clear"/>
          <w:rtl w:val="0"/>
        </w:rPr>
        <w:t xml:space="preserve"> threshold = </w:t>
      </w:r>
      <w:r w:rsidDel="00000000" w:rsidR="00000000" w:rsidRPr="00000000">
        <w:rPr>
          <w:rFonts w:ascii="Consolas" w:cs="Google Sans" w:eastAsia="Consolas" w:hAnsi="Consolas"/>
          <w:i w:val="0"/>
          <w:iCs w:val="0"/>
          <w:color w:val="1F3041"/>
          <w:sz w:val="16"/>
          <w:szCs w:val="20"/>
          <w:shd w:fill="EEF3F7" w:val="clear"/>
          <w:rtl w:val="0"/>
        </w:rPr>
        <w:t xml:space="preserve">10</w:t>
      </w:r>
      <w:r w:rsidDel="00000000" w:rsidR="00000000" w:rsidRPr="00000000">
        <w:rPr>
          <w:rFonts w:ascii="Consolas" w:cs="Google Sans" w:eastAsia="Consolas" w:hAnsi="Consolas"/>
          <w:color w:val="1F3041"/>
          <w:sz w:val="16"/>
          <w:shd w:fill="EEF3F7" w:val="clear"/>
          <w:rtl w:val="0"/>
        </w:rPr>
        <w:t xml:space="preserve">;</w:t>
        <w:br w:type="textWrapping"/>
      </w:r>
      <w:r w:rsidDel="00000000" w:rsidR="00000000" w:rsidRPr="00000000">
        <w:rPr>
          <w:rFonts w:ascii="Consolas" w:cs="Google Sans" w:eastAsia="Consolas" w:hAnsi="Consolas"/>
          <w:i w:val="0"/>
          <w:iCs w:val="0"/>
          <w:color w:val="1F3041"/>
          <w:sz w:val="16"/>
          <w:szCs w:val="20"/>
          <w:shd w:fill="EEF3F7" w:val="clear"/>
          <w:rtl w:val="0"/>
        </w:rPr>
        <w:t xml:space="preserve">var</w:t>
      </w:r>
      <w:r w:rsidDel="00000000" w:rsidR="00000000" w:rsidRPr="00000000">
        <w:rPr>
          <w:rFonts w:ascii="Consolas" w:cs="Google Sans" w:eastAsia="Consolas" w:hAnsi="Consolas"/>
          <w:color w:val="1F3041"/>
          <w:sz w:val="16"/>
          <w:shd w:fill="EEF3F7" w:val="clear"/>
          <w:rtl w:val="0"/>
        </w:rPr>
        <w:t xml:space="preserve"> attempts = </w:t>
      </w:r>
      <w:r w:rsidDel="00000000" w:rsidR="00000000" w:rsidRPr="00000000">
        <w:rPr>
          <w:rFonts w:ascii="Consolas" w:cs="Google Sans" w:eastAsia="Consolas" w:hAnsi="Consolas"/>
          <w:i w:val="0"/>
          <w:iCs w:val="0"/>
          <w:color w:val="1F3041"/>
          <w:sz w:val="16"/>
          <w:szCs w:val="20"/>
          <w:shd w:fill="EEF3F7" w:val="clear"/>
          <w:rtl w:val="0"/>
        </w:rPr>
        <w:t xml:space="preserve">0</w:t>
      </w:r>
      <w:r w:rsidDel="00000000" w:rsidR="00000000" w:rsidRPr="00000000">
        <w:rPr>
          <w:rFonts w:ascii="Consolas" w:cs="Google Sans" w:eastAsia="Consolas" w:hAnsi="Consolas"/>
          <w:color w:val="1F3041"/>
          <w:sz w:val="16"/>
          <w:shd w:fill="EEF3F7" w:val="clear"/>
          <w:rtl w:val="0"/>
        </w:rPr>
        <w:t xml:space="preserve">;</w:t>
        <w:br w:type="textWrapping"/>
      </w:r>
      <w:r w:rsidDel="00000000" w:rsidR="00000000" w:rsidRPr="00000000">
        <w:rPr>
          <w:rFonts w:ascii="Consolas" w:cs="Google Sans" w:eastAsia="Consolas" w:hAnsi="Consolas"/>
          <w:i w:val="0"/>
          <w:iCs w:val="0"/>
          <w:color w:val="1F3041"/>
          <w:sz w:val="16"/>
          <w:szCs w:val="20"/>
          <w:shd w:fill="EEF3F7" w:val="clear"/>
          <w:rtl w:val="0"/>
        </w:rPr>
        <w:t xml:space="preserve">let</w:t>
      </w:r>
      <w:r w:rsidDel="00000000" w:rsidR="00000000" w:rsidRPr="00000000">
        <w:rPr>
          <w:rFonts w:ascii="Consolas" w:cs="Google Sans" w:eastAsia="Consolas" w:hAnsi="Consolas"/>
          <w:color w:val="1F3041"/>
          <w:sz w:val="16"/>
          <w:shd w:fill="EEF3F7" w:val="clear"/>
          <w:rtl w:val="0"/>
        </w:rPr>
        <w:t xml:space="preserve"> accepted = [];</w:t>
        <w:br w:type="textWrapping"/>
      </w:r>
      <w:r w:rsidDel="00000000" w:rsidR="00000000" w:rsidRPr="00000000">
        <w:rPr>
          <w:rFonts w:ascii="Consolas" w:cs="Google Sans" w:eastAsia="Consolas" w:hAnsi="Consolas"/>
          <w:i w:val="0"/>
          <w:iCs w:val="0"/>
          <w:color w:val="1F3041"/>
          <w:sz w:val="16"/>
          <w:szCs w:val="20"/>
          <w:shd w:fill="EEF3F7" w:val="clear"/>
          <w:rtl w:val="0"/>
        </w:rPr>
        <w:t xml:space="preserve">let</w:t>
      </w:r>
      <w:r w:rsidDel="00000000" w:rsidR="00000000" w:rsidRPr="00000000">
        <w:rPr>
          <w:rFonts w:ascii="Consolas" w:cs="Google Sans" w:eastAsia="Consolas" w:hAnsi="Consolas"/>
          <w:color w:val="1F3041"/>
          <w:sz w:val="16"/>
          <w:shd w:fill="EEF3F7" w:val="clear"/>
          <w:rtl w:val="0"/>
        </w:rPr>
        <w:t xml:space="preserve"> completed = </w:t>
      </w:r>
      <w:r w:rsidDel="00000000" w:rsidR="00000000" w:rsidRPr="00000000">
        <w:rPr>
          <w:rFonts w:ascii="Consolas" w:cs="Google Sans" w:eastAsia="Consolas" w:hAnsi="Consolas"/>
          <w:i w:val="0"/>
          <w:iCs w:val="0"/>
          <w:color w:val="1F3041"/>
          <w:sz w:val="16"/>
          <w:szCs w:val="20"/>
          <w:shd w:fill="EEF3F7" w:val="clear"/>
          <w:rtl w:val="0"/>
        </w:rPr>
        <w:t xml:space="preserve">false</w:t>
      </w:r>
      <w:r w:rsidDel="00000000" w:rsidR="00000000" w:rsidRPr="00000000">
        <w:rPr>
          <w:rFonts w:ascii="Consolas" w:cs="Google Sans" w:eastAsia="Consolas" w:hAnsi="Consolas"/>
          <w:color w:val="1F3041"/>
          <w:sz w:val="16"/>
          <w:shd w:fill="EEF3F7" w:val="clear"/>
          <w:rtl w:val="0"/>
        </w:rPr>
        <w:t xml:space="preserve">;</w:t>
        <w:br w:type="textWrapping"/>
      </w:r>
    </w:p>
    <w:p w:rsidR="00000000" w:rsidDel="00000000" w:rsidP="00000000" w:rsidRDefault="00000000" w:rsidRPr="00000000" w14:paraId="000000C2">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sidDel="00000000" w:rsidR="00000000" w:rsidRPr="00000000">
        <w:rPr>
          <w:rFonts w:ascii="Times New Roman" w:cs="Google Sans" w:eastAsia="Google Sans" w:hAnsi="Times New Roman"/>
          <w:i/>
          <w:iCs w:val="1"/>
          <w:color w:val="46525E"/>
          <w:sz w:val="18"/>
          <w:rtl w:val="0"/>
        </w:rPr>
        <w:t xml:space="preserve">Listing 1. Explicit declarations make binding intent visible while retaining conventional JavaScript declarations as an alternative. The keyword ASSUME denotes a binding construction here; it is not a probabilistic assertion or a formal proof assumption.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Hybrid source files support incremental adoption: routine workflow orchestration can use DEAL commands, while specialized mathematical expressions or object manipulation can remain ordinary JavaScript. The intention is not to render every operator into prose, but to provide an abstraction boundary between research-level intent and implementation mechanics.</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Commands and document-like notation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Commands represent actions, functions, definitions, and delegated identifiers, and can be invoked in functional or sentence-like forms. Listing 2 shows an author-defined normalization command whose body is ordinary JavaScript. Separating the command’s domain-facing name from its implementation makes the transformation reusable, provided its behavior is documented and tested.</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Times New Roman" w:cs="Google Sans" w:eastAsia="Google Sans" w:hAnsi="Times New Roman"/>
          <w:b/>
          <w:color w:val="FFFFFF"/>
          <w:sz w:val="18"/>
          <w:shd w:fill="141414" w:val="clear"/>
          <w:rtl w:val="0"/>
        </w:rPr>
        <w:t xml:space="preserve">Code snippet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color w:val="1F3041"/>
          <w:sz w:val="16"/>
          <w:shd w:fill="EEF3F7" w:val="clear"/>
          <w:rtl w:val="0"/>
        </w:rPr>
        <w:t xml:space="preserve">COMMAND cleanTitle(value = "") {</w:t>
        <w:br w:type="textWrapping"/>
        <w:t xml:space="preserve">    return String(value).normalize("NFKC")</w:t>
        <w:br w:type="textWrapping"/>
        <w:t xml:space="preserve">        .replace(/\s+/gu, " ").trim();</w:t>
        <w:br w:type="textWrapping"/>
        <w:t xml:space="preserve">}</w:t>
        <w:br w:type="textWrapping"/>
        <w:t xml:space="preserve">ASSUME CONST title IS cleanTitle("  Alpha   study ");</w:t>
        <w:br w:type="textWrapping"/>
      </w:r>
    </w:p>
    <w:p w:rsidR="00000000" w:rsidDel="00000000" w:rsidP="00000000" w:rsidRDefault="00000000" w:rsidRPr="00000000" w14:paraId="000000CB">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sidDel="00000000" w:rsidR="00000000" w:rsidRPr="00000000">
        <w:rPr>
          <w:rFonts w:ascii="Times New Roman" w:cs="Google Sans" w:eastAsia="Google Sans" w:hAnsi="Times New Roman"/>
          <w:i/>
          <w:iCs w:val="1"/>
          <w:color w:val="46525E"/>
          <w:sz w:val="18"/>
          <w:rtl w:val="0"/>
        </w:rPr>
        <w:t xml:space="preserve">Listing 2. An author-defined command exposing a clearly named preprocessing operation. The example’s contract is Unicode NFKC normalization, whitespace collapse, and trimming; the name alone is not the specification.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Document-like notation permits selected Markdown-like list markers and emphasis conventions. Heading-like action definitions may execute when defined, so executable structures must remain distinguishable from headings that serve only presentation, comments, declarations, and literal data.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Case adaptation is selective. Registered DEAL vocabulary, structures, commands, and handlers are case-adapted, while user-defined identifiers and property names retain their documented spelling rules unless explicitly delegated or normalized. Predictable name resolution therefore depends on the language’s declared conventions rather than global case-insensitivity.</w:t>
      </w:r>
    </w:p>
    <w:p w:rsidR="00000000" w:rsidDel="00000000" w:rsidP="00000000" w:rsidRDefault="00000000" w:rsidRPr="00000000" w14:paraId="000000CE">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Compiler architecture and execution model</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Configured compilation pipeline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DEAL.JS compiler is implemented in C# and uses a five-stage source-to-source pipeline: tokenization, preprocessing, parsing, assembly, and code generation. It builds on a JavaScript-oriented engine framework that orchestrates transformations separately from the runtime that executes generated code [6,31–35,38]. Figure 2 summarizes the separation between compilation and host-dependent execution.</w:t>
      </w:r>
    </w:p>
    <w:p>
      <w:pPr>
        <w:keepNext/>
        <w:spacing w:before="80" w:after="40"/>
        <w:jc w:val="center"/>
      </w:pPr>
      <w:r>
        <w:drawing>
          <wp:inline>
            <wp:extent cx="5806440" cy="2249995"/>
            <wp:docPr id="2" name="Picture 2" descr="Five-stage DEAL.JS compilation pipeline with native JavaScript passthrough and separate host execution."/>
            <wp:cNvGraphicFramePr>
              <a:graphicFrameLocks noChangeAspect="1"/>
            </wp:cNvGraphicFramePr>
            <a:graphic>
              <a:graphicData uri="http://schemas.openxmlformats.org/drawingml/2006/picture">
                <pic:pic>
                  <pic:nvPicPr>
                    <pic:cNvPr id="0" name="figure2.png"/>
                    <pic:cNvPicPr/>
                  </pic:nvPicPr>
                  <pic:blipFill>
                    <a:blip r:embed="rId46"/>
                    <a:stretch>
                      <a:fillRect/>
                    </a:stretch>
                  </pic:blipFill>
                  <pic:spPr>
                    <a:xfrm>
                      <a:off x="0" y="0"/>
                      <a:ext cx="5806440" cy="2249995"/>
                    </a:xfrm>
                    <a:prstGeom prst="rect"/>
                  </pic:spPr>
                </pic:pic>
              </a:graphicData>
            </a:graphic>
          </wp:inline>
        </w:drawing>
      </w:r>
    </w:p>
    <w:p w:rsidR="00000000" w:rsidDel="00000000" w:rsidP="00000000" w:rsidRDefault="00000000" w:rsidRPr="00000000" w14:paraId="000000D1">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Pr>
          <w:rFonts w:ascii="Times New Roman" w:hAnsi="Times New Roman"/>
          <w:i/>
          <w:color w:val="46525E"/>
          <w:sz w:val="18"/>
        </w:rPr>
        <w:t>Figure 2. DEAL.JS source-to-source compilation architecture. DEAL input passes through five compiler stages; recognized JavaScript input can follow the documented passthrough path. Runtime execution remains a separate host-dependent operation.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tokenizer recognizes source elements and vocabulary adaptations, including module imports and RESERVE mappings. The preprocessor exposes token-rewrite processing; the parser classifies token sequences into nodes; the assembler builds the program hierarchy; and the generator emits JavaScript. These stages identify architectural responsibilities, but their existence does not itself demonstrate preservation for every valid JavaScript construction.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implementation supports two interoperability paths. Mixed DEAL/JavaScript input traverses the language pipeline, whereas a source identified as a JavaScript file may be returned unchanged. The passthrough path enables reuse of existing JavaScript resources, but it should be tested against filename resolution, encoding, and module-loading edge cases [6,31,33,38].</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Representations and stage contracts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stage interfaces transform representations such as source text, positioned tokens, classified nodes, assembled program structures, and JavaScript text. Table 4 summarizes the transition and its associated review obligation. These are architectural contracts; they should not be mistaken for a statically enforced type system across every stage.</w:t>
      </w:r>
    </w:p>
    <w:p w:rsidR="00000000" w:rsidDel="00000000" w:rsidP="00000000" w:rsidRDefault="00000000" w:rsidRPr="00000000" w14:paraId="000000D6">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Pr>
          <w:rFonts w:ascii="Times New Roman" w:hAnsi="Times New Roman"/>
          <w:i/>
          <w:color w:val="46525E"/>
          <w:sz w:val="18"/>
        </w:rPr>
        <w:t>Table 4. Compilation stages, intermediate representations, and semantic-preservation requirements.</w:t>
      </w:r>
    </w:p>
    <w:tbl>
      <w:tblPr>
        <w:tblStyle w:val="Table4"/>
        <w:tblW w:w="9360.0" w:type="dxa"/>
        <w:jc w:val="center"/>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autofit"/>
        <w:tblLook w:val="0600"/>
      </w:tblPr>
      <w:tblGrid>
        <w:gridCol w:w="3120"/>
        <w:gridCol w:w="3120"/>
        <w:gridCol w:w="3120"/>
        <w:tblGridChange w:id="0">
          <w:tblGrid>
            <w:gridCol w:w="3120"/>
            <w:gridCol w:w="3120"/>
            <w:gridCol w:w="3120"/>
          </w:tblGrid>
        </w:tblGridChange>
      </w:tblGrid>
      <w:tr>
        <w:trPr>
          <w:cantSplit w:val="0"/>
          <w:tblHeader w:val="0"/>
          <w:tblHeader w:val="true"/>
        </w:trPr>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Stage</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Representation transition</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Review obligation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Tokenizer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Source text to positioned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Preserve literals and distinguish vocabulary from user identifiers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Preprocessor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Tokens to a token array; default token processing is pass-through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Make any configured rewrite explicit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Parser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Tokens to locally classified nodes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Preserve statement categories and declaration intent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Assembler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Nodes to a hierarchical, node-derived program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Preserve grouping, scope, and continuation attachment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Generator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Program structure to JavaScript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Preserve operations and expose inspectable target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Executor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Generated source to host-defined results and effects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Check permissions, effects, failures, and completion</w:t>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t>Tokens carry type, value, and position metadata. Syntax-tree nodes add structural relationships, including child references, parent links, and flags, while dedicated walkers support traversal. These features can support source-linked explanations and diagnostics; complete source-map correctness and diagnostic-location precision, however, require separate tests.</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Modules, commands, and runtime boundaries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runtime maintains command dictionaries and reserve mappings, while USE resolves resources through the language and engine infrastructure. A domain module therefore couples vocabulary with implementation resources. Reproducible builds should record exact resource versions or hashes, dependency order, and environment configuration.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Compilation and execution are separate responsibilities. The ClearScript V8 host is one supported execution environment and exposes selected host facilities; the execution interface can accommodate other hosts. Generated JavaScript remains dependent on the APIs and permissions available in each target environment [32,34,35].</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local-resource module exposes file and directory operations, including save, append, prepend, delete, and existence checks, through a resource-provider interface. In particular, local.save(object, path) delegates to the host’s SetFileContents(path, object) operation [36]. This argument contract should remain explicit because it crosses the language–host boundary and produces persistent side effects.</w:t>
      </w:r>
      <w:r>
        <w:t xml:space="preserve"> [36]</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Module resolution considers extensionless resources and supported .deal, .djs, and .js forms; directory-based modules may resolve through an index resource or enumerate directory entries. A resource not already registered can be compiled and executed before inclusion is recorded. Figure 3 depicts this resolution-and-reuse path; reproducible use also requires recording which resource was resolved.</w:t>
      </w:r>
    </w:p>
    <w:p>
      <w:pPr>
        <w:keepNext/>
        <w:spacing w:before="80" w:after="40"/>
        <w:jc w:val="center"/>
      </w:pPr>
      <w:r>
        <w:drawing>
          <wp:inline>
            <wp:extent cx="5806440" cy="2249995"/>
            <wp:docPr id="3" name="Picture 3" descr="Module resolution flow showing reuse of registered modules and compilation and execution on first load."/>
            <wp:cNvGraphicFramePr>
              <a:graphicFrameLocks noChangeAspect="1"/>
            </wp:cNvGraphicFramePr>
            <a:graphic>
              <a:graphicData uri="http://schemas.openxmlformats.org/drawingml/2006/picture">
                <pic:pic>
                  <pic:nvPicPr>
                    <pic:cNvPr id="0" name="figure3.png"/>
                    <pic:cNvPicPr/>
                  </pic:nvPicPr>
                  <pic:blipFill>
                    <a:blip r:embed="rId47"/>
                    <a:stretch>
                      <a:fillRect/>
                    </a:stretch>
                  </pic:blipFill>
                  <pic:spPr>
                    <a:xfrm>
                      <a:off x="0" y="0"/>
                      <a:ext cx="5806440" cy="2249995"/>
                    </a:xfrm>
                    <a:prstGeom prst="rect"/>
                  </pic:spPr>
                </pic:pic>
              </a:graphicData>
            </a:graphic>
          </wp:inline>
        </w:drawing>
      </w:r>
    </w:p>
    <w:p w:rsidR="00000000" w:rsidDel="00000000" w:rsidP="00000000" w:rsidRDefault="00000000" w:rsidRPr="00000000" w14:paraId="000000F2">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Pr>
          <w:rFonts w:ascii="Times New Roman" w:hAnsi="Times New Roman"/>
          <w:i/>
          <w:color w:val="46525E"/>
          <w:sz w:val="18"/>
        </w:rPr>
        <w:t>Figure 3. Module resolution and repeated-use behavior. A registered resource can be reused; first use resolves, compiles, and executes the resource before scanning resumes. Dependency versions and host bindings remain part of the reproducibility record.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Imported modules can introduce code and side effects as well as new vocabulary, so module loading belongs within the workflow’s trust boundary. Deployment should identify dependencies, declare host bindings, and restrict resource access. ClearScript’s exposure of .NET functionality makes isolation and permission policies responsibilities of the host environment, not consequences of readable syntax [32,34,35].</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diagnostic model records fields such as identifiers, severity, source ranges, and diagnostic codes; Output.Errors and orchestration logs expose error information. These facilities should not be described as an established automated-repair loop. Any AI-repair evaluation should record the exact diagnostics supplied to the model and use an independent functional oracle to judge the repair [4,5,27].</w:t>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Determinism, preservation, and reproducibility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formalize compilation determinism using the analytical function: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(s,v,m,o,</m:t>
        </m:r>
        <m:sSub>
          <m:sSubPr>
            <m:ctrlPr>
              <w:rPr>
                <w:rFonts w:ascii="Google Sans" w:cs="Google Sans" w:eastAsia="Google Sans" w:hAnsi="Google Sans"/>
                <w:color w:val="1f1f1f"/>
              </w:rPr>
            </m:ctrlPr>
          </m:sSubPr>
          <m:e>
            <m:r>
              <w:rPr>
                <w:rFonts w:ascii="Google Sans" w:cs="Google Sans" w:eastAsia="Google Sans" w:hAnsi="Google Sans"/>
                <w:color w:val="1f1f1f"/>
              </w:rPr>
              <m:t>σ</m:t>
            </m:r>
          </m:e>
          <m:sub>
            <m:r>
              <w:rPr>
                <w:rFonts w:ascii="Google Sans" w:cs="Google Sans" w:eastAsia="Google Sans" w:hAnsi="Google Sans"/>
                <w:color w:val="1f1f1f"/>
              </w:rPr>
              <m:t xml:space="preserve">0</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j</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,(1)</m:t>
        </m:r>
      </m:oMath>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m:oMath>
        <m:r>
          <w:rPr>
            <w:rFonts w:ascii="Google Sans" w:cs="Google Sans" w:eastAsia="Google Sans" w:hAnsi="Google Sans"/>
            <w:color w:val="1f1f1f"/>
          </w:rPr>
          <m:t xml:space="preserve">s</m:t>
        </m:r>
      </m:oMath>
      <w:r w:rsidDel="00000000" w:rsidR="00000000" w:rsidRPr="00000000">
        <w:rPr>
          <w:rFonts w:ascii="Google Sans" w:cs="Google Sans" w:eastAsia="Google Sans" w:hAnsi="Google Sans"/>
          <w:color w:val="1f1f1f"/>
          <w:rtl w:val="0"/>
        </w:rPr>
        <w:t xml:space="preserve"> represents source text, </w:t>
      </w:r>
      <m:oMath>
        <m:r>
          <w:rPr>
            <w:rFonts w:ascii="Google Sans" w:cs="Google Sans" w:eastAsia="Google Sans" w:hAnsi="Google Sans"/>
            <w:color w:val="1f1f1f"/>
          </w:rPr>
          <m:t xml:space="preserve">v</m:t>
        </m:r>
      </m:oMath>
      <w:r w:rsidDel="00000000" w:rsidR="00000000" w:rsidRPr="00000000">
        <w:rPr>
          <w:rFonts w:ascii="Google Sans" w:cs="Google Sans" w:eastAsia="Google Sans" w:hAnsi="Google Sans"/>
          <w:color w:val="1f1f1f"/>
          <w:rtl w:val="0"/>
        </w:rPr>
        <w:t xml:space="preserve"> represents vocabulary configuration, </w:t>
      </w:r>
      <m:oMath>
        <m:r>
          <w:rPr>
            <w:rFonts w:ascii="Google Sans" w:cs="Google Sans" w:eastAsia="Google Sans" w:hAnsi="Google Sans"/>
            <w:color w:val="1f1f1f"/>
          </w:rPr>
          <m:t xml:space="preserve">m</m:t>
        </m:r>
      </m:oMath>
      <w:r w:rsidDel="00000000" w:rsidR="00000000" w:rsidRPr="00000000">
        <w:rPr>
          <w:rFonts w:ascii="Google Sans" w:cs="Google Sans" w:eastAsia="Google Sans" w:hAnsi="Google Sans"/>
          <w:color w:val="1f1f1f"/>
          <w:rtl w:val="0"/>
        </w:rPr>
        <w:t xml:space="preserve"> comprises ordered module versions and contents, </w:t>
      </w:r>
      <m:oMath>
        <m:r>
          <w:rPr>
            <w:rFonts w:ascii="Google Sans" w:cs="Google Sans" w:eastAsia="Google Sans" w:hAnsi="Google Sans"/>
            <w:color w:val="1f1f1f"/>
          </w:rPr>
          <m:t xml:space="preserve">o</m:t>
        </m:r>
      </m:oMath>
      <w:r w:rsidDel="00000000" w:rsidR="00000000" w:rsidRPr="00000000">
        <w:rPr>
          <w:rFonts w:ascii="Google Sans" w:cs="Google Sans" w:eastAsia="Google Sans" w:hAnsi="Google Sans"/>
          <w:color w:val="1f1f1f"/>
          <w:rtl w:val="0"/>
        </w:rPr>
        <w:t xml:space="preserve"> includes compiler settings, </w:t>
      </w:r>
      <m:oMath>
        <m:sSub>
          <m:sSubPr>
            <m:ctrlPr>
              <w:rPr>
                <w:rFonts w:ascii="Google Sans" w:cs="Google Sans" w:eastAsia="Google Sans" w:hAnsi="Google Sans"/>
                <w:color w:val="1f1f1f"/>
              </w:rPr>
            </m:ctrlPr>
          </m:sSubPr>
          <m:e>
            <m:r>
              <m:t>σ</m:t>
            </m:r>
          </m:e>
          <m:sub>
            <m:r>
              <w:rPr>
                <w:rFonts w:ascii="Google Sans" w:cs="Google Sans" w:eastAsia="Google Sans" w:hAnsi="Google Sans"/>
                <w:color w:val="1f1f1f"/>
              </w:rPr>
              <m:t xml:space="preserve">0</m:t>
            </m:r>
          </m:sub>
        </m:sSub>
      </m:oMath>
      <w:r w:rsidDel="00000000" w:rsidR="00000000" w:rsidRPr="00000000">
        <w:rPr>
          <w:rFonts w:ascii="Google Sans" w:cs="Google Sans" w:eastAsia="Google Sans" w:hAnsi="Google Sans"/>
          <w:color w:val="1f1f1f"/>
          <w:rtl w:val="0"/>
        </w:rPr>
        <w:t xml:space="preserve"> captures initial compilation state, and </w:t>
      </w:r>
      <m:oMath>
        <m:r>
          <w:rPr>
            <w:rFonts w:ascii="Google Sans" w:cs="Google Sans" w:eastAsia="Google Sans" w:hAnsi="Google Sans"/>
            <w:color w:val="1f1f1f"/>
          </w:rPr>
          <m:t xml:space="preserve">b</m:t>
        </m:r>
      </m:oMath>
      <w:r w:rsidDel="00000000" w:rsidR="00000000" w:rsidRPr="00000000">
        <w:rPr>
          <w:rFonts w:ascii="Google Sans" w:cs="Google Sans" w:eastAsia="Google Sans" w:hAnsi="Google Sans"/>
          <w:color w:val="1f1f1f"/>
          <w:rtl w:val="0"/>
        </w:rPr>
        <w:t xml:space="preserve"> identifies the target backend. Together, these terms define the compilation context </w:t>
      </w:r>
      <m:oMath>
        <m:r>
          <m:t>κ</m:t>
        </m:r>
      </m:oMath>
      <w:r w:rsidDel="00000000" w:rsidR="00000000" w:rsidRPr="00000000">
        <w:rPr>
          <w:rFonts w:ascii="Google Sans" w:cs="Google Sans" w:eastAsia="Google Sans" w:hAnsi="Google Sans"/>
          <w:color w:val="1f1f1f"/>
          <w:rtl w:val="0"/>
        </w:rPr>
        <w:t xml:space="preserve">. The determinism contract guarantees identical target output for identical source code and context, including any influential module-initialization inputs. It does not require external data sources or randomized analyses to remain static across runs.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Translation correctness requires an additional empirical relation: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Obs(Exe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(s,</m:t>
        </m:r>
        <m:r>
          <w:rPr>
            <w:rFonts w:ascii="Google Sans" w:cs="Google Sans" w:eastAsia="Google Sans" w:hAnsi="Google Sans"/>
            <w:color w:val="1f1f1f"/>
          </w:rPr>
          <m:t>κ</m:t>
        </m:r>
        <m:r>
          <w:rPr>
            <w:rFonts w:ascii="Google Sans" w:cs="Google Sans" w:eastAsia="Google Sans" w:hAnsi="Google Sans"/>
            <w:color w:val="1f1f1f"/>
          </w:rPr>
          <m:t xml:space="preserve">),e))=Spec(s,e),(2)</m:t>
        </m:r>
      </m:oMath>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m:oMath>
        <m:r>
          <w:rPr>
            <w:rFonts w:ascii="Google Sans" w:cs="Google Sans" w:eastAsia="Google Sans" w:hAnsi="Google Sans"/>
            <w:color w:val="1f1f1f"/>
          </w:rPr>
          <m:t xml:space="preserve">e</m:t>
        </m:r>
      </m:oMath>
      <w:r w:rsidDel="00000000" w:rsidR="00000000" w:rsidRPr="00000000">
        <w:rPr>
          <w:rFonts w:ascii="Google Sans" w:cs="Google Sans" w:eastAsia="Google Sans" w:hAnsi="Google Sans"/>
          <w:color w:val="1f1f1f"/>
          <w:rtl w:val="0"/>
        </w:rPr>
        <w:t xml:space="preserve"> identifies the controlled execution environment and observations include outputs, errors, persistent file modifications, and relevant event order. The right-hand side must originate from an independent specification or oracle. Agreement with a compiler's own generated output is never sufficient as a standalone correctness criterion.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Reproducible research additionally requires preserving input snapshots, runtime and module versions, external responses, random seeds, locale settings, and permission scopes where relevant [12,13]. DEAL contributes the inspectable program artifact to this record; it does not replace the surrounding provenance and environment record.</w:t>
      </w:r>
      <w:r>
        <w:t xml:space="preserve"> [12,13]</w:t>
      </w:r>
    </w:p>
    <w:p w:rsidR="00000000" w:rsidDel="00000000" w:rsidP="00000000" w:rsidRDefault="00000000" w:rsidRPr="00000000" w14:paraId="00000103">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Worked application: web retrieval to research-ready storage</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and data model</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worked application models a structured catalog workflow: retrieve a page or API response, extract records, normalize text, compute a derived variable, validate constraints, detect duplicate identifiers, and store accepted records separately from rejection reasons. In this article, the catalog is a synthetic test fixture; the workflow illustrates orchestration and data contracts rather than a measured live-site extraction.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W(u)=SQNXA(u),(3)</m:t>
        </m:r>
      </m:oMath>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m:oMath>
        <m:r>
          <w:rPr>
            <w:rFonts w:ascii="Google Sans" w:cs="Google Sans" w:eastAsia="Google Sans" w:hAnsi="Google Sans"/>
            <w:color w:val="1f1f1f"/>
          </w:rPr>
          <m:t xml:space="preserve">A</m:t>
        </m:r>
      </m:oMath>
      <w:r w:rsidDel="00000000" w:rsidR="00000000" w:rsidRPr="00000000">
        <w:rPr>
          <w:rFonts w:ascii="Google Sans" w:cs="Google Sans" w:eastAsia="Google Sans" w:hAnsi="Google Sans"/>
          <w:color w:val="1f1f1f"/>
          <w:rtl w:val="0"/>
        </w:rPr>
        <w:t xml:space="preserve"> acquires a source URL </w:t>
      </w:r>
      <m:oMath>
        <m:r>
          <w:rPr>
            <w:rFonts w:ascii="Google Sans" w:cs="Google Sans" w:eastAsia="Google Sans" w:hAnsi="Google Sans"/>
            <w:color w:val="1f1f1f"/>
          </w:rPr>
          <m:t xml:space="preserve">u</m:t>
        </m:r>
      </m:oMath>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X</m:t>
        </m:r>
      </m:oMath>
      <w:r w:rsidDel="00000000" w:rsidR="00000000" w:rsidRPr="00000000">
        <w:rPr>
          <w:rFonts w:ascii="Google Sans" w:cs="Google Sans" w:eastAsia="Google Sans" w:hAnsi="Google Sans"/>
          <w:color w:val="1f1f1f"/>
          <w:rtl w:val="0"/>
        </w:rPr>
        <w:t xml:space="preserve"> extracts raw fields, </w:t>
      </w:r>
      <m:oMath>
        <m:r>
          <w:rPr>
            <w:rFonts w:ascii="Google Sans" w:cs="Google Sans" w:eastAsia="Google Sans" w:hAnsi="Google Sans"/>
            <w:color w:val="1f1f1f"/>
          </w:rPr>
          <m:t xml:space="preserve">N</m:t>
        </m:r>
      </m:oMath>
      <w:r w:rsidDel="00000000" w:rsidR="00000000" w:rsidRPr="00000000">
        <w:rPr>
          <w:rFonts w:ascii="Google Sans" w:cs="Google Sans" w:eastAsia="Google Sans" w:hAnsi="Google Sans"/>
          <w:color w:val="1f1f1f"/>
          <w:rtl w:val="0"/>
        </w:rPr>
        <w:t xml:space="preserve"> normalizes data and derives variables, </w:t>
      </w:r>
      <m:oMath>
        <m:r>
          <w:rPr>
            <w:rFonts w:ascii="Google Sans" w:cs="Google Sans" w:eastAsia="Google Sans" w:hAnsi="Google Sans"/>
            <w:color w:val="1f1f1f"/>
          </w:rPr>
          <m:t xml:space="preserve">Q</m:t>
        </m:r>
      </m:oMath>
      <w:r w:rsidDel="00000000" w:rsidR="00000000" w:rsidRPr="00000000">
        <w:rPr>
          <w:rFonts w:ascii="Google Sans" w:cs="Google Sans" w:eastAsia="Google Sans" w:hAnsi="Google Sans"/>
          <w:color w:val="1f1f1f"/>
          <w:rtl w:val="0"/>
        </w:rPr>
        <w:t xml:space="preserve"> validates constraints and deduplicates records, and </w:t>
      </w:r>
      <m:oMath>
        <m:r>
          <w:rPr>
            <w:rFonts w:ascii="Google Sans" w:cs="Google Sans" w:eastAsia="Google Sans" w:hAnsi="Google Sans"/>
            <w:color w:val="1f1f1f"/>
          </w:rPr>
          <m:t xml:space="preserve">S</m:t>
        </m:r>
      </m:oMath>
      <w:r w:rsidDel="00000000" w:rsidR="00000000" w:rsidRPr="00000000">
        <w:rPr>
          <w:rFonts w:ascii="Google Sans" w:cs="Google Sans" w:eastAsia="Google Sans" w:hAnsi="Google Sans"/>
          <w:color w:val="1f1f1f"/>
          <w:rtl w:val="0"/>
        </w:rPr>
        <w:t xml:space="preserve"> serializes and stores outputs. The output preserves both accepted records and explicit rejection logs. This modular decomposition keeps domain policies transparent while allowing acquisition and storage implementations to be swapped independently.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demonstration utilizes five synthetic records designed to test specific data policies. A valid record requires a nonempty identifier and title, a finite nonnegative main price, a finite discount within </w:t>
      </w:r>
      <m:oMath>
        <m:r>
          <w:rPr>
            <w:rFonts w:ascii="Google Sans" w:cs="Google Sans" w:eastAsia="Google Sans" w:hAnsi="Google Sans"/>
            <w:color w:val="1f1f1f"/>
          </w:rPr>
          <m:t xml:space="preserve">[0,1]</m:t>
        </m:r>
      </m:oMath>
      <w:r w:rsidDel="00000000" w:rsidR="00000000" w:rsidRPr="00000000">
        <w:rPr>
          <w:rFonts w:ascii="Google Sans" w:cs="Google Sans" w:eastAsia="Google Sans" w:hAnsi="Google Sans"/>
          <w:color w:val="1f1f1f"/>
          <w:rtl w:val="0"/>
        </w:rPr>
        <w:t xml:space="preserve">, and a nonnegative integer quantity. The derived net price is calculated as: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p</m:t>
            </m:r>
          </m:e>
          <m:sub>
            <m:r>
              <w:rPr>
                <w:rFonts w:ascii="Google Sans" w:cs="Google Sans" w:eastAsia="Google Sans" w:hAnsi="Google Sans"/>
                <w:color w:val="1f1f1f"/>
              </w:rPr>
              <m:t xml:space="preserve">net</m:t>
            </m:r>
          </m:sub>
        </m:sSub>
        <m:r>
          <w:rPr>
            <w:rFonts w:ascii="Google Sans" w:cs="Google Sans" w:eastAsia="Google Sans" w:hAnsi="Google Sans"/>
            <w:color w:val="1f1f1f"/>
          </w:rPr>
          <m:t xml:space="preserve">=roun</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d</m:t>
            </m:r>
          </m:e>
          <m:sub>
            <m:r>
              <w:rPr>
                <w:rFonts w:ascii="Google Sans" w:cs="Google Sans" w:eastAsia="Google Sans" w:hAnsi="Google Sans"/>
                <w:color w:val="1f1f1f"/>
              </w:rPr>
              <m:t xml:space="preserve">2</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p</m:t>
            </m:r>
          </m:e>
          <m:sub>
            <m:r>
              <w:rPr>
                <w:rFonts w:ascii="Google Sans" w:cs="Google Sans" w:eastAsia="Google Sans" w:hAnsi="Google Sans"/>
                <w:color w:val="1f1f1f"/>
              </w:rPr>
              <m:t xml:space="preserve">main</m:t>
            </m:r>
          </m:sub>
        </m:sSub>
        <m:r>
          <w:rPr>
            <w:rFonts w:ascii="Google Sans" w:cs="Google Sans" w:eastAsia="Google Sans" w:hAnsi="Google Sans"/>
            <w:color w:val="1f1f1f"/>
          </w:rPr>
          <m:t xml:space="preserve">(1-d)).(4)</m:t>
        </m:r>
      </m:oMath>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Missing numeric values are rejected rather than silently converted to zero. Duplicate detection retains the first record that passes all validation rules; an invalid record therefore does not reserve an identifier that a later valid record may use.</w:t>
      </w:r>
    </w:p>
    <w:p w:rsidR="00000000" w:rsidDel="00000000" w:rsidP="00000000" w:rsidRDefault="00000000" w:rsidRPr="00000000" w14:paraId="00000111">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Pr>
          <w:rFonts w:ascii="Times New Roman" w:hAnsi="Times New Roman"/>
          <w:i/>
          <w:color w:val="46525E"/>
          <w:sz w:val="18"/>
        </w:rPr>
        <w:t>Table 5. Input conditions and expected outcomes in the synthetic catalog.</w:t>
      </w:r>
    </w:p>
    <w:tbl>
      <w:tblPr>
        <w:tblStyle w:val="Table5"/>
        <w:tblW w:w="9360.0" w:type="dxa"/>
        <w:jc w:val="center"/>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autofit"/>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blHeader w:val="true"/>
        </w:trPr>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Input record</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Main price</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Discount</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Quantity</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Required outcome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1</m:t>
                  </m:r>
                </m:sub>
              </m:sSub>
            </m:oMath>
            <w:r w:rsidDel="00000000" w:rsidR="00000000" w:rsidRPr="00000000">
              <w:rPr>
                <w:rFonts w:ascii="Times New Roman" w:cs="Google Sans" w:eastAsia="Google Sans" w:hAnsi="Times New Roman"/>
                <w:color w:val="232E3A"/>
                <w:sz w:val="17"/>
                <w:rtl w:val="0"/>
              </w:rPr>
              <w:t xml:space="preserve">, padded title Alpha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Accept; normalized title; net price 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Duplicate </w:t>
            </w: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1</m:t>
                  </m:r>
                </m:sub>
              </m:sSub>
            </m:oMath>
            <w:r w:rsidDel="00000000" w:rsidR="00000000" w:rsidRPr="00000000">
              <w:rPr>
                <w:rFonts w:ascii="Times New Roman" w:hAnsi="Times New Roman"/>
                <w:color w:val="232E3A"/>
                <w:sz w:val="17"/>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Reject as duplicate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2</m:t>
                  </m:r>
                </m:sub>
              </m:sSub>
            </m:oMath>
            <w:r w:rsidDel="00000000" w:rsidR="00000000" w:rsidRPr="00000000">
              <w:rPr>
                <w:rFonts w:ascii="Times New Roman" w:cs="Google Sans" w:eastAsia="Google Sans" w:hAnsi="Times New Roman"/>
                <w:color w:val="232E3A"/>
                <w:sz w:val="17"/>
                <w:rtl w:val="0"/>
              </w:rPr>
              <w:t xml:space="preserve">, full-width initial character in Ｂeta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Accept as Beta study; preserve zero price and quantity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3</m:t>
                  </m:r>
                </m:sub>
              </m:sSub>
            </m:oMath>
            <w:r w:rsidDel="00000000" w:rsidR="00000000" w:rsidRPr="00000000">
              <w:rPr>
                <w:rFonts w:ascii="Times New Roman" w:cs="Google Sans" w:eastAsia="Google Sans" w:hAnsi="Times New Roman"/>
                <w:color w:val="232E3A"/>
                <w:sz w:val="17"/>
                <w:rtl w:val="0"/>
              </w:rPr>
              <w:t xml:space="preserve">, missing main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Missing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Reject as invalid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p</m:t>
                  </m:r>
                </m:e>
                <m:sub>
                  <m:r>
                    <w:rPr>
                      <w:rFonts w:ascii="Google Sans" w:cs="Google Sans" w:eastAsia="Google Sans" w:hAnsi="Google Sans"/>
                      <w:b w:val="1"/>
                      <w:bCs w:val="1"/>
                      <w:color w:val="1f1f1f"/>
                    </w:rPr>
                    <m:t xml:space="preserve">4</m:t>
                  </m:r>
                </m:sub>
              </m:sSub>
            </m:oMath>
            <w:r w:rsidDel="00000000" w:rsidR="00000000" w:rsidRPr="00000000">
              <w:rPr>
                <w:rFonts w:ascii="Times New Roman" w:cs="Google Sans" w:eastAsia="Google Sans" w:hAnsi="Times New Roman"/>
                <w:color w:val="232E3A"/>
                <w:sz w:val="17"/>
                <w:rtl w:val="0"/>
              </w:rPr>
              <w:t xml:space="preserve">, discount outside permitted interval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Reject as invalid</w:t>
            </w:r>
          </w:p>
        </w:tc>
      </w:tr>
    </w:tbl>
    <w:p w:rsidR="00000000" w:rsidDel="00000000" w:rsidP="00000000" w:rsidRDefault="00000000" w:rsidRPr="00000000" w14:paraId="00000130">
      <w:pPr>
        <w:keepNext w:val="0"/>
        <w:pBdr>
          <w:top w:space="0" w:sz="0" w:val="nil"/>
          <w:left w:space="0" w:sz="0" w:val="nil"/>
          <w:bottom w:space="0" w:sz="0" w:val="nil"/>
          <w:right w:space="0" w:sz="0" w:val="nil"/>
          <w:between w:space="0" w:sz="0" w:val="nil"/>
        </w:pBdr>
        <w:shd w:fill="auto" w:val="clear"/>
        <w:spacing w:before="80" w:line="275.9999942779541" w:lineRule="auto" w:after="160"/>
        <w:rPr>
          <w:rFonts w:ascii="Google Sans" w:cs="Google Sans" w:eastAsia="Google Sans" w:hAnsi="Google Sans"/>
          <w:color w:val="1f1f1f"/>
        </w:rPr>
      </w:pPr>
      <w:r>
        <w:rPr>
          <w:rFonts w:ascii="Times New Roman" w:hAnsi="Times New Roman"/>
          <w:i/>
          <w:color w:val="46525E"/>
          <w:sz w:val="18"/>
        </w:rPr>
        <w:t>Figure 4 summarizes the acquisition-to-storage workflow. In a deployed application, the retrieval adapter may use an API client or browser context; the transformations and validation policies must nevertheless remain explicit and testable. Accepted records carry provenance, while rejected records retain source-row identifiers and rejection reasons.</w:t>
      </w:r>
    </w:p>
    <w:p>
      <w:pPr>
        <w:keepNext/>
        <w:spacing w:before="80" w:after="40"/>
        <w:jc w:val="center"/>
      </w:pPr>
      <w:r>
        <w:drawing>
          <wp:inline>
            <wp:extent cx="5806440" cy="2249995"/>
            <wp:docPr id="4" name="Picture 4" descr="Research-data workflow from acquisition to persistence with rejected records and provenance paths."/>
            <wp:cNvGraphicFramePr>
              <a:graphicFrameLocks noChangeAspect="1"/>
            </wp:cNvGraphicFramePr>
            <a:graphic>
              <a:graphicData uri="http://schemas.openxmlformats.org/drawingml/2006/picture">
                <pic:pic>
                  <pic:nvPicPr>
                    <pic:cNvPr id="0" name="figure4.png"/>
                    <pic:cNvPicPr/>
                  </pic:nvPicPr>
                  <pic:blipFill>
                    <a:blip r:embed="rId48"/>
                    <a:stretch>
                      <a:fillRect/>
                    </a:stretch>
                  </pic:blipFill>
                  <pic:spPr>
                    <a:xfrm>
                      <a:off x="0" y="0"/>
                      <a:ext cx="5806440" cy="2249995"/>
                    </a:xfrm>
                    <a:prstGeom prst="rect"/>
                  </pic:spPr>
                </pic:pic>
              </a:graphicData>
            </a:graphic>
          </wp:inline>
        </w:drawing>
      </w:r>
    </w:p>
    <w:p w:rsidR="00000000" w:rsidDel="00000000" w:rsidP="00000000" w:rsidRDefault="00000000" w:rsidRPr="00000000" w14:paraId="00000131">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Pr>
          <w:rFonts w:ascii="Times New Roman" w:hAnsi="Times New Roman"/>
          <w:i/>
          <w:color w:val="46525E"/>
          <w:sz w:val="18"/>
        </w:rPr>
        <w:t>Figure 4. Synthetic research-data workflow showing acquisition, extraction, normalization, validation, deduplication, persistence, rejection logging, and provenance. The diagram describes the application design, not live retrieval results.</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Acquisition and extraction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scraper vocabulary includes FETCH for HTTP requests, LOAD for loading a document into the active context, ALL for selection, and handlers such as DOCUMENT, RESPONSE, LOADED, and FETCHED [6]. Listing 3 demonstrates a concise load–select–append idiom; production use must additionally define completion behavior and context isolation for multiple sources.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Times New Roman" w:cs="Google Sans" w:eastAsia="Google Sans" w:hAnsi="Times New Roman"/>
          <w:b/>
          <w:color w:val="FFFFFF"/>
          <w:sz w:val="18"/>
          <w:shd w:fill="141414" w:val="clear"/>
          <w:rtl w:val="0"/>
        </w:rPr>
        <w:t xml:space="preserve">Code snippet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color w:val="1F3041"/>
          <w:sz w:val="16"/>
          <w:shd w:fill="EEF3F7" w:val="clear"/>
          <w:rtl w:val="0"/>
        </w:rPr>
        <w:t xml:space="preserve">USE deal;</w:t>
        <w:br w:type="textWrapping"/>
        <w:t xml:space="preserve">USE scraper;</w:t>
        <w:br w:type="textWrapping"/>
        <w:t xml:space="preserve">FOR EACH url OF sources,</w:t>
        <w:br w:type="textWrapping"/>
        <w:t xml:space="preserve">    LOAD url,</w:t>
        <w:br w:type="textWrapping"/>
        <w:t xml:space="preserve">    THEN APPEND ALL "h3.title", TO destination;</w:t>
        <w:br w:type="textWrapping"/>
      </w:r>
    </w:p>
    <w:p w:rsidR="00000000" w:rsidDel="00000000" w:rsidP="00000000" w:rsidRDefault="00000000" w:rsidRPr="00000000" w14:paraId="00000139">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sidDel="00000000" w:rsidR="00000000" w:rsidRPr="00000000">
        <w:rPr>
          <w:rFonts w:ascii="Times New Roman" w:cs="Google Sans" w:eastAsia="Google Sans" w:hAnsi="Times New Roman"/>
          <w:i/>
          <w:iCs w:val="1"/>
          <w:color w:val="46525E"/>
          <w:sz w:val="18"/>
          <w:rtl w:val="0"/>
        </w:rPr>
        <w:t xml:space="preserve">Listing 3. Retrieval, title selection, and output through the load-select-append idiom. A multi-source workflow additionally requires an explicit completion and context-isolation policy.</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For structured extraction, a helper receives the document and source identifier as explicit inputs. It selects table.catalog tbody tr, reads each row’s data-id, and extracts the .title, .price, .discount, and .quantity fields. Explicit inputs keep DOM traversal separate from normalization policy and make selector behavior straightforward to test.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An API-first adapter should map response data into the same plain-record schema before normalization. For a standard Fetch Response, JSON parsing is asynchronous and must be awaited or returned through a promise chain [37]. DOM extraction and API parsing are interchangeable only after both adapters meet the same input contract.</w:t>
      </w:r>
    </w:p>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Preprocessing, processing, and persistence</w:t>
      </w:r>
    </w:p>
    <w:p w:rsidR="00000000" w:rsidDel="00000000" w:rsidP="00000000" w:rsidRDefault="00000000" w:rsidRPr="00000000" w14:paraId="0000013D">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Pr>
          <w:rFonts w:ascii="Times New Roman" w:hAnsi="Times New Roman"/>
          <w:i/>
          <w:color w:val="46525E"/>
          <w:sz w:val="18"/>
        </w:rPr>
        <w:t>Listing 4 composes a single-source workflow. Domain functions extract fields, enforce data contracts, and serialize accepted records; cleanRecords packages normalization into a reusable command. The local resource module makes persistence explicit in the orchestration layer.</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Times New Roman" w:cs="Google Sans" w:eastAsia="Google Sans" w:hAnsi="Times New Roman"/>
          <w:b/>
          <w:color w:val="FFFFFF"/>
          <w:sz w:val="18"/>
          <w:shd w:fill="141414" w:val="clear"/>
          <w:rtl w:val="0"/>
        </w:rPr>
        <w:t xml:space="preserve">Code snippet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color w:val="1F3041"/>
          <w:sz w:val="16"/>
          <w:shd w:fill="EEF3F7" w:val="clear"/>
          <w:rtl w:val="0"/>
        </w:rPr>
        <w:t xml:space="preserve">USE deal;</w:t>
        <w:br w:type="textWrapping"/>
        <w:t xml:space="preserve">USE scraper;</w:t>
        <w:br w:type="textWrapping"/>
        <w:t xml:space="preserve">USE deal/data/local;</w:t>
        <w:br w:type="textWrapping"/>
        <w:t xml:space="preserve">USE "./deal-case-helpers.js";</w:t>
        <w:br w:type="textWrapping"/>
        <w:br w:type="textWrapping"/>
        <w:t xml:space="preserve">COMMAND cleanRecords(rows = [], source = "", time = "") {</w:t>
        <w:br w:type="textWrapping"/>
        <w:t xml:space="preserve">    return normalizeRecords(rows, source, time);</w:t>
        <w:br w:type="textWrapping"/>
        <w:t xml:space="preserve">}</w:t>
        <w:br w:type="textWrapping"/>
        <w:br w:type="textWrapping"/>
        <w:t xml:space="preserve">ASSUME CONST sourceURL IS "https://example.org/catalog";</w:t>
        <w:br w:type="textWrapping"/>
        <w:t xml:space="preserve">ASSUME CONST destination IS "results/catalog.jsonl";</w:t>
        <w:br w:type="textWrapping"/>
        <w:br w:type="textWrapping"/>
        <w:t xml:space="preserve">LOAD sourceURL,</w:t>
        <w:br w:type="textWrapping"/>
        <w:t xml:space="preserve">THEN BEGIN</w:t>
        <w:br w:type="textWrapping"/>
        <w:t xml:space="preserve">    ASSUME CONST capturedAt IS new Date().toISOString();</w:t>
        <w:br w:type="textWrapping"/>
        <w:t xml:space="preserve">    ASSUME CONST rawRows IS extractRows(DOCUMENT, sourceURL);</w:t>
        <w:br w:type="textWrapping"/>
        <w:t xml:space="preserve">    ASSUME CONST report IS cleanRecords(rawRows, sourceURL, capturedAt);</w:t>
        <w:br w:type="textWrapping"/>
        <w:t xml:space="preserve">    </w:t>
        <w:br w:type="textWrapping"/>
        <w:t xml:space="preserve">    local.save(toJSONL(report.accepted), destination);</w:t>
        <w:br w:type="textWrapping"/>
        <w:t xml:space="preserve">    local.save(JSON.stringify(report.rejected), "results/rejected.json");</w:t>
        <w:br w:type="textWrapping"/>
        <w:t xml:space="preserve">END;</w:t>
        <w:br w:type="textWrapping"/>
        <w:t xml:space="preserve">OTHERWISE BEGIN</w:t>
        <w:br w:type="textWrapping"/>
        <w:t xml:space="preserve">    throw new Error("Retrieval failed: " + sourceURL);</w:t>
        <w:br w:type="textWrapping"/>
        <w:t xml:space="preserve">END;</w:t>
        <w:br w:type="textWrapping"/>
      </w:r>
    </w:p>
    <w:p w:rsidR="00000000" w:rsidDel="00000000" w:rsidP="00000000" w:rsidRDefault="00000000" w:rsidRPr="00000000" w14:paraId="00000143">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Pr>
          <w:rFonts w:ascii="Times New Roman" w:hAnsi="Times New Roman"/>
          <w:i/>
          <w:color w:val="46525E"/>
          <w:sz w:val="18"/>
        </w:rPr>
        <w:t>Listing 4. DEAL.JS orchestration for acquisition, normalization, validation, and storage. The helper functions are supplied in the accompanying supplement; example.org is a placeholder and no live endpoint was measured.</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helper separates validation from duplicate detection and registers an identifier only after the record passes every data rule. It applies Unicode NFKC normalization, whitespace collapse, finite-number checks, an inclusive discount interval, and integer quantity validation. These policies are application-level rules, not implicit guarantees of the DEAL language.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Accepted rows are serialized as JSON Lines; rejected rows are written separately with source-row positions and reasons. The accepted schema includes source_url, retrieved_at, and schema_version. For an actual study, the archive should additionally preserve raw responses, content hashes, module manifests, compiler version, and permission scopes [12,13].</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storage layer can also be decoupled from document manipulation through a connector interface. The case-validation suite uses an in-memory provider to test serialization and storage behavior without depending on file-system or network variability. These tests establish the behavior of the included fixture and helper only.</w:t>
      </w:r>
    </w:p>
    <w:p w:rsidR="00000000" w:rsidDel="00000000" w:rsidP="00000000" w:rsidRDefault="00000000" w:rsidRPr="00000000" w14:paraId="000001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contracts and rejection semantics</w:t>
      </w:r>
    </w:p>
    <w:p w:rsidR="00000000" w:rsidDel="00000000" w:rsidP="00000000" w:rsidRDefault="00000000" w:rsidRPr="00000000" w14:paraId="00000148">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Pr>
          <w:rFonts w:ascii="Times New Roman" w:hAnsi="Times New Roman"/>
          <w:i/>
          <w:color w:val="46525E"/>
          <w:sz w:val="18"/>
        </w:rPr>
        <w:t>Table 6 states the application’s preprocessing and storage rules independently of the language grammar. Keeping data constraints separate from the selector or retrieval implementation makes it possible for reviewers to evaluate the policy without treating a particular web page as its specification.</w:t>
      </w:r>
    </w:p>
    <w:p w:rsidR="00000000" w:rsidDel="00000000" w:rsidP="00000000" w:rsidRDefault="00000000" w:rsidRPr="00000000" w14:paraId="00000149">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Pr>
          <w:rFonts w:ascii="Times New Roman" w:hAnsi="Times New Roman"/>
          <w:i/>
          <w:color w:val="46525E"/>
          <w:sz w:val="18"/>
        </w:rPr>
        <w:t>Table 6. Accepted-record schema and rejection policy for the synthetic case.</w:t>
      </w:r>
    </w:p>
    <w:tbl>
      <w:tblPr>
        <w:tblStyle w:val="Table6"/>
        <w:tblW w:w="9360.0" w:type="dxa"/>
        <w:jc w:val="center"/>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autofit"/>
        <w:tblLook w:val="0600"/>
      </w:tblPr>
      <w:tblGrid>
        <w:gridCol w:w="3120"/>
        <w:gridCol w:w="3120"/>
        <w:gridCol w:w="3120"/>
        <w:tblGridChange w:id="0">
          <w:tblGrid>
            <w:gridCol w:w="3120"/>
            <w:gridCol w:w="3120"/>
            <w:gridCol w:w="3120"/>
          </w:tblGrid>
        </w:tblGridChange>
      </w:tblGrid>
      <w:tr>
        <w:trPr>
          <w:cantSplit w:val="0"/>
          <w:tblHeader w:val="0"/>
          <w:tblHeader w:val="true"/>
        </w:trPr>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Field or decision</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Contract</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Rationale or limitation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id, 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Trim identifier; normalize title with NFKC and collapsed whitespace; require both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Full-width characters normalize; identifier case is preserved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main_price, discount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Finite price at least zero; finite discount in [0,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Missing/blank values are invalid, never silently coerced to zero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quantity, net_price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Nonnegative safe-integer quantity; net price rounded to two decimal places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Valid zeros survive; rounding is an explicit case policy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Duplicate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Retain the first valid record per identifier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Invalid records do not consume or reserve an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Provenance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source_url, retrieved_at, schema_version on accepted rows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Test timestamp is synthetic; proves no live retrieval event occurred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Rejected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One-based source_row and rejection reason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Compact rejection log; raw inputs require separate archiving</w:t>
            </w:r>
          </w:p>
        </w:tc>
      </w:tr>
    </w:tbl>
    <w:p w:rsidR="00000000" w:rsidDel="00000000" w:rsidP="00000000" w:rsidRDefault="00000000" w:rsidRPr="00000000" w14:paraId="0000015F">
      <w:pPr>
        <w:keepNext w:val="0"/>
        <w:pBdr>
          <w:top w:space="0" w:sz="0" w:val="nil"/>
          <w:left w:space="0" w:sz="0" w:val="nil"/>
          <w:bottom w:space="0" w:sz="0" w:val="nil"/>
          <w:right w:space="0" w:sz="0" w:val="nil"/>
          <w:between w:space="0" w:sz="0" w:val="nil"/>
        </w:pBdr>
        <w:shd w:fill="auto" w:val="clear"/>
        <w:spacing w:before="80" w:line="275.9999942779541" w:lineRule="auto" w:after="160"/>
        <w:rPr>
          <w:rFonts w:ascii="Google Sans" w:cs="Google Sans" w:eastAsia="Google Sans" w:hAnsi="Google Sans"/>
          <w:color w:val="1f1f1f"/>
        </w:rPr>
      </w:pPr>
      <w:r>
        <w:rPr>
          <w:rFonts w:ascii="Times New Roman" w:hAnsi="Times New Roman"/>
          <w:i/>
          <w:color w:val="46525E"/>
          <w:sz w:val="18"/>
        </w:rPr>
        <w:t>Figure 5 highlights a critical ordering rule: validation must precede registration in the set of accepted identifiers. If an invalid record were registered first, it could block a later valid record with the same identifier. Compact rejection logs also do not replace archiving the raw source inputs.</w:t>
      </w:r>
    </w:p>
    <w:p>
      <w:pPr>
        <w:keepNext/>
        <w:spacing w:before="80" w:after="40"/>
        <w:jc w:val="center"/>
      </w:pPr>
      <w:r>
        <w:drawing>
          <wp:inline>
            <wp:extent cx="5806440" cy="2249995"/>
            <wp:docPr id="5" name="Picture 5" descr="Validation flow in which schema validation precedes duplicate registration and acceptance."/>
            <wp:cNvGraphicFramePr>
              <a:graphicFrameLocks noChangeAspect="1"/>
            </wp:cNvGraphicFramePr>
            <a:graphic>
              <a:graphicData uri="http://schemas.openxmlformats.org/drawingml/2006/picture">
                <pic:pic>
                  <pic:nvPicPr>
                    <pic:cNvPr id="0" name="figure5.png"/>
                    <pic:cNvPicPr/>
                  </pic:nvPicPr>
                  <pic:blipFill>
                    <a:blip r:embed="rId49"/>
                    <a:stretch>
                      <a:fillRect/>
                    </a:stretch>
                  </pic:blipFill>
                  <pic:spPr>
                    <a:xfrm>
                      <a:off x="0" y="0"/>
                      <a:ext cx="5806440" cy="2249995"/>
                    </a:xfrm>
                    <a:prstGeom prst="rect"/>
                  </pic:spPr>
                </pic:pic>
              </a:graphicData>
            </a:graphic>
          </wp:inline>
        </w:drawing>
      </w:r>
    </w:p>
    <w:p w:rsidR="00000000" w:rsidDel="00000000" w:rsidP="00000000" w:rsidRDefault="00000000" w:rsidRPr="00000000" w14:paraId="00000160">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Pr>
          <w:rFonts w:ascii="Times New Roman" w:hAnsi="Times New Roman"/>
          <w:i/>
          <w:color w:val="46525E"/>
          <w:sz w:val="18"/>
        </w:rPr>
        <w:t>Figure 5. Validation flow for the synthetic data contract. Invalid records are rejected with reasons; among valid records, a previously accepted identifier triggers duplicate rejection. Only a validated first occurrence is registered and accepted.</w:t>
      </w:r>
    </w:p>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Completion and failure policy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DEAL continuation forms must preserve the semantics of the underlying JavaScript promises, including success, rejection, and finalization [37]. A workflow is complete only when retrieval, normalization, and required persistence operations have settled, not merely when asynchronous operations have been started.</w:t>
      </w:r>
      <w:r>
        <w:t xml:space="preserve"> [37]</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single-page example avoids concurrent mutation of one DOCUMENT context. A multi-page workflow should await requests sequentially or use isolated contexts and aggregate their promises. A production protocol should also specify retries, timeouts, failure propagation, partial-output rules, and stable identifiers for reruns.</w:t>
      </w:r>
    </w:p>
    <w:p w:rsidR="00000000" w:rsidDel="00000000" w:rsidP="00000000" w:rsidRDefault="00000000" w:rsidRPr="00000000" w14:paraId="00000164">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examples and contribution analysis</w:t>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Matched collection task</w:t>
      </w:r>
    </w:p>
    <w:p w:rsidR="00000000" w:rsidDel="00000000" w:rsidP="00000000" w:rsidRDefault="00000000" w:rsidRPr="00000000" w14:paraId="00000166">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Pr>
          <w:rFonts w:ascii="Times New Roman" w:hAnsi="Times New Roman"/>
          <w:i/>
          <w:color w:val="46525E"/>
          <w:sz w:val="18"/>
        </w:rPr>
        <w:t>Listing 5 presents the same simple ordered iteration task in DEAL.JS, JavaScript, Python, and _hyperscript. It aligns the immediate computational intent to illustrate surface differences, but does not constitute a controlled readability experiment. A valid empirical comparison would also control documentation, API familiarity, data semantics, and prior language experience [14,15,19,29].</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Times New Roman" w:cs="Google Sans" w:eastAsia="Google Sans" w:hAnsi="Times New Roman"/>
          <w:b/>
          <w:color w:val="FFFFFF"/>
          <w:sz w:val="18"/>
          <w:shd w:fill="141414" w:val="clear"/>
          <w:rtl w:val="0"/>
        </w:rPr>
        <w:t xml:space="preserve">Code snippet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color w:val="1F3041"/>
          <w:sz w:val="16"/>
          <w:shd w:fill="EEF3F7" w:val="clear"/>
          <w:rtl w:val="0"/>
        </w:rPr>
        <w:t xml:space="preserve">// DEAL.JS</w:t>
        <w:br w:type="textWrapping"/>
        <w:t xml:space="preserve">ASSUME CONST values IS [1, 2, 3];</w:t>
        <w:br w:type="textWrapping"/>
        <w:t xml:space="preserve">FOR EACH value OF values, BEGIN</w:t>
        <w:br w:type="textWrapping"/>
        <w:t xml:space="preserve">    console.log(value);</w:t>
        <w:br w:type="textWrapping"/>
        <w:t xml:space="preserve">END;</w:t>
        <w:br w:type="textWrapping"/>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before="20" w:line="240" w:lineRule="auto"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40" w:lineRule="auto" w:before="20" w:after="20"/>
        <w:ind w:left="115" w:right="115" w:firstLine="0"/>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40" w:lineRule="auto" w:before="100" w:after="40"/>
        <w:ind w:left="115" w:right="115" w:firstLine="0"/>
        <w:rPr>
          <w:rFonts w:ascii="Google Sans" w:cs="Google Sans" w:eastAsia="Google Sans" w:hAnsi="Google Sans"/>
          <w:color w:val="ffffff"/>
          <w:shd w:fill="EEF3F7" w:val="clear"/>
        </w:rPr>
      </w:pPr>
      <w:r w:rsidDel="00000000" w:rsidR="00000000" w:rsidRPr="00000000">
        <w:rPr>
          <w:rFonts w:ascii="Consolas" w:cs="Google Sans" w:eastAsia="Consolas" w:hAnsi="Consolas"/>
          <w:b/>
          <w:color w:val="1F3041"/>
          <w:sz w:val="18"/>
          <w:shd w:fill="EEF3F7" w:val="clear"/>
          <w:rtl w:val="0"/>
        </w:rPr>
        <w:t xml:space="preserve">JavaScript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i w:val="0"/>
          <w:iCs w:val="0"/>
          <w:color w:val="1F3041"/>
          <w:sz w:val="16"/>
          <w:szCs w:val="20"/>
          <w:shd w:fill="EEF3F7" w:val="clear"/>
          <w:rtl w:val="0"/>
        </w:rPr>
        <w:t xml:space="preserve">// JavaScript</w:t>
      </w:r>
      <w:r w:rsidDel="00000000" w:rsidR="00000000" w:rsidRPr="00000000">
        <w:rPr>
          <w:rFonts w:ascii="Consolas" w:cs="Google Sans" w:eastAsia="Consolas" w:hAnsi="Consolas"/>
          <w:color w:val="1F3041"/>
          <w:sz w:val="16"/>
          <w:shd w:fill="EEF3F7" w:val="clear"/>
          <w:rtl w:val="0"/>
        </w:rPr>
        <w:br w:type="textWrapping"/>
      </w:r>
      <w:r w:rsidDel="00000000" w:rsidR="00000000" w:rsidRPr="00000000">
        <w:rPr>
          <w:rFonts w:ascii="Consolas" w:cs="Google Sans" w:eastAsia="Consolas" w:hAnsi="Consolas"/>
          <w:i w:val="0"/>
          <w:iCs w:val="0"/>
          <w:color w:val="1F3041"/>
          <w:sz w:val="16"/>
          <w:szCs w:val="20"/>
          <w:shd w:fill="EEF3F7" w:val="clear"/>
          <w:rtl w:val="0"/>
        </w:rPr>
        <w:t xml:space="preserve">const</w:t>
      </w:r>
      <w:r w:rsidDel="00000000" w:rsidR="00000000" w:rsidRPr="00000000">
        <w:rPr>
          <w:rFonts w:ascii="Consolas" w:cs="Google Sans" w:eastAsia="Consolas" w:hAnsi="Consolas"/>
          <w:color w:val="1F3041"/>
          <w:sz w:val="16"/>
          <w:shd w:fill="EEF3F7" w:val="clear"/>
          <w:rtl w:val="0"/>
        </w:rPr>
        <w:t xml:space="preserve"> values = [</w:t>
      </w:r>
      <w:r w:rsidDel="00000000" w:rsidR="00000000" w:rsidRPr="00000000">
        <w:rPr>
          <w:rFonts w:ascii="Consolas" w:cs="Google Sans" w:eastAsia="Consolas" w:hAnsi="Consolas"/>
          <w:i w:val="0"/>
          <w:iCs w:val="0"/>
          <w:color w:val="1F3041"/>
          <w:sz w:val="16"/>
          <w:szCs w:val="20"/>
          <w:shd w:fill="EEF3F7" w:val="clear"/>
          <w:rtl w:val="0"/>
        </w:rPr>
        <w:t xml:space="preserve">1</w:t>
      </w:r>
      <w:r w:rsidDel="00000000" w:rsidR="00000000" w:rsidRPr="00000000">
        <w:rPr>
          <w:rFonts w:ascii="Consolas" w:cs="Google Sans" w:eastAsia="Consolas" w:hAnsi="Consolas"/>
          <w:color w:val="1F3041"/>
          <w:sz w:val="16"/>
          <w:shd w:fill="EEF3F7" w:val="clear"/>
          <w:rtl w:val="0"/>
        </w:rPr>
        <w:t xml:space="preserve">, </w:t>
      </w:r>
      <w:r w:rsidDel="00000000" w:rsidR="00000000" w:rsidRPr="00000000">
        <w:rPr>
          <w:rFonts w:ascii="Consolas" w:cs="Google Sans" w:eastAsia="Consolas" w:hAnsi="Consolas"/>
          <w:i w:val="0"/>
          <w:iCs w:val="0"/>
          <w:color w:val="1F3041"/>
          <w:sz w:val="16"/>
          <w:szCs w:val="20"/>
          <w:shd w:fill="EEF3F7" w:val="clear"/>
          <w:rtl w:val="0"/>
        </w:rPr>
        <w:t xml:space="preserve">2</w:t>
      </w:r>
      <w:r w:rsidDel="00000000" w:rsidR="00000000" w:rsidRPr="00000000">
        <w:rPr>
          <w:rFonts w:ascii="Consolas" w:cs="Google Sans" w:eastAsia="Consolas" w:hAnsi="Consolas"/>
          <w:color w:val="1F3041"/>
          <w:sz w:val="16"/>
          <w:shd w:fill="EEF3F7" w:val="clear"/>
          <w:rtl w:val="0"/>
        </w:rPr>
        <w:t xml:space="preserve">, </w:t>
      </w:r>
      <w:r w:rsidDel="00000000" w:rsidR="00000000" w:rsidRPr="00000000">
        <w:rPr>
          <w:rFonts w:ascii="Consolas" w:cs="Google Sans" w:eastAsia="Consolas" w:hAnsi="Consolas"/>
          <w:i w:val="0"/>
          <w:iCs w:val="0"/>
          <w:color w:val="1F3041"/>
          <w:sz w:val="16"/>
          <w:szCs w:val="20"/>
          <w:shd w:fill="EEF3F7" w:val="clear"/>
          <w:rtl w:val="0"/>
        </w:rPr>
        <w:t xml:space="preserve">3</w:t>
      </w:r>
      <w:r w:rsidDel="00000000" w:rsidR="00000000" w:rsidRPr="00000000">
        <w:rPr>
          <w:rFonts w:ascii="Consolas" w:cs="Google Sans" w:eastAsia="Consolas" w:hAnsi="Consolas"/>
          <w:color w:val="1F3041"/>
          <w:sz w:val="16"/>
          <w:shd w:fill="EEF3F7" w:val="clear"/>
          <w:rtl w:val="0"/>
        </w:rPr>
        <w:t xml:space="preserve">];</w:t>
        <w:br w:type="textWrapping"/>
      </w:r>
      <w:r w:rsidDel="00000000" w:rsidR="00000000" w:rsidRPr="00000000">
        <w:rPr>
          <w:rFonts w:ascii="Consolas" w:cs="Google Sans" w:eastAsia="Consolas" w:hAnsi="Consolas"/>
          <w:i w:val="0"/>
          <w:iCs w:val="0"/>
          <w:color w:val="1F3041"/>
          <w:sz w:val="16"/>
          <w:szCs w:val="20"/>
          <w:shd w:fill="EEF3F7" w:val="clear"/>
          <w:rtl w:val="0"/>
        </w:rPr>
        <w:t xml:space="preserve">for</w:t>
      </w:r>
      <w:r w:rsidDel="00000000" w:rsidR="00000000" w:rsidRPr="00000000">
        <w:rPr>
          <w:rFonts w:ascii="Consolas" w:cs="Google Sans" w:eastAsia="Consolas" w:hAnsi="Consolas"/>
          <w:color w:val="1F3041"/>
          <w:sz w:val="16"/>
          <w:shd w:fill="EEF3F7" w:val="clear"/>
          <w:rtl w:val="0"/>
        </w:rPr>
        <w:t xml:space="preserve"> (</w:t>
      </w:r>
      <w:r w:rsidDel="00000000" w:rsidR="00000000" w:rsidRPr="00000000">
        <w:rPr>
          <w:rFonts w:ascii="Consolas" w:cs="Google Sans" w:eastAsia="Consolas" w:hAnsi="Consolas"/>
          <w:i w:val="0"/>
          <w:iCs w:val="0"/>
          <w:color w:val="1F3041"/>
          <w:sz w:val="16"/>
          <w:szCs w:val="20"/>
          <w:shd w:fill="EEF3F7" w:val="clear"/>
          <w:rtl w:val="0"/>
        </w:rPr>
        <w:t xml:space="preserve">const</w:t>
      </w:r>
      <w:r w:rsidDel="00000000" w:rsidR="00000000" w:rsidRPr="00000000">
        <w:rPr>
          <w:rFonts w:ascii="Consolas" w:cs="Google Sans" w:eastAsia="Consolas" w:hAnsi="Consolas"/>
          <w:color w:val="1F3041"/>
          <w:sz w:val="16"/>
          <w:shd w:fill="EEF3F7" w:val="clear"/>
          <w:rtl w:val="0"/>
        </w:rPr>
        <w:t xml:space="preserve"> value </w:t>
      </w:r>
      <w:r w:rsidDel="00000000" w:rsidR="00000000" w:rsidRPr="00000000">
        <w:rPr>
          <w:rFonts w:ascii="Consolas" w:cs="Google Sans" w:eastAsia="Consolas" w:hAnsi="Consolas"/>
          <w:i w:val="0"/>
          <w:iCs w:val="0"/>
          <w:color w:val="1F3041"/>
          <w:sz w:val="16"/>
          <w:szCs w:val="20"/>
          <w:shd w:fill="EEF3F7" w:val="clear"/>
          <w:rtl w:val="0"/>
        </w:rPr>
        <w:t xml:space="preserve">of</w:t>
      </w:r>
      <w:r w:rsidDel="00000000" w:rsidR="00000000" w:rsidRPr="00000000">
        <w:rPr>
          <w:rFonts w:ascii="Consolas" w:cs="Google Sans" w:eastAsia="Consolas" w:hAnsi="Consolas"/>
          <w:color w:val="1F3041"/>
          <w:sz w:val="16"/>
          <w:shd w:fill="EEF3F7" w:val="clear"/>
          <w:rtl w:val="0"/>
        </w:rPr>
        <w:t xml:space="preserve"> values) {</w:t>
        <w:br w:type="textWrapping"/>
        <w:t xml:space="preserve">    </w:t>
      </w:r>
      <w:r w:rsidDel="00000000" w:rsidR="00000000" w:rsidRPr="00000000">
        <w:rPr>
          <w:rFonts w:ascii="Consolas" w:cs="Google Sans" w:eastAsia="Consolas" w:hAnsi="Consolas"/>
          <w:i w:val="0"/>
          <w:iCs w:val="0"/>
          <w:color w:val="1F3041"/>
          <w:sz w:val="16"/>
          <w:szCs w:val="20"/>
          <w:shd w:fill="EEF3F7" w:val="clear"/>
          <w:rtl w:val="0"/>
        </w:rPr>
        <w:t xml:space="preserve">console</w:t>
      </w:r>
      <w:r w:rsidDel="00000000" w:rsidR="00000000" w:rsidRPr="00000000">
        <w:rPr>
          <w:rFonts w:ascii="Consolas" w:cs="Google Sans" w:eastAsia="Consolas" w:hAnsi="Consolas"/>
          <w:color w:val="1F3041"/>
          <w:sz w:val="16"/>
          <w:shd w:fill="EEF3F7" w:val="clear"/>
          <w:rtl w:val="0"/>
        </w:rPr>
        <w:t xml:space="preserve">.log(value);</w:t>
        <w:br w:type="textWrapping"/>
        <w:t xml:space="preserve">}</w:t>
        <w:br w:type="textWrapping"/>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before="20" w:line="240" w:lineRule="auto"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40" w:lineRule="auto" w:before="20" w:after="20"/>
        <w:ind w:left="115" w:right="115" w:firstLine="0"/>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40" w:lineRule="auto" w:before="100" w:after="40"/>
        <w:ind w:left="115" w:right="115" w:firstLine="0"/>
        <w:rPr>
          <w:rFonts w:ascii="Google Sans" w:cs="Google Sans" w:eastAsia="Google Sans" w:hAnsi="Google Sans"/>
          <w:color w:val="ffffff"/>
          <w:shd w:fill="EEF3F7" w:val="clear"/>
        </w:rPr>
      </w:pPr>
      <w:r w:rsidDel="00000000" w:rsidR="00000000" w:rsidRPr="00000000">
        <w:rPr>
          <w:rFonts w:ascii="Consolas" w:cs="Google Sans" w:eastAsia="Consolas" w:hAnsi="Consolas"/>
          <w:b/>
          <w:color w:val="1F3041"/>
          <w:sz w:val="18"/>
          <w:shd w:fill="EEF3F7" w:val="clear"/>
          <w:rtl w:val="0"/>
        </w:rPr>
        <w:t xml:space="preserve">Python</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i w:val="0"/>
          <w:iCs w:val="0"/>
          <w:color w:val="1F3041"/>
          <w:sz w:val="16"/>
          <w:szCs w:val="20"/>
          <w:shd w:fill="EEF3F7" w:val="clear"/>
          <w:rtl w:val="0"/>
        </w:rPr>
        <w:t xml:space="preserve"># Python</w:t>
      </w:r>
      <w:r w:rsidDel="00000000" w:rsidR="00000000" w:rsidRPr="00000000">
        <w:rPr>
          <w:rFonts w:ascii="Consolas" w:cs="Google Sans" w:eastAsia="Consolas" w:hAnsi="Consolas"/>
          <w:color w:val="1F3041"/>
          <w:sz w:val="16"/>
          <w:shd w:fill="EEF3F7" w:val="clear"/>
          <w:rtl w:val="0"/>
        </w:rPr>
        <w:br w:type="textWrapping"/>
        <w:t xml:space="preserve">values = [</w:t>
      </w:r>
      <w:r w:rsidDel="00000000" w:rsidR="00000000" w:rsidRPr="00000000">
        <w:rPr>
          <w:rFonts w:ascii="Consolas" w:cs="Google Sans" w:eastAsia="Consolas" w:hAnsi="Consolas"/>
          <w:i w:val="0"/>
          <w:iCs w:val="0"/>
          <w:color w:val="1F3041"/>
          <w:sz w:val="16"/>
          <w:szCs w:val="20"/>
          <w:shd w:fill="EEF3F7" w:val="clear"/>
          <w:rtl w:val="0"/>
        </w:rPr>
        <w:t xml:space="preserve">1</w:t>
      </w:r>
      <w:r w:rsidDel="00000000" w:rsidR="00000000" w:rsidRPr="00000000">
        <w:rPr>
          <w:rFonts w:ascii="Consolas" w:cs="Google Sans" w:eastAsia="Consolas" w:hAnsi="Consolas"/>
          <w:color w:val="1F3041"/>
          <w:sz w:val="16"/>
          <w:shd w:fill="EEF3F7" w:val="clear"/>
          <w:rtl w:val="0"/>
        </w:rPr>
        <w:t xml:space="preserve">, </w:t>
      </w:r>
      <w:r w:rsidDel="00000000" w:rsidR="00000000" w:rsidRPr="00000000">
        <w:rPr>
          <w:rFonts w:ascii="Consolas" w:cs="Google Sans" w:eastAsia="Consolas" w:hAnsi="Consolas"/>
          <w:i w:val="0"/>
          <w:iCs w:val="0"/>
          <w:color w:val="1F3041"/>
          <w:sz w:val="16"/>
          <w:szCs w:val="20"/>
          <w:shd w:fill="EEF3F7" w:val="clear"/>
          <w:rtl w:val="0"/>
        </w:rPr>
        <w:t xml:space="preserve">2</w:t>
      </w:r>
      <w:r w:rsidDel="00000000" w:rsidR="00000000" w:rsidRPr="00000000">
        <w:rPr>
          <w:rFonts w:ascii="Consolas" w:cs="Google Sans" w:eastAsia="Consolas" w:hAnsi="Consolas"/>
          <w:color w:val="1F3041"/>
          <w:sz w:val="16"/>
          <w:shd w:fill="EEF3F7" w:val="clear"/>
          <w:rtl w:val="0"/>
        </w:rPr>
        <w:t xml:space="preserve">, </w:t>
      </w:r>
      <w:r w:rsidDel="00000000" w:rsidR="00000000" w:rsidRPr="00000000">
        <w:rPr>
          <w:rFonts w:ascii="Consolas" w:cs="Google Sans" w:eastAsia="Consolas" w:hAnsi="Consolas"/>
          <w:i w:val="0"/>
          <w:iCs w:val="0"/>
          <w:color w:val="1F3041"/>
          <w:sz w:val="16"/>
          <w:szCs w:val="20"/>
          <w:shd w:fill="EEF3F7" w:val="clear"/>
          <w:rtl w:val="0"/>
        </w:rPr>
        <w:t xml:space="preserve">3</w:t>
      </w:r>
      <w:r w:rsidDel="00000000" w:rsidR="00000000" w:rsidRPr="00000000">
        <w:rPr>
          <w:rFonts w:ascii="Consolas" w:cs="Google Sans" w:eastAsia="Consolas" w:hAnsi="Consolas"/>
          <w:color w:val="1F3041"/>
          <w:sz w:val="16"/>
          <w:shd w:fill="EEF3F7" w:val="clear"/>
          <w:rtl w:val="0"/>
        </w:rPr>
        <w:t xml:space="preserve">]</w:t>
        <w:br w:type="textWrapping"/>
      </w:r>
      <w:r w:rsidDel="00000000" w:rsidR="00000000" w:rsidRPr="00000000">
        <w:rPr>
          <w:rFonts w:ascii="Consolas" w:cs="Google Sans" w:eastAsia="Consolas" w:hAnsi="Consolas"/>
          <w:i w:val="0"/>
          <w:iCs w:val="0"/>
          <w:color w:val="1F3041"/>
          <w:sz w:val="16"/>
          <w:szCs w:val="20"/>
          <w:shd w:fill="EEF3F7" w:val="clear"/>
          <w:rtl w:val="0"/>
        </w:rPr>
        <w:t xml:space="preserve">for</w:t>
      </w:r>
      <w:r w:rsidDel="00000000" w:rsidR="00000000" w:rsidRPr="00000000">
        <w:rPr>
          <w:rFonts w:ascii="Consolas" w:cs="Google Sans" w:eastAsia="Consolas" w:hAnsi="Consolas"/>
          <w:color w:val="1F3041"/>
          <w:sz w:val="16"/>
          <w:shd w:fill="EEF3F7" w:val="clear"/>
          <w:rtl w:val="0"/>
        </w:rPr>
        <w:t xml:space="preserve"> value </w:t>
      </w:r>
      <w:r w:rsidDel="00000000" w:rsidR="00000000" w:rsidRPr="00000000">
        <w:rPr>
          <w:rFonts w:ascii="Consolas" w:cs="Google Sans" w:eastAsia="Consolas" w:hAnsi="Consolas"/>
          <w:i w:val="0"/>
          <w:iCs w:val="0"/>
          <w:color w:val="1F3041"/>
          <w:sz w:val="16"/>
          <w:szCs w:val="20"/>
          <w:shd w:fill="EEF3F7" w:val="clear"/>
          <w:rtl w:val="0"/>
        </w:rPr>
        <w:t xml:space="preserve">in</w:t>
      </w:r>
      <w:r w:rsidDel="00000000" w:rsidR="00000000" w:rsidRPr="00000000">
        <w:rPr>
          <w:rFonts w:ascii="Consolas" w:cs="Google Sans" w:eastAsia="Consolas" w:hAnsi="Consolas"/>
          <w:color w:val="1F3041"/>
          <w:sz w:val="16"/>
          <w:shd w:fill="EEF3F7" w:val="clear"/>
          <w:rtl w:val="0"/>
        </w:rPr>
        <w:t xml:space="preserve"> values:</w:t>
        <w:br w:type="textWrapping"/>
        <w:t xml:space="preserve">    print(value)</w:t>
        <w:br w:type="textWrapping"/>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before="20" w:line="240" w:lineRule="auto"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40" w:lineRule="auto" w:before="20" w:after="20"/>
        <w:ind w:left="115" w:right="115" w:firstLine="0"/>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Times New Roman" w:cs="Google Sans" w:eastAsia="Google Sans" w:hAnsi="Times New Roman"/>
          <w:b/>
          <w:color w:val="FFFFFF"/>
          <w:sz w:val="18"/>
          <w:shd w:fill="141414" w:val="clear"/>
          <w:rtl w:val="0"/>
        </w:rPr>
        <w:t xml:space="preserve">Code snippet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color w:val="1F3041"/>
          <w:sz w:val="16"/>
          <w:shd w:fill="EEF3F7" w:val="clear"/>
          <w:rtl w:val="0"/>
        </w:rPr>
        <w:t xml:space="preserve">-- _hyperscript</w:t>
        <w:br w:type="textWrapping"/>
        <w:t xml:space="preserve">repeat for value in [1, 2, 3]</w:t>
        <w:br w:type="textWrapping"/>
        <w:t xml:space="preserve">    log value</w:t>
        <w:br w:type="textWrapping"/>
        <w:t xml:space="preserve">end</w:t>
        <w:br w:type="textWrapping"/>
      </w:r>
    </w:p>
    <w:p w:rsidR="00000000" w:rsidDel="00000000" w:rsidP="00000000" w:rsidRDefault="00000000" w:rsidRPr="00000000" w14:paraId="0000017B">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sidDel="00000000" w:rsidR="00000000" w:rsidRPr="00000000">
        <w:rPr>
          <w:rFonts w:ascii="Times New Roman" w:cs="Google Sans" w:eastAsia="Google Sans" w:hAnsi="Times New Roman"/>
          <w:i/>
          <w:iCs w:val="1"/>
          <w:color w:val="46525E"/>
          <w:sz w:val="18"/>
          <w:rtl w:val="0"/>
        </w:rPr>
        <w:t xml:space="preserve">Listing 5. Equivalent iteration intent across four notations. The DEAL form exposes declaration and iteration using readable keywords, but the Python and _hyperscript forms also show that readability is not unique to DEAL.</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LiveCode’s corresponding text-container example uses repeat for each item value in values ... end repeat, operating on comma-delimited strings rather than native JavaScript arrays. Such representational differences must be carefully controlled in empirical studies: a fair task comparison requires aligning underlying operations and data semantics, not just surface visual similarity.</w:t>
      </w:r>
    </w:p>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Extension mechanisms and web computation</w:t>
      </w:r>
    </w:p>
    <w:p w:rsidR="00000000" w:rsidDel="00000000" w:rsidP="00000000" w:rsidRDefault="00000000" w:rsidRPr="00000000" w14:paraId="0000017E">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Pr>
          <w:rFonts w:ascii="Times New Roman" w:hAnsi="Times New Roman"/>
          <w:i/>
          <w:color w:val="46525E"/>
          <w:sz w:val="18"/>
        </w:rPr>
        <w:t>Listing 6 compares two different extension mechanisms. SugarJ uses an imported library to introduce syntax and desugaring rules [22], whereas DEAL’s RESERVE construction adapts selected words to existing language structures. The example supports a narrower vocabulary-extension claim, not equivalence between the systems’ expressive power.</w:t>
      </w:r>
      <w:r>
        <w:rPr>
          <w:rFonts w:ascii="Times New Roman" w:hAnsi="Times New Roman"/>
          <w:i/>
          <w:color w:val="46525E"/>
          <w:sz w:val="18"/>
        </w:rPr>
        <w:t xml:space="preserve"> [22]</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40" w:lineRule="auto" w:before="100" w:after="40"/>
        <w:ind w:left="115" w:right="115" w:firstLine="0"/>
        <w:rPr>
          <w:rFonts w:ascii="Google Sans" w:cs="Google Sans" w:eastAsia="Google Sans" w:hAnsi="Google Sans"/>
          <w:color w:val="ffffff"/>
          <w:shd w:fill="EEF3F7" w:val="clear"/>
        </w:rPr>
      </w:pPr>
      <w:r w:rsidDel="00000000" w:rsidR="00000000" w:rsidRPr="00000000">
        <w:rPr>
          <w:rFonts w:ascii="Consolas" w:cs="Google Sans" w:eastAsia="Consolas" w:hAnsi="Consolas"/>
          <w:b/>
          <w:color w:val="1F3041"/>
          <w:sz w:val="18"/>
          <w:shd w:fill="EEF3F7" w:val="clear"/>
          <w:rtl w:val="0"/>
        </w:rPr>
        <w:t xml:space="preserve">Java</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i w:val="0"/>
          <w:iCs w:val="0"/>
          <w:color w:val="1F3041"/>
          <w:sz w:val="16"/>
          <w:szCs w:val="20"/>
          <w:shd w:fill="EEF3F7" w:val="clear"/>
          <w:rtl w:val="0"/>
        </w:rPr>
        <w:t xml:space="preserve">// SugarJ</w:t>
      </w:r>
      <w:r w:rsidDel="00000000" w:rsidR="00000000" w:rsidRPr="00000000">
        <w:rPr>
          <w:rFonts w:ascii="Consolas" w:cs="Google Sans" w:eastAsia="Consolas" w:hAnsi="Consolas"/>
          <w:color w:val="1F3041"/>
          <w:sz w:val="16"/>
          <w:shd w:fill="EEF3F7" w:val="clear"/>
          <w:rtl w:val="0"/>
        </w:rPr>
        <w:br w:type="textWrapping"/>
      </w:r>
      <w:r w:rsidDel="00000000" w:rsidR="00000000" w:rsidRPr="00000000">
        <w:rPr>
          <w:rFonts w:ascii="Consolas" w:cs="Google Sans" w:eastAsia="Consolas" w:hAnsi="Consolas"/>
          <w:i w:val="0"/>
          <w:iCs w:val="0"/>
          <w:color w:val="1F3041"/>
          <w:sz w:val="16"/>
          <w:szCs w:val="20"/>
          <w:shd w:fill="EEF3F7" w:val="clear"/>
          <w:rtl w:val="0"/>
        </w:rPr>
        <w:t xml:space="preserve">import</w:t>
      </w:r>
      <w:r w:rsidDel="00000000" w:rsidR="00000000" w:rsidRPr="00000000">
        <w:rPr>
          <w:rFonts w:ascii="Consolas" w:cs="Google Sans" w:eastAsia="Consolas" w:hAnsi="Consolas"/>
          <w:color w:val="1F3041"/>
          <w:sz w:val="16"/>
          <w:shd w:fill="EEF3F7" w:val="clear"/>
          <w:rtl w:val="0"/>
        </w:rPr>
        <w:t xml:space="preserve"> pair.Sugar;</w:t>
        <w:br w:type="textWrapping"/>
      </w:r>
      <w:r w:rsidDel="00000000" w:rsidR="00000000" w:rsidRPr="00000000">
        <w:rPr>
          <w:rFonts w:ascii="Consolas" w:cs="Google Sans" w:eastAsia="Consolas" w:hAnsi="Consolas"/>
          <w:i w:val="0"/>
          <w:iCs w:val="0"/>
          <w:color w:val="1F3041"/>
          <w:sz w:val="16"/>
          <w:szCs w:val="20"/>
          <w:shd w:fill="EEF3F7" w:val="clear"/>
          <w:rtl w:val="0"/>
        </w:rPr>
        <w:t xml:space="preserve">public</w:t>
      </w:r>
      <w:r w:rsidDel="00000000" w:rsidR="00000000" w:rsidRPr="00000000">
        <w:rPr>
          <w:rFonts w:ascii="Consolas" w:cs="Google Sans" w:eastAsia="Consolas" w:hAnsi="Consolas"/>
          <w:color w:val="1F3041"/>
          <w:sz w:val="16"/>
          <w:shd w:fill="EEF3F7" w:val="clear"/>
          <w:rtl w:val="0"/>
        </w:rPr>
        <w:t xml:space="preserve"> </w:t>
      </w:r>
      <w:r w:rsidDel="00000000" w:rsidR="00000000" w:rsidRPr="00000000">
        <w:rPr>
          <w:rFonts w:ascii="Consolas" w:cs="Google Sans" w:eastAsia="Consolas" w:hAnsi="Consolas"/>
          <w:i w:val="0"/>
          <w:iCs w:val="0"/>
          <w:color w:val="1F3041"/>
          <w:sz w:val="16"/>
          <w:szCs w:val="20"/>
          <w:shd w:fill="EEF3F7" w:val="clear"/>
          <w:rtl w:val="0"/>
        </w:rPr>
        <w:t xml:space="preserve">class</w:t>
      </w:r>
      <w:r w:rsidDel="00000000" w:rsidR="00000000" w:rsidRPr="00000000">
        <w:rPr>
          <w:rFonts w:ascii="Consolas" w:cs="Google Sans" w:eastAsia="Consolas" w:hAnsi="Consolas"/>
          <w:i w:val="0"/>
          <w:iCs w:val="0"/>
          <w:color w:val="1F3041"/>
          <w:sz w:val="16"/>
          <w:shd w:fill="EEF3F7" w:val="clear"/>
          <w:rtl w:val="0"/>
        </w:rPr>
        <w:t xml:space="preserve"> </w:t>
      </w:r>
      <w:r w:rsidDel="00000000" w:rsidR="00000000" w:rsidRPr="00000000">
        <w:rPr>
          <w:rFonts w:ascii="Consolas" w:cs="Google Sans" w:eastAsia="Consolas" w:hAnsi="Consolas"/>
          <w:i w:val="0"/>
          <w:iCs w:val="0"/>
          <w:color w:val="1F3041"/>
          <w:sz w:val="16"/>
          <w:szCs w:val="20"/>
          <w:shd w:fill="EEF3F7" w:val="clear"/>
          <w:rtl w:val="0"/>
        </w:rPr>
        <w:t xml:space="preserve">Test</w:t>
      </w:r>
      <w:r w:rsidDel="00000000" w:rsidR="00000000" w:rsidRPr="00000000">
        <w:rPr>
          <w:rFonts w:ascii="Consolas" w:cs="Google Sans" w:eastAsia="Consolas" w:hAnsi="Consolas"/>
          <w:i w:val="0"/>
          <w:iCs w:val="0"/>
          <w:color w:val="1F3041"/>
          <w:sz w:val="16"/>
          <w:shd w:fill="EEF3F7" w:val="clear"/>
          <w:rtl w:val="0"/>
        </w:rPr>
        <w:t xml:space="preserve"> </w:t>
      </w:r>
      <w:r w:rsidDel="00000000" w:rsidR="00000000" w:rsidRPr="00000000">
        <w:rPr>
          <w:rFonts w:ascii="Consolas" w:cs="Google Sans" w:eastAsia="Consolas" w:hAnsi="Consolas"/>
          <w:color w:val="1F3041"/>
          <w:sz w:val="16"/>
          <w:shd w:fill="EEF3F7" w:val="clear"/>
          <w:rtl w:val="0"/>
        </w:rPr>
        <w:t xml:space="preserve">{</w:t>
        <w:br w:type="textWrapping"/>
        <w:t xml:space="preserve">    </w:t>
      </w:r>
      <w:r w:rsidDel="00000000" w:rsidR="00000000" w:rsidRPr="00000000">
        <w:rPr>
          <w:rFonts w:ascii="Consolas" w:cs="Google Sans" w:eastAsia="Consolas" w:hAnsi="Consolas"/>
          <w:i w:val="0"/>
          <w:iCs w:val="0"/>
          <w:color w:val="1F3041"/>
          <w:sz w:val="16"/>
          <w:szCs w:val="20"/>
          <w:shd w:fill="EEF3F7" w:val="clear"/>
          <w:rtl w:val="0"/>
        </w:rPr>
        <w:t xml:space="preserve">private</w:t>
      </w:r>
      <w:r w:rsidDel="00000000" w:rsidR="00000000" w:rsidRPr="00000000">
        <w:rPr>
          <w:rFonts w:ascii="Consolas" w:cs="Google Sans" w:eastAsia="Consolas" w:hAnsi="Consolas"/>
          <w:color w:val="1F3041"/>
          <w:sz w:val="16"/>
          <w:shd w:fill="EEF3F7" w:val="clear"/>
          <w:rtl w:val="0"/>
        </w:rPr>
        <w:t xml:space="preserve"> (String, Integer) p = (</w:t>
      </w:r>
      <w:r w:rsidDel="00000000" w:rsidR="00000000" w:rsidRPr="00000000">
        <w:rPr>
          <w:rFonts w:ascii="Consolas" w:cs="Google Sans" w:eastAsia="Consolas" w:hAnsi="Consolas"/>
          <w:i w:val="0"/>
          <w:iCs w:val="0"/>
          <w:color w:val="1F3041"/>
          <w:sz w:val="16"/>
          <w:szCs w:val="20"/>
          <w:shd w:fill="EEF3F7" w:val="clear"/>
          <w:rtl w:val="0"/>
        </w:rPr>
        <w:t xml:space="preserve">"12"</w:t>
      </w:r>
      <w:r w:rsidDel="00000000" w:rsidR="00000000" w:rsidRPr="00000000">
        <w:rPr>
          <w:rFonts w:ascii="Consolas" w:cs="Google Sans" w:eastAsia="Consolas" w:hAnsi="Consolas"/>
          <w:color w:val="1F3041"/>
          <w:sz w:val="16"/>
          <w:shd w:fill="EEF3F7" w:val="clear"/>
          <w:rtl w:val="0"/>
        </w:rPr>
        <w:t xml:space="preserve">, </w:t>
      </w:r>
      <w:r w:rsidDel="00000000" w:rsidR="00000000" w:rsidRPr="00000000">
        <w:rPr>
          <w:rFonts w:ascii="Consolas" w:cs="Google Sans" w:eastAsia="Consolas" w:hAnsi="Consolas"/>
          <w:i w:val="0"/>
          <w:iCs w:val="0"/>
          <w:color w:val="1F3041"/>
          <w:sz w:val="16"/>
          <w:szCs w:val="20"/>
          <w:shd w:fill="EEF3F7" w:val="clear"/>
          <w:rtl w:val="0"/>
        </w:rPr>
        <w:t xml:space="preserve">34</w:t>
      </w:r>
      <w:r w:rsidDel="00000000" w:rsidR="00000000" w:rsidRPr="00000000">
        <w:rPr>
          <w:rFonts w:ascii="Consolas" w:cs="Google Sans" w:eastAsia="Consolas" w:hAnsi="Consolas"/>
          <w:color w:val="1F3041"/>
          <w:sz w:val="16"/>
          <w:shd w:fill="EEF3F7" w:val="clear"/>
          <w:rtl w:val="0"/>
        </w:rPr>
        <w:t xml:space="preserve">);</w:t>
        <w:br w:type="textWrapping"/>
        <w:t xml:space="preserve">}</w:t>
        <w:br w:type="textWrapping"/>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before="20" w:line="240" w:lineRule="auto"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40" w:lineRule="auto" w:before="20" w:after="20"/>
        <w:ind w:left="115" w:right="115" w:firstLine="0"/>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Times New Roman" w:cs="Google Sans" w:eastAsia="Google Sans" w:hAnsi="Times New Roman"/>
          <w:b/>
          <w:color w:val="FFFFFF"/>
          <w:sz w:val="18"/>
          <w:shd w:fill="141414" w:val="clear"/>
          <w:rtl w:val="0"/>
        </w:rPr>
        <w:t xml:space="preserve">Code snippet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color w:val="1F3041"/>
          <w:sz w:val="16"/>
          <w:shd w:fill="EEF3F7" w:val="clear"/>
          <w:rtl w:val="0"/>
        </w:rPr>
        <w:t xml:space="preserve">// DEAL.JS Vocabulary Adaptation</w:t>
        <w:br w:type="textWrapping"/>
        <w:t xml:space="preserve">RESERVE every AS "for";</w:t>
        <w:br w:type="textWrapping"/>
        <w:t xml:space="preserve">RESERVE the;</w:t>
        <w:br w:type="textWrapping"/>
        <w:t xml:space="preserve">every item OF the values, console.log(item);</w:t>
        <w:br w:type="textWrapping"/>
      </w:r>
    </w:p>
    <w:p w:rsidR="00000000" w:rsidDel="00000000" w:rsidP="00000000" w:rsidRDefault="00000000" w:rsidRPr="00000000" w14:paraId="00000189">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Pr>
          <w:rFonts w:ascii="Times New Roman" w:hAnsi="Times New Roman"/>
          <w:i/>
          <w:color w:val="46525E"/>
          <w:sz w:val="18"/>
        </w:rPr>
        <w:t>Listing 6. SugarJ grammar/desugaring extension compared with DEAL vocabulary adaptation. The example illustrates different extension levels and does not claim equivalent expressiveness.</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WebL pioneered integrated page retrieval, element operations, and markup algebra for web document processing. Listing 7 places WebL’s page/element abstraction alongside DEAL’s load/select orchestration idiom. Both select third-level heading elements, differing primarily in the underlying language abstractions used to manage documents and outputs.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Times New Roman" w:cs="Google Sans" w:eastAsia="Google Sans" w:hAnsi="Times New Roman"/>
          <w:b/>
          <w:color w:val="FFFFFF"/>
          <w:sz w:val="18"/>
          <w:shd w:fill="141414" w:val="clear"/>
          <w:rtl w:val="0"/>
        </w:rPr>
        <w:t xml:space="preserve">Code snippet</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color w:val="1F3041"/>
          <w:sz w:val="16"/>
          <w:shd w:fill="EEF3F7" w:val="clear"/>
          <w:rtl w:val="0"/>
        </w:rPr>
        <w:t xml:space="preserve">// WebL-style notation</w:t>
        <w:br w:type="textWrapping"/>
        <w:t xml:space="preserve">page := getpage("https://example.org/catalog");</w:t>
        <w:br w:type="textWrapping"/>
        <w:t xml:space="preserve">titles := page.Elem("H3");</w:t>
        <w:br w:type="textWrapping"/>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before="20" w:line="240" w:lineRule="auto"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40" w:lineRule="auto" w:before="20" w:after="20"/>
        <w:ind w:left="115" w:right="115" w:firstLine="0"/>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Times New Roman" w:cs="Google Sans" w:eastAsia="Google Sans" w:hAnsi="Times New Roman"/>
          <w:b/>
          <w:color w:val="FFFFFF"/>
          <w:sz w:val="18"/>
          <w:shd w:fill="141414" w:val="clear"/>
          <w:rtl w:val="0"/>
        </w:rPr>
        <w:t xml:space="preserve">Code snippet</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color w:val="1F3041"/>
          <w:sz w:val="16"/>
          <w:shd w:fill="EEF3F7" w:val="clear"/>
          <w:rtl w:val="0"/>
        </w:rPr>
        <w:t xml:space="preserve">// DEAL.JS orchestration idiom</w:t>
        <w:br w:type="textWrapping"/>
        <w:t xml:space="preserve">LOAD "https://example.org/catalog",</w:t>
        <w:br w:type="textWrapping"/>
        <w:t xml:space="preserve">THEN APPEND ALL "h3", TO destination;</w:t>
        <w:br w:type="textWrapping"/>
      </w:r>
    </w:p>
    <w:p w:rsidR="00000000" w:rsidDel="00000000" w:rsidP="00000000" w:rsidRDefault="00000000" w:rsidRPr="00000000" w14:paraId="00000195">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Pr>
          <w:rFonts w:ascii="Times New Roman" w:hAnsi="Times New Roman"/>
          <w:i/>
          <w:color w:val="46525E"/>
          <w:sz w:val="18"/>
        </w:rPr>
        <w:t>Listing 7. Comparable heading-selection intent expressed through WebL-style notation and DEAL.JS. The example illustrates different abstractions; it is not an empirical performance comparison.</w:t>
      </w:r>
    </w:p>
    <w:p w:rsidR="00000000" w:rsidDel="00000000" w:rsidP="00000000" w:rsidRDefault="00000000" w:rsidRPr="00000000" w14:paraId="0000019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Innovation and field-level contribution</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core innovation is an integrated communication architecture featuring explicit extension boundaries. A shared source artifact makes AI-generated proposals fully editable and reviewable; domain commands encapsulate reusable scientific operations; and mixed-source interoperability enables gradual adoption alongside existing JavaScript codebases. These mechanisms directly bridge the practical divide between a researcher’s scientific description of a method and the software executing it.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A second design feature is the separation of computational operations, human-facing terminology, and implementation technology. A domain module can preserve its operational contract while supporting alternative vocabulary, and another implementation could reuse the language model if it preserved the declared semantics. Such portability remains conditional on explicit mappings, aligned environments, and conformance testing.</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implementation integrates a research-oriented notation, JavaScript source generation, modular operations, and vocabulary adaptation. Its contribution should be evaluated at the system level rather than attributed to a particular keyword or scraping function. The current evidence establishes the existence of these mechanisms and the behavior of the tested synthetic case; it does not yet establish general user or performance benefits.</w:t>
      </w:r>
    </w:p>
    <w:p w:rsidR="00000000" w:rsidDel="00000000" w:rsidP="00000000" w:rsidRDefault="00000000" w:rsidRPr="00000000" w14:paraId="0000019A">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Multilingual vocabulary and implementation in other languages</w:t>
      </w:r>
    </w:p>
    <w:p w:rsidR="00000000" w:rsidDel="00000000" w:rsidP="00000000" w:rsidRDefault="00000000" w:rsidRPr="00000000" w14:paraId="0000019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Vocabulary localization without changing the task</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Vocabulary modules can map alternative human-language expressions to the same canonical computational operations. This may reduce language-specific friction for some users, but evidence on programming-language intuition indicates that effects vary with participants and task context [15]. Localization should therefore be optional and validated with users of the target locale rather than presented as a universal cognitive benefit.</w:t>
      </w:r>
      <w:r>
        <w:t xml:space="preserve"> [15]</w:t>
      </w:r>
    </w:p>
    <w:p w:rsidR="00000000" w:rsidDel="00000000" w:rsidP="00000000" w:rsidRDefault="00000000" w:rsidRPr="00000000" w14:paraId="0000019D">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Pr>
          <w:rFonts w:ascii="Times New Roman" w:hAnsi="Times New Roman"/>
          <w:i/>
          <w:color w:val="46525E"/>
          <w:sz w:val="18"/>
        </w:rPr>
        <w:t>Listing 8 shows illustrative Spanish and French vocabulary fragments using replacement reserves and readability words. These snippets demonstrate the intended mechanism, not production-ready or native-speaker-validated locale packages. Locale-specific tests must also cover identifiers, string literals, phrase boundaries, Unicode handling, and diagnostics.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Times New Roman" w:cs="Google Sans" w:eastAsia="Google Sans" w:hAnsi="Times New Roman"/>
          <w:b/>
          <w:color w:val="FFFFFF"/>
          <w:sz w:val="18"/>
          <w:shd w:fill="141414" w:val="clear"/>
          <w:rtl w:val="0"/>
        </w:rPr>
        <w:t xml:space="preserve">Code snippet</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color w:val="1F3041"/>
          <w:sz w:val="16"/>
          <w:shd w:fill="EEF3F7" w:val="clear"/>
          <w:rtl w:val="0"/>
        </w:rPr>
        <w:t xml:space="preserve">// Spanish vocabulary fragment</w:t>
        <w:br w:type="textWrapping"/>
        <w:t xml:space="preserve">RESERVE para AS "for";</w:t>
        <w:br w:type="textWrapping"/>
        <w:t xml:space="preserve">RESERVE cada;</w:t>
        <w:br w:type="textWrapping"/>
        <w:t xml:space="preserve">RESERVE de AS "of";</w:t>
        <w:br w:type="textWrapping"/>
        <w:t xml:space="preserve">para cada value de values, console.log(value);</w:t>
        <w:br w:type="textWrapping"/>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before="20" w:line="240" w:lineRule="auto" w:after="20"/>
        <w:ind w:left="115" w:firstLine="0" w:right="115"/>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40" w:lineRule="auto" w:before="20" w:after="20"/>
        <w:ind w:left="115" w:right="115" w:firstLine="0"/>
        <w:rPr>
          <w:rFonts w:ascii="Google Sans" w:cs="Google Sans" w:eastAsia="Google Sans" w:hAnsi="Google Sans"/>
          <w:color w:val="1f1f1f"/>
          <w:shd w:fill="EEF3F7" w:val="clear"/>
        </w:rPr>
      </w:pPr>
      <w:r w:rsidDel="00000000" w:rsidR="00000000" w:rsidRPr="00000000">
        <w:rPr>
          <w:rFonts w:ascii="Consolas" w:hAnsi="Consolas" w:eastAsia="Consolas"/>
          <w:color w:val="1F3041"/>
          <w:sz w:val="16"/>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Times New Roman" w:cs="Google Sans" w:eastAsia="Google Sans" w:hAnsi="Times New Roman"/>
          <w:b/>
          <w:color w:val="FFFFFF"/>
          <w:sz w:val="18"/>
          <w:shd w:fill="141414" w:val="clear"/>
          <w:rtl w:val="0"/>
        </w:rPr>
        <w:t xml:space="preserve">Code snippet</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40" w:lineRule="auto" w:before="20" w:after="20"/>
        <w:ind w:left="115" w:firstLine="0" w:right="115"/>
        <w:rPr>
          <w:rFonts w:ascii="Google Sans" w:cs="Google Sans" w:eastAsia="Google Sans" w:hAnsi="Google Sans"/>
          <w:color w:val="1f1f1f"/>
          <w:shd w:fill="EEF3F7" w:val="clear"/>
        </w:rPr>
      </w:pPr>
      <w:r w:rsidDel="00000000" w:rsidR="00000000" w:rsidRPr="00000000">
        <w:rPr>
          <w:rFonts w:ascii="Consolas" w:cs="Google Sans" w:eastAsia="Consolas" w:hAnsi="Consolas"/>
          <w:color w:val="1F3041"/>
          <w:sz w:val="16"/>
          <w:shd w:fill="EEF3F7" w:val="clear"/>
          <w:rtl w:val="0"/>
        </w:rPr>
        <w:t xml:space="preserve">// French vocabulary fragment</w:t>
        <w:br w:type="textWrapping"/>
        <w:t xml:space="preserve">RESERVE pour AS "for";</w:t>
        <w:br w:type="textWrapping"/>
        <w:t xml:space="preserve">RESERVE chaque;</w:t>
        <w:br w:type="textWrapping"/>
        <w:t xml:space="preserve">RESERVE de AS "of";</w:t>
        <w:br w:type="textWrapping"/>
        <w:t xml:space="preserve">pour chaque value de values, console.log(value);</w:t>
        <w:br w:type="textWrapping"/>
      </w:r>
    </w:p>
    <w:p w:rsidR="00000000" w:rsidDel="00000000" w:rsidP="00000000" w:rsidRDefault="00000000" w:rsidRPr="00000000" w14:paraId="000001A8">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Pr>
          <w:rFonts w:ascii="Times New Roman" w:hAnsi="Times New Roman"/>
          <w:i/>
          <w:color w:val="46525E"/>
          <w:sz w:val="18"/>
        </w:rPr>
        <w:t>Listing 8. Illustrative Spanish and French surface forms for a canonical iteration. The fragments should be loaded as separate locale configurations and require equivalence tests before operational use.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$\mathcal{N}_\ell$ map source text written in vocabulary $\ell$ into canonical DEAL source. Vocabulary equivalence is formally satisfied when:</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es</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s</m:t>
            </m:r>
          </m:e>
          <m:sub>
            <m:r>
              <w:rPr>
                <w:rFonts w:ascii="Google Sans" w:cs="Google Sans" w:eastAsia="Google Sans" w:hAnsi="Google Sans"/>
                <w:color w:val="1f1f1f"/>
              </w:rPr>
              <m:t xml:space="preserve">es</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fr</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s</m:t>
            </m:r>
          </m:e>
          <m:sub>
            <m:r>
              <w:rPr>
                <w:rFonts w:ascii="Google Sans" w:cs="Google Sans" w:eastAsia="Google Sans" w:hAnsi="Google Sans"/>
                <w:color w:val="1f1f1f"/>
              </w:rPr>
              <m:t xml:space="preserve">fr</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s</m:t>
            </m:r>
          </m:e>
          <m:sub>
            <m:r>
              <w:rPr>
                <w:rFonts w:ascii="Google Sans" w:cs="Google Sans" w:eastAsia="Google Sans" w:hAnsi="Google Sans"/>
                <w:color w:val="1f1f1f"/>
              </w:rPr>
              <m:t xml:space="preserve">c</m:t>
            </m:r>
          </m:sub>
        </m:sSub>
        <m:r>
          <w:rPr>
            <w:rFonts w:ascii="Google Sans" w:cs="Google Sans" w:eastAsia="Google Sans" w:hAnsi="Google Sans"/>
            <w:color w:val="1f1f1f"/>
          </w:rPr>
          <m:t xml:space="preserve">.(5)</m:t>
        </m:r>
      </m:oMath>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For a fixed canonical compilation context, vocabulary configurations that normalize to the same canonical source should yield the same target artifact. This separates surface localization from program semantics: an alias module must preserve the intended instruction, not merely translate individual words.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A complete localization design must protect literals and user identifiers, define Unicode and case-collision behavior, document phrase boundaries, and produce intelligible diagnostics. Translation should preserve the computational task rather than translate every token mechanically. Native-speaker review and equivalence testing are required before claiming that a locale improves outcomes for a community [39].</w:t>
      </w:r>
    </w:p>
    <w:p w:rsidR="00000000" w:rsidDel="00000000" w:rsidP="00000000" w:rsidRDefault="00000000" w:rsidRPr="00000000" w14:paraId="000001B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Reimplementation and target-language portability</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DEAL model may be implemented in other host languages, or a compiler backend may target a different language. These are distinct forms of reuse. DEAL.JS is the concrete JavaScript-targeting implementation; alternatives must state the subset they support and preserve the declared observations rather than infer portability from architectural similarity.</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current concrete target is JavaScript. Figure 6 separates vocabulary normalization, canonical language structures, and backend realization. Other targets require explicit semantic mappings, and embedded JavaScript must either be excluded from the portable subset or treated as a host-specific escape boundary.</w:t>
      </w:r>
    </w:p>
    <w:p>
      <w:pPr>
        <w:keepNext/>
        <w:spacing w:before="80" w:after="40"/>
        <w:jc w:val="center"/>
      </w:pPr>
      <w:r>
        <w:drawing>
          <wp:inline>
            <wp:extent cx="5806440" cy="2249995"/>
            <wp:docPr id="6" name="Picture 6" descr="Vocabulary normalization into canonical DEAL source before backend generation."/>
            <wp:cNvGraphicFramePr>
              <a:graphicFrameLocks noChangeAspect="1"/>
            </wp:cNvGraphicFramePr>
            <a:graphic>
              <a:graphicData uri="http://schemas.openxmlformats.org/drawingml/2006/picture">
                <pic:pic>
                  <pic:nvPicPr>
                    <pic:cNvPr id="0" name="figure6.png"/>
                    <pic:cNvPicPr/>
                  </pic:nvPicPr>
                  <pic:blipFill>
                    <a:blip r:embed="rId50"/>
                    <a:stretch>
                      <a:fillRect/>
                    </a:stretch>
                  </pic:blipFill>
                  <pic:spPr>
                    <a:xfrm>
                      <a:off x="0" y="0"/>
                      <a:ext cx="5806440" cy="2249995"/>
                    </a:xfrm>
                    <a:prstGeom prst="rect"/>
                  </pic:spPr>
                </pic:pic>
              </a:graphicData>
            </a:graphic>
          </wp:inline>
        </w:drawing>
      </w:r>
    </w:p>
    <w:p w:rsidR="00000000" w:rsidDel="00000000" w:rsidP="00000000" w:rsidRDefault="00000000" w:rsidRPr="00000000" w14:paraId="000001B3">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i w:val="1"/>
          <w:iCs w:val="1"/>
          <w:color w:val="1f1f1f"/>
        </w:rPr>
      </w:pPr>
      <w:r>
        <w:rPr>
          <w:rFonts w:ascii="Times New Roman" w:hAnsi="Times New Roman"/>
          <w:i/>
          <w:color w:val="46525E"/>
          <w:sz w:val="18"/>
        </w:rPr>
        <w:t>Figure 6. Vocabulary adaptation, canonical DEAL structures, and backend realization. JavaScript is the implemented target; any additional backend requires a declared portable subset and explicit semantic-preservation tests.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any portable program </w:t>
      </w:r>
      <m:oMath>
        <m:r>
          <w:rPr>
            <w:rFonts w:ascii="Google Sans" w:cs="Google Sans" w:eastAsia="Google Sans" w:hAnsi="Google Sans"/>
            <w:color w:val="1f1f1f"/>
          </w:rPr>
          <m:t xml:space="preserve">p</m:t>
        </m:r>
      </m:oMath>
      <w:r w:rsidDel="00000000" w:rsidR="00000000" w:rsidRPr="00000000">
        <w:rPr>
          <w:rFonts w:ascii="Google Sans" w:cs="Google Sans" w:eastAsia="Google Sans" w:hAnsi="Google Sans"/>
          <w:color w:val="1f1f1f"/>
          <w:rtl w:val="0"/>
        </w:rPr>
        <w:t xml:space="preserve">, the cross-backend preservation condition is defined as: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Obs(Exe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a</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a</m:t>
            </m:r>
          </m:sub>
        </m:sSub>
        <m:r>
          <w:rPr>
            <w:rFonts w:ascii="Google Sans" w:cs="Google Sans" w:eastAsia="Google Sans" w:hAnsi="Google Sans"/>
            <w:color w:val="1f1f1f"/>
          </w:rPr>
          <m:t xml:space="preserve">(p),</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a</m:t>
            </m:r>
          </m:sub>
        </m:sSub>
        <m:r>
          <w:rPr>
            <w:rFonts w:ascii="Google Sans" w:cs="Google Sans" w:eastAsia="Google Sans" w:hAnsi="Google Sans"/>
            <w:color w:val="1f1f1f"/>
          </w:rPr>
          <m:t xml:space="preserve">))=Obs(Exe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C</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(p),</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b</m:t>
            </m:r>
          </m:sub>
        </m:sSub>
        <m:r>
          <w:rPr>
            <w:rFonts w:ascii="Google Sans" w:cs="Google Sans" w:eastAsia="Google Sans" w:hAnsi="Google Sans"/>
            <w:color w:val="1f1f1f"/>
          </w:rPr>
          <m:t xml:space="preserve">)).(6)</m:t>
        </m:r>
      </m:oMath>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Cross-backend comparisons require aligned execution environments and observation definitions. Numeric precision, strings, missing-value behavior, event order, exceptions, asynchronous effects, and storage encodings are part of the contract. A backend-neutral subset makes these obligations more manageable; arbitrary embedded JavaScript cannot automatically be translated to an unrelated host language.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This separation allows a domain operation, such as normalization, to keep a stable contract while its vocabulary and runtime implementation evolve. It also makes the limit of host interoperability explicit: language-level portability cannot be inferred for code that includes arbitrary, target-specific JavaScript.</w:t>
      </w:r>
    </w:p>
    <w:p w:rsidR="00000000" w:rsidDel="00000000" w:rsidP="00000000" w:rsidRDefault="00000000" w:rsidRPr="00000000" w14:paraId="000001BB">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strategy and evaluation methodology</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evaluation strategy separates three questions: language conformance, application data-contract correctness, and practical utility for people or AI systems. The results reported here concern the synthetic catalog’s application contract. The remaining protocols are proposed methods for future evaluation, not completed experiments.</w:t>
      </w:r>
    </w:p>
    <w:p w:rsidR="00000000" w:rsidDel="00000000" w:rsidP="00000000" w:rsidRDefault="00000000" w:rsidRPr="00000000" w14:paraId="000001B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conformance and regression</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Conformance tests should link source constructions to observations specified independently of the implementation. DEAL-specific, native JavaScript, and mixed-source tests should cover structures, user commands, expressions, nested control flow, and asynchronous continuations. Table 7 identifies representative test categories and their corresponding semantic oracles.</w:t>
      </w:r>
    </w:p>
    <w:p w:rsidR="00000000" w:rsidDel="00000000" w:rsidP="00000000" w:rsidRDefault="00000000" w:rsidRPr="00000000" w14:paraId="000001BF">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Pr>
          <w:rFonts w:ascii="Times New Roman" w:hAnsi="Times New Roman"/>
          <w:i/>
          <w:color w:val="46525E"/>
          <w:sz w:val="18"/>
        </w:rPr>
        <w:t>Table 7. Conformance categories, test constructions, and semantic oracles.</w:t>
      </w:r>
    </w:p>
    <w:tbl>
      <w:tblPr>
        <w:tblStyle w:val="Table7"/>
        <w:tblW w:w="9360.0" w:type="dxa"/>
        <w:jc w:val="center"/>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autofit"/>
        <w:tblLook w:val="0600"/>
      </w:tblPr>
      <w:tblGrid>
        <w:gridCol w:w="3120"/>
        <w:gridCol w:w="3120"/>
        <w:gridCol w:w="3120"/>
        <w:tblGridChange w:id="0">
          <w:tblGrid>
            <w:gridCol w:w="3120"/>
            <w:gridCol w:w="3120"/>
            <w:gridCol w:w="3120"/>
          </w:tblGrid>
        </w:tblGridChange>
      </w:tblGrid>
      <w:tr>
        <w:trPr>
          <w:cantSplit w:val="0"/>
          <w:tblHeader w:val="0"/>
          <w:tblHeader w:val="true"/>
        </w:trPr>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Language feature</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Test construction</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Semantic oracle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Core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Isolated declarations, branches, loops, and exception paths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Expected bindings, outputs, termination, and error states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Embedded JavaScript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Matched native and mixed-source programs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Agreement with specified JavaScript execution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Nested control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Combinations of blocks, scopes, and continuations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Binding visibility, effect order, and completion guarantees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Commands and vocabulary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Reusable operations, aliases, and readability 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Stable operation contracts and equivalent canonical meaning</w:t>
            </w:r>
          </w:p>
        </w:tc>
      </w:tr>
    </w:tbl>
    <w:p>
      <w:pPr>
        <w:keepNext/>
        <w:spacing w:before="80" w:after="40"/>
        <w:jc w:val="center"/>
      </w:pPr>
      <w:r>
        <w:drawing>
          <wp:inline>
            <wp:extent cx="5806440" cy="2249995"/>
            <wp:docPr id="7" name="Picture 7" descr="Proposed regression workflow comparing host execution observations with an independent specification."/>
            <wp:cNvGraphicFramePr>
              <a:graphicFrameLocks noChangeAspect="1"/>
            </wp:cNvGraphicFramePr>
            <a:graphic>
              <a:graphicData uri="http://schemas.openxmlformats.org/drawingml/2006/picture">
                <pic:pic>
                  <pic:nvPicPr>
                    <pic:cNvPr id="0" name="figure7.png"/>
                    <pic:cNvPicPr/>
                  </pic:nvPicPr>
                  <pic:blipFill>
                    <a:blip r:embed="rId51"/>
                    <a:stretch>
                      <a:fillRect/>
                    </a:stretch>
                  </pic:blipFill>
                  <pic:spPr>
                    <a:xfrm>
                      <a:off x="0" y="0"/>
                      <a:ext cx="5806440" cy="2249995"/>
                    </a:xfrm>
                    <a:prstGeom prst="rect"/>
                  </pic:spPr>
                </pic:pic>
              </a:graphicData>
            </a:graphic>
          </wp:inline>
        </w:drawing>
      </w:r>
    </w:p>
    <w:p w:rsidR="00000000" w:rsidDel="00000000" w:rsidP="00000000" w:rsidRDefault="00000000" w:rsidRPr="00000000" w14:paraId="000001CF">
      <w:pPr>
        <w:keepNext w:val="0"/>
        <w:pBdr>
          <w:top w:space="0" w:sz="0" w:val="nil"/>
          <w:left w:space="0" w:sz="0" w:val="nil"/>
          <w:bottom w:space="0" w:sz="0" w:val="nil"/>
          <w:right w:space="0" w:sz="0" w:val="nil"/>
          <w:between w:space="0" w:sz="0" w:val="nil"/>
        </w:pBdr>
        <w:shd w:fill="auto" w:val="clear"/>
        <w:spacing w:before="80" w:line="275.9999942779541" w:lineRule="auto" w:after="160"/>
        <w:rPr>
          <w:rFonts w:ascii="Google Sans" w:cs="Google Sans" w:eastAsia="Google Sans" w:hAnsi="Google Sans"/>
          <w:i w:val="1"/>
          <w:iCs w:val="1"/>
          <w:color w:val="1f1f1f"/>
        </w:rPr>
      </w:pPr>
      <w:r>
        <w:rPr>
          <w:rFonts w:ascii="Times New Roman" w:hAnsi="Times New Roman"/>
          <w:i/>
          <w:color w:val="46525E"/>
          <w:sz w:val="18"/>
        </w:rPr>
        <w:t>Figure 7. Proposed regression protocol: compile controlled fixtures, execute under a declared host, capture observable effects, and compare them with an independent specification. The protocol is a design proposal for full-system testing, not a report that such a full-system experiment was completed.</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A reproducible conformance protocol should start from a controlled compiler state, record generated source and diagnostics, and execute under a declared host contract. Independent oracles should cover outputs, exceptions, persistent storage effects, and asynchronous completion. Malformed syntax, missing modules, conflicting reserves, and unsupported host operations should be included as negative tests, with expected failure behavior defined in advance.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A full suite should divide cases into declarations, branches, loops, commands, reserves, handlers, collection operators, module resolution, and embedded JavaScript. Property-based and metamorphic testing can assess invariants—for example, whether adding declared noise words or permitted capitalization variants changes canonical meaning. Broad independent tests remain necessary because passing a small suite is not evidence of complete correctness.</w:t>
      </w:r>
    </w:p>
    <w:p w:rsidR="00000000" w:rsidDel="00000000" w:rsidP="00000000" w:rsidRDefault="00000000" w:rsidRPr="00000000" w14:paraId="000001D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correctness and extraction quality</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synthetic catalog yields deterministic expected outcomes for normalization, validation, serialization, and in-memory persistence. Because no live site was queried, these checks do not measure extraction accuracy. That requires separate tests against HTML and JSON snapshots with independently annotated records and fields.</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evaluation utilizes HTML and JSON fixtures featuring manually annotated records and fields. Critical test cases include missing fields, altered element order, duplicate rows, pagination boundaries, encoding variations, and malformed numeric data. If </w:t>
      </w:r>
      <m:oMath>
        <m:r>
          <w:rPr>
            <w:rFonts w:ascii="Google Sans" w:cs="Google Sans" w:eastAsia="Google Sans" w:hAnsi="Google Sans"/>
            <w:color w:val="1f1f1f"/>
          </w:rPr>
          <m:t xml:space="preserve">R</m:t>
        </m:r>
      </m:oMath>
      <w:r w:rsidDel="00000000" w:rsidR="00000000" w:rsidRPr="00000000">
        <w:rPr>
          <w:rFonts w:ascii="Google Sans" w:cs="Google Sans" w:eastAsia="Google Sans" w:hAnsi="Google Sans"/>
          <w:color w:val="1f1f1f"/>
          <w:rtl w:val="0"/>
        </w:rPr>
        <w:t xml:space="preserve"> represents the retrieved record set and </w:t>
      </w:r>
      <m:oMath>
        <m:r>
          <w:rPr>
            <w:rFonts w:ascii="Google Sans" w:cs="Google Sans" w:eastAsia="Google Sans" w:hAnsi="Google Sans"/>
            <w:color w:val="1f1f1f"/>
          </w:rPr>
          <m:t xml:space="preserve">G</m:t>
        </m:r>
      </m:oMath>
      <w:r w:rsidDel="00000000" w:rsidR="00000000" w:rsidRPr="00000000">
        <w:rPr>
          <w:rFonts w:ascii="Google Sans" w:cs="Google Sans" w:eastAsia="Google Sans" w:hAnsi="Google Sans"/>
          <w:color w:val="1f1f1f"/>
          <w:rtl w:val="0"/>
        </w:rPr>
        <w:t xml:space="preserve"> represents the ground-truth reference set, record-level metrics are calculated as:</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Precision=</m:t>
        </m:r>
        <m:f>
          <m:fPr>
            <m:ctrlPr>
              <w:rPr>
                <w:rFonts w:ascii="Google Sans" w:cs="Google Sans" w:eastAsia="Google Sans" w:hAnsi="Google Sans"/>
                <w:color w:val="1f1f1f"/>
              </w:rPr>
            </m:ctrlPr>
          </m:fPr>
          <m:num>
            <m:r>
              <w:rPr>
                <w:rFonts w:ascii="Google Sans" w:cs="Google Sans" w:eastAsia="Google Sans" w:hAnsi="Google Sans"/>
                <w:color w:val="1f1f1f"/>
              </w:rPr>
              <m:t xml:space="preserve">|R</m:t>
            </m:r>
            <m:r>
              <w:rPr>
                <w:rFonts w:ascii="Google Sans" w:cs="Google Sans" w:eastAsia="Google Sans" w:hAnsi="Google Sans"/>
                <w:color w:val="1f1f1f"/>
              </w:rPr>
              <m:t>∩</m:t>
            </m:r>
            <m:r>
              <w:rPr>
                <w:rFonts w:ascii="Google Sans" w:cs="Google Sans" w:eastAsia="Google Sans" w:hAnsi="Google Sans"/>
                <w:color w:val="1f1f1f"/>
              </w:rPr>
              <m:t xml:space="preserve">G|</m:t>
            </m:r>
          </m:num>
          <m:den>
            <m:r>
              <w:rPr>
                <w:rFonts w:ascii="Google Sans" w:cs="Google Sans" w:eastAsia="Google Sans" w:hAnsi="Google Sans"/>
                <w:color w:val="1f1f1f"/>
              </w:rPr>
              <m:t xml:space="preserve">|R|</m:t>
            </m:r>
          </m:den>
        </m:f>
        <m:r>
          <w:rPr>
            <w:rFonts w:ascii="Google Sans" w:cs="Google Sans" w:eastAsia="Google Sans" w:hAnsi="Google Sans"/>
            <w:color w:val="1f1f1f"/>
          </w:rPr>
          <m:t xml:space="preserve">,Recall=</m:t>
        </m:r>
        <m:f>
          <m:fPr>
            <m:ctrlPr>
              <w:rPr>
                <w:rFonts w:ascii="Google Sans" w:cs="Google Sans" w:eastAsia="Google Sans" w:hAnsi="Google Sans"/>
                <w:color w:val="1f1f1f"/>
              </w:rPr>
            </m:ctrlPr>
          </m:fPr>
          <m:num>
            <m:r>
              <w:rPr>
                <w:rFonts w:ascii="Google Sans" w:cs="Google Sans" w:eastAsia="Google Sans" w:hAnsi="Google Sans"/>
                <w:color w:val="1f1f1f"/>
              </w:rPr>
              <m:t xml:space="preserve">|R</m:t>
            </m:r>
            <m:r>
              <w:rPr>
                <w:rFonts w:ascii="Google Sans" w:cs="Google Sans" w:eastAsia="Google Sans" w:hAnsi="Google Sans"/>
                <w:color w:val="1f1f1f"/>
              </w:rPr>
              <m:t>∩</m:t>
            </m:r>
            <m:r>
              <w:rPr>
                <w:rFonts w:ascii="Google Sans" w:cs="Google Sans" w:eastAsia="Google Sans" w:hAnsi="Google Sans"/>
                <w:color w:val="1f1f1f"/>
              </w:rPr>
              <m:t xml:space="preserve">G|</m:t>
            </m:r>
          </m:num>
          <m:den>
            <m:r>
              <w:rPr>
                <w:rFonts w:ascii="Google Sans" w:cs="Google Sans" w:eastAsia="Google Sans" w:hAnsi="Google Sans"/>
                <w:color w:val="1f1f1f"/>
              </w:rPr>
              <m:t xml:space="preserve">|G|</m:t>
            </m:r>
          </m:den>
        </m:f>
        <m:r>
          <w:rPr>
            <w:rFonts w:ascii="Google Sans" w:cs="Google Sans" w:eastAsia="Google Sans" w:hAnsi="Google Sans"/>
            <w:color w:val="1f1f1f"/>
          </w:rPr>
          <m:t xml:space="preserve">.(7)</m:t>
        </m:r>
      </m:oMath>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Precision/recall, field-level accuracy, rejection correctness, and persistence round-trip fidelity measure distinct failure modes and should be reported separately. Archived snapshots enable repeatable regression checks; evaluations against live sites additionally require timestamps and acquisition conditions, and should distinguish site changes from extractor defects.</w:t>
      </w:r>
    </w:p>
    <w:p w:rsidR="00000000" w:rsidDel="00000000" w:rsidP="00000000" w:rsidRDefault="00000000" w:rsidRPr="00000000" w14:paraId="000001DA">
      <w:pPr>
        <w:keepNext w:val="0"/>
        <w:pBdr>
          <w:top w:space="0" w:sz="0" w:val="nil"/>
          <w:left w:space="0" w:sz="0" w:val="nil"/>
          <w:bottom w:space="0" w:sz="0" w:val="nil"/>
          <w:right w:space="0" w:sz="0" w:val="nil"/>
          <w:between w:space="0" w:sz="0" w:val="nil"/>
        </w:pBdr>
        <w:shd w:fill="auto" w:val="clear"/>
        <w:spacing w:line="275.9999942779541" w:lineRule="auto" w:before="80" w:after="160"/>
        <w:rPr>
          <w:rFonts w:ascii="Google Sans" w:cs="Google Sans" w:eastAsia="Google Sans" w:hAnsi="Google Sans"/>
          <w:color w:val="1f1f1f"/>
        </w:rPr>
      </w:pPr>
      <w:r w:rsidDel="00000000" w:rsidR="00000000" w:rsidRPr="00000000">
        <w:rPr>
          <w:rFonts w:ascii="Times New Roman" w:cs="Google Sans" w:eastAsia="Google Sans" w:hAnsi="Times New Roman"/>
          <w:i/>
          <w:color w:val="46525E"/>
          <w:sz w:val="18"/>
          <w:rtl w:val="0"/>
        </w:rPr>
        <w:t xml:space="preserve">Table 8. Evaluation layers and their corresponding evidence.</w:t>
      </w:r>
    </w:p>
    <w:tbl>
      <w:tblPr>
        <w:tblStyle w:val="Table8"/>
        <w:tblW w:w="9360.0" w:type="dxa"/>
        <w:jc w:val="center"/>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autofit"/>
        <w:tblLook w:val="0600"/>
      </w:tblPr>
      <w:tblGrid>
        <w:gridCol w:w="3120"/>
        <w:gridCol w:w="3120"/>
        <w:gridCol w:w="3120"/>
        <w:tblGridChange w:id="0">
          <w:tblGrid>
            <w:gridCol w:w="3120"/>
            <w:gridCol w:w="3120"/>
            <w:gridCol w:w="3120"/>
          </w:tblGrid>
        </w:tblGridChange>
      </w:tblGrid>
      <w:tr>
        <w:trPr>
          <w:cantSplit w:val="0"/>
          <w:tblHeader w:val="0"/>
          <w:tblHeader w:val="true"/>
        </w:trPr>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Evaluation layer</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Primary question</w:t>
            </w:r>
          </w:p>
        </w:tc>
        <w:tc>
          <w:tcPr>
            <w:tcBorders>
              <w:top w:color="c4c7c5" w:space="0" w:sz="6" w:val="single"/>
              <w:left w:color="c4c7c5" w:space="0" w:sz="6" w:val="single"/>
              <w:bottom w:color="c4c7c5" w:space="0" w:sz="6" w:val="single"/>
              <w:right w:color="c4c7c5" w:space="0" w:sz="6" w:val="single"/>
            </w:tcBorders>
            <w:shd w:fill="DCEBEF" w:val="clear"/>
            <w:tcMar>
              <w:top w:w="120.0" w:type="dxa"/>
              <w:left w:w="180.0" w:type="dxa"/>
              <w:bottom w:w="120.0" w:type="dxa"/>
              <w:right w:w="180.0" w:type="dxa"/>
            </w:tcMar>
            <w:vAlign w:val="center"/>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bCs w:val="1"/>
                <w:color w:val="17324D"/>
                <w:sz w:val="17"/>
                <w:rtl w:val="0"/>
              </w:rPr>
              <w:t xml:space="preserve">Evidence and measures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Language conformance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Does each supported construction preserve its specified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Independent assertions, failures, side-effects, and completion order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Reproducible translation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Does a fixed compilation context reproduce its exact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Repeated fresh runs, cryptographic hashes, manifests, and config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Extraction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Are the intended records and fields accurately acquired?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Annotated snapshots; precision, recall, and field-level accuracy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Data transformation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Are normalization, exclusion, and derived variables correct?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Boundary cases, zero/missing distinctions, duplicate policies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Persistence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Are outputs faithfully preserved and attributable?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Read/write round-trip, schema validation, provenance inspection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Human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Do researchers understand and correctly approve programs?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Comprehension scores, defect detection, false approvals, and 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AI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Can an AI produce correct end-to-end programs within budget?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Functional success, repair iterations, latency, and resource 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b w:val="1"/>
                <w:bCs w:val="1"/>
                <w:color w:val="1f1f1f"/>
              </w:rPr>
            </w:pPr>
            <w:r w:rsidDel="00000000" w:rsidR="00000000" w:rsidRPr="00000000">
              <w:rPr>
                <w:rFonts w:ascii="Times New Roman" w:cs="Google Sans" w:eastAsia="Google Sans" w:hAnsi="Times New Roman"/>
                <w:b w:val="1"/>
                <w:bCs w:val="1"/>
                <w:color w:val="232E3A"/>
                <w:sz w:val="17"/>
                <w:rtl w:val="0"/>
              </w:rPr>
              <w:t xml:space="preserve">Localization and portability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Do alternative surfaces and targets preserve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30" w:before="120" w:line="240" w:lineRule="auto"/>
              <w:jc w:val="left"/>
              <w:rPr>
                <w:rFonts w:ascii="Google Sans" w:cs="Google Sans" w:eastAsia="Google Sans" w:hAnsi="Google Sans"/>
                <w:color w:val="1f1f1f"/>
              </w:rPr>
            </w:pPr>
            <w:r w:rsidDel="00000000" w:rsidR="00000000" w:rsidRPr="00000000">
              <w:rPr>
                <w:rFonts w:ascii="Times New Roman" w:cs="Google Sans" w:eastAsia="Google Sans" w:hAnsi="Times New Roman"/>
                <w:color w:val="232E3A"/>
                <w:sz w:val="17"/>
                <w:rtl w:val="0"/>
              </w:rPr>
              <w:t xml:space="preserve">Canonical equivalence and cross-runtime observations</w:t>
            </w:r>
          </w:p>
        </w:tc>
      </w:tr>
    </w:tbl>
    <w:p w:rsidR="00000000" w:rsidDel="00000000" w:rsidP="00000000" w:rsidRDefault="00000000" w:rsidRPr="00000000" w14:paraId="000001F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comprehension and calibrated trust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A future human-comprehension study could compare DEAL.JS with JavaScript, Python, and—where tasks overlap—_hyperscript. A counterbalanced design should separate language effects from task order, recruit researchers with limited professional programming experience as the prespecified target population, and assess output prediction, rule modification, error detection, and approval of AI-proposed workflows. No such participant study is reported in this article.</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Accurate review is our primary outcome metric. The false-approval rate measures whether a readable surface notation induces misplaced confidence. Let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FA</m:t>
            </m:r>
          </m:sub>
        </m:sSub>
      </m:oMath>
      <w:r w:rsidDel="00000000" w:rsidR="00000000" w:rsidRPr="00000000">
        <w:rPr>
          <w:rFonts w:ascii="Google Sans" w:cs="Google Sans" w:eastAsia="Google Sans" w:hAnsi="Google Sans"/>
          <w:color w:val="1f1f1f"/>
          <w:rtl w:val="0"/>
        </w:rPr>
        <w:t xml:space="preserve"> count incorrect workflows erroneously approved and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I</m:t>
            </m:r>
          </m:sub>
        </m:sSub>
      </m:oMath>
      <w:r w:rsidDel="00000000" w:rsidR="00000000" w:rsidRPr="00000000">
        <w:rPr>
          <w:rFonts w:ascii="Google Sans" w:cs="Google Sans" w:eastAsia="Google Sans" w:hAnsi="Google Sans"/>
          <w:color w:val="1f1f1f"/>
          <w:rtl w:val="0"/>
        </w:rPr>
        <w:t xml:space="preserve"> count total incorrect workflows reviewed:</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FAR=</m:t>
        </m:r>
        <m:f>
          <m:fPr>
            <m:ctrlPr>
              <w:rPr>
                <w:rFonts w:ascii="Google Sans" w:cs="Google Sans" w:eastAsia="Google Sans" w:hAnsi="Google Sans"/>
                <w:color w:val="1f1f1f"/>
              </w:rPr>
            </m:ctrlPr>
          </m:fPr>
          <m:num>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FA</m:t>
                </m:r>
              </m:sub>
            </m:sSub>
          </m:num>
          <m:den>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n</m:t>
                </m:r>
              </m:e>
              <m:sub>
                <m:r>
                  <w:rPr>
                    <w:rFonts w:ascii="Google Sans" w:cs="Google Sans" w:eastAsia="Google Sans" w:hAnsi="Google Sans"/>
                    <w:color w:val="1f1f1f"/>
                  </w:rPr>
                  <m:t xml:space="preserve">I</m:t>
                </m:r>
              </m:sub>
            </m:sSub>
          </m:den>
        </m:f>
        <m:r>
          <w:rPr>
            <w:rFonts w:ascii="Google Sans" w:cs="Google Sans" w:eastAsia="Google Sans" w:hAnsi="Google Sans"/>
            <w:color w:val="1f1f1f"/>
          </w:rPr>
          <m:t xml:space="preserve">.(8)</m:t>
        </m:r>
      </m:oMath>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Completion time, cognitive workload, explanation quality, and qualitative interviews can supplement correctness measures. Sample size should be justified by pilot estimates and a prespecified power or precision analysis, accounting for participant and task variation rather than selected after the outcomes are observed.</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Experimental conditions should provide equivalent domain APIs, documentation, training, and task specifications. Analysis should account for prior language familiarity, English proficiency, task and participant effects, and order effects, and should report effect sizes with uncertainty intervals. These controls help distinguish syntax effects from API design and participant experience [14–17,39].</w:t>
      </w:r>
    </w:p>
    <w:p w:rsidR="00000000" w:rsidDel="00000000" w:rsidP="00000000" w:rsidRDefault="00000000" w:rsidRPr="00000000" w14:paraId="000001F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generation, performance, and ablation</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An AI-generation study should hold task specifications, documentation, library contracts, model versions, and repair budgets constant while varying the output representation. Supplying the same domain API for JavaScript and DEAL would help isolate the representation from library functionality; a structured-schema baseline could estimate benefits attributable to constrained output more generally [4,5,25–27].</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success demands successful parsing, compilation, runtime completion, and all task-specific output validations. For </w:t>
      </w:r>
      <m:oMath>
        <m:r>
          <w:rPr>
            <w:rFonts w:ascii="Google Sans" w:cs="Google Sans" w:eastAsia="Google Sans" w:hAnsi="Google Sans"/>
            <w:color w:val="1f1f1f"/>
          </w:rPr>
          <m:t xml:space="preserve">N</m:t>
        </m:r>
      </m:oMath>
      <w:r w:rsidDel="00000000" w:rsidR="00000000" w:rsidRPr="00000000">
        <w:rPr>
          <w:rFonts w:ascii="Google Sans" w:cs="Google Sans" w:eastAsia="Google Sans" w:hAnsi="Google Sans"/>
          <w:color w:val="1f1f1f"/>
          <w:rtl w:val="0"/>
        </w:rPr>
        <w:t xml:space="preserve"> evaluation tasks, functional success is defined as:</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jc w:val="center"/>
        <w:rPr>
          <w:rFonts w:ascii="Google Sans" w:cs="Google Sans" w:eastAsia="Google Sans" w:hAnsi="Google Sans"/>
          <w:color w:val="1f1f1f"/>
        </w:rPr>
      </w:pPr>
      <m:oMath>
        <m:r>
          <w:rPr>
            <w:rFonts w:ascii="Google Sans" w:cs="Google Sans" w:eastAsia="Google Sans" w:hAnsi="Google Sans"/>
            <w:color w:val="1f1f1f"/>
          </w:rPr>
          <m:t xml:space="preserve">FS=</m:t>
        </m:r>
        <m:f>
          <m:fPr>
            <m:ctrlPr>
              <w:rPr>
                <w:rFonts w:ascii="Google Sans" w:cs="Google Sans" w:eastAsia="Google Sans" w:hAnsi="Google Sans"/>
                <w:color w:val="1f1f1f"/>
              </w:rPr>
            </m:ctrlPr>
          </m:fPr>
          <m:num>
            <m:r>
              <w:rPr>
                <w:rFonts w:ascii="Google Sans" w:cs="Google Sans" w:eastAsia="Google Sans" w:hAnsi="Google Sans"/>
                <w:color w:val="1f1f1f"/>
              </w:rPr>
              <m:t xml:space="preserve">1</m:t>
            </m:r>
          </m:num>
          <m:den>
            <m:r>
              <w:rPr>
                <w:rFonts w:ascii="Google Sans" w:cs="Google Sans" w:eastAsia="Google Sans" w:hAnsi="Google Sans"/>
                <w:color w:val="1f1f1f"/>
              </w:rPr>
              <m:t xml:space="preserve">N</m:t>
            </m:r>
          </m:den>
        </m:f>
        <m:nary>
          <m:naryPr>
            <m:chr m:val="∑"/>
            <m:ctrlPr>
              <w:rPr>
                <w:rFonts w:ascii="Google Sans" w:cs="Google Sans" w:eastAsia="Google Sans" w:hAnsi="Google Sans"/>
                <w:color w:val="1f1f1f"/>
              </w:rPr>
            </m:ctrlPr>
          </m:naryPr>
          <m:sub>
            <m:r>
              <w:rPr>
                <w:rFonts w:ascii="Google Sans" w:cs="Google Sans" w:eastAsia="Google Sans" w:hAnsi="Google Sans"/>
                <w:color w:val="1f1f1f"/>
              </w:rPr>
              <m:t xml:space="preserve">i=1</m:t>
            </m:r>
          </m:sub>
          <m:sup>
            <m:r>
              <w:rPr>
                <w:rFonts w:ascii="Google Sans" w:cs="Google Sans" w:eastAsia="Google Sans" w:hAnsi="Google Sans"/>
                <w:color w:val="1f1f1f"/>
              </w:rPr>
              <m:t xml:space="preserve">N</m:t>
            </m:r>
          </m:sup>
        </m:nary>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z</m:t>
            </m:r>
          </m:e>
          <m:sub>
            <m:r>
              <w:rPr>
                <w:rFonts w:ascii="Google Sans" w:cs="Google Sans" w:eastAsia="Google Sans" w:hAnsi="Google Sans"/>
                <w:color w:val="1f1f1f"/>
              </w:rPr>
              <m:t xml:space="preserve">i</m:t>
            </m:r>
          </m:sub>
        </m:sSub>
        <m:r>
          <w:rPr>
            <w:rFonts w:ascii="Google Sans" w:cs="Google Sans" w:eastAsia="Google Sans" w:hAnsi="Google Sans"/>
            <w:color w:val="1f1f1f"/>
          </w:rPr>
          <m:t xml:space="preserve">.(9)</m:t>
        </m:r>
      </m:oMath>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z</m:t>
            </m:r>
          </m:e>
          <m:sub>
            <m:r>
              <w:rPr>
                <w:rFonts w:ascii="Google Sans" w:cs="Google Sans" w:eastAsia="Google Sans" w:hAnsi="Google Sans"/>
                <w:color w:val="1f1f1f"/>
              </w:rPr>
              <m:t xml:space="preserve">i</m:t>
            </m:r>
          </m:sub>
        </m:sSub>
        <m:r>
          <w:rPr>
            <w:rFonts w:ascii="Google Sans" w:cs="Google Sans" w:eastAsia="Google Sans" w:hAnsi="Google Sans"/>
            <w:color w:val="1f1f1f"/>
          </w:rPr>
          <m:t xml:space="preserve">=1</m:t>
        </m:r>
      </m:oMath>
      <w:r w:rsidDel="00000000" w:rsidR="00000000" w:rsidRPr="00000000">
        <w:rPr>
          <w:rFonts w:ascii="Google Sans" w:cs="Google Sans" w:eastAsia="Google Sans" w:hAnsi="Google Sans"/>
          <w:color w:val="1f1f1f"/>
          <w:rtl w:val="0"/>
        </w:rPr>
        <w:t xml:space="preserve"> only if task </w:t>
      </w:r>
      <m:oMath>
        <m:r>
          <w:rPr>
            <w:rFonts w:ascii="Google Sans" w:cs="Google Sans" w:eastAsia="Google Sans" w:hAnsi="Google Sans"/>
            <w:color w:val="1f1f1f"/>
          </w:rPr>
          <m:t xml:space="preserve">i</m:t>
        </m:r>
      </m:oMath>
      <w:r w:rsidDel="00000000" w:rsidR="00000000" w:rsidRPr="00000000">
        <w:rPr>
          <w:rFonts w:ascii="Google Sans" w:cs="Google Sans" w:eastAsia="Google Sans" w:hAnsi="Google Sans"/>
          <w:color w:val="1f1f1f"/>
          <w:rtl w:val="0"/>
        </w:rPr>
        <w:t xml:space="preserve"> satisfies every mandatory verification check, and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z</m:t>
            </m:r>
          </m:e>
          <m:sub>
            <m:r>
              <w:rPr>
                <w:rFonts w:ascii="Google Sans" w:cs="Google Sans" w:eastAsia="Google Sans" w:hAnsi="Google Sans"/>
                <w:color w:val="1f1f1f"/>
              </w:rPr>
              <m:t xml:space="preserve">i</m:t>
            </m:r>
          </m:sub>
        </m:sSub>
        <m:r>
          <w:rPr>
            <w:rFonts w:ascii="Google Sans" w:cs="Google Sans" w:eastAsia="Google Sans" w:hAnsi="Google Sans"/>
            <w:color w:val="1f1f1f"/>
          </w:rPr>
          <m:t xml:space="preserve">=0</m:t>
        </m:r>
      </m:oMath>
      <w:r w:rsidDel="00000000" w:rsidR="00000000" w:rsidRPr="00000000">
        <w:rPr>
          <w:rFonts w:ascii="Google Sans" w:cs="Google Sans" w:eastAsia="Google Sans" w:hAnsi="Google Sans"/>
          <w:color w:val="1f1f1f"/>
          <w:rtl w:val="0"/>
        </w:rPr>
        <w:t xml:space="preserve"> otherwise. Malformed source output and missing dependencies count as failures. First-attempt success and fixed-repair-budget success are tracked as distinct outcomes, accompanied by token usage counts, latency measurements, and human correction effort. Execution-based assessments follow established code-generation evaluation standards; while grammar-constrained decoding guarantees structural syntax validity, it cannot replace rigorous functional verification.</w:t>
      </w:r>
      <w:r>
        <w:t xml:space="preserve"> [4,5,26,27]</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Operational cost should be decomposed into compilation time, module initialization, network latency, data-processing duration, memory, output size, and steady-state runtime. Cold and warm runs should be measured separately. Ablation studies could isolate vocabulary adaptation, document-like presentation, handlers, and domain commands rather than attributing every observed effect to the language as a whole.</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Localization experiments should compare identical tasks under controlled vocabulary configurations; backend experiments should begin with a restricted portable subset. Both should publish unsupported constructs and failure cases. These studies would extend the current design analysis without treating implementation presence as proof of general effectiveness.</w:t>
      </w:r>
    </w:p>
    <w:p w:rsidR="00000000" w:rsidDel="00000000" w:rsidP="00000000" w:rsidRDefault="00000000" w:rsidRPr="00000000" w14:paraId="00000209">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analysis and case-validation results</w:t>
      </w:r>
    </w:p>
    <w:p w:rsidR="00000000" w:rsidDel="00000000" w:rsidP="00000000" w:rsidRDefault="00000000" w:rsidRPr="00000000" w14:paraId="000002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 and extension boundaries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For RQ1, the artifact documents an explicit route from domain commands and control structures through generated JavaScript to host execution. Structures, reusable commands, vocabulary modules, and handlers expose separate design mechanisms without requiring a new structural grammar for every domain. This is an architectural observation grounded in the implementation; its effect on comprehension remains an empirical question.</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For RQ2, the equivalence condition is conditional: two vocabulary inputs must normalize to the same canonical source under the same compilation context. If the compiler is deterministic under that context, the generated artifacts should match. Cross-backend equivalence additionally requires a preservation relation and aligned execution environments; it cannot be inferred from a JavaScript implementation alone.</w:t>
      </w:r>
    </w:p>
    <w:p w:rsidR="00000000" w:rsidDel="00000000" w:rsidP="00000000" w:rsidRDefault="00000000" w:rsidRPr="00000000" w14:paraId="000002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composition and functional validation</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For RQ3, the synthetic workflow composes acquisition-oriented orchestration, record extraction, normalization, validation, derived-variable computation, duplicate handling, and persistence. Separating orchestration from data rules makes each decision inspectable and allows adapters to vary, provided they satisfy the same schema. The present case demonstrates that composition at the level of the supplied helper and test harness.</w:t>
      </w:r>
    </w:p>
    <w:p w:rsidR="00000000" w:rsidDel="00000000" w:rsidP="00000000" w:rsidRDefault="00000000" w:rsidRPr="00000000" w14:paraId="0000020F">
      <w:pPr>
        <w:keepNext/>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reconstructed case-validation suite passed all 19 checks. It accepted two of five synthetic records (40%) and rejected three (60%): one duplicate identifier, one missing or invalid main price, and one discount above 1. The checks cover normalization, price derivation, valid zero values, rejection categories and source-row positions, provenance and schema metadata, JSON Lines round-trip, memory persistence, duplicate-registration ordering, and selector-to-field wiring through a document-shaped test double. The fixed timestamp is fixture metadata, not a measurement of a live retrieval event. Table 9 summarizes the bounded result.</w:t>
      </w:r>
    </w:p>
    <w:p>
      <w:pPr>
        <w:keepNext/>
        <w:spacing w:before="100" w:after="60"/>
      </w:pPr>
      <w:r>
        <w:rPr>
          <w:rFonts w:ascii="Times New Roman" w:hAnsi="Times New Roman"/>
          <w:i/>
          <w:sz w:val="18"/>
        </w:rPr>
        <w:t>Table 9. Observed outcomes for the reconstructed synthetic catalog case.</w:t>
      </w:r>
    </w:p>
    <w:tbl>
      <w:tblPr>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shd w:fill="DCEBEF"/>
          </w:tcPr>
          <w:p>
            <w:pPr>
              <w:spacing w:after="30" w:line="240" w:lineRule="auto"/>
            </w:pPr>
            <w:r>
              <w:rPr>
                <w:rFonts w:ascii="Times New Roman" w:hAnsi="Times New Roman"/>
                <w:b/>
                <w:color w:val="17324D"/>
                <w:sz w:val="17"/>
              </w:rPr>
              <w:t>Measure</w:t>
            </w:r>
          </w:p>
        </w:tc>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shd w:fill="DCEBEF"/>
          </w:tcPr>
          <w:p>
            <w:pPr>
              <w:spacing w:after="30" w:line="240" w:lineRule="auto"/>
            </w:pPr>
            <w:r>
              <w:rPr>
                <w:rFonts w:ascii="Times New Roman" w:hAnsi="Times New Roman"/>
                <w:b/>
                <w:color w:val="17324D"/>
                <w:sz w:val="17"/>
              </w:rPr>
              <w:t>Observed result</w:t>
            </w:r>
          </w:p>
        </w:tc>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shd w:fill="DCEBEF"/>
          </w:tcPr>
          <w:p>
            <w:pPr>
              <w:spacing w:after="30" w:line="240" w:lineRule="auto"/>
            </w:pPr>
            <w:r>
              <w:rPr>
                <w:rFonts w:ascii="Times New Roman" w:hAnsi="Times New Roman"/>
                <w:b/>
                <w:color w:val="17324D"/>
                <w:sz w:val="17"/>
              </w:rPr>
              <w:t>Interpretation boundary</w:t>
            </w:r>
          </w:p>
        </w:tc>
      </w:tr>
      <w:tr>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Synthetic records</w:t>
            </w:r>
          </w:p>
        </w:tc>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5 total</w:t>
            </w:r>
          </w:p>
        </w:tc>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Designed fixture; no live source was queried.</w:t>
            </w:r>
          </w:p>
        </w:tc>
      </w:tr>
      <w:tr>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Accepted records</w:t>
            </w:r>
          </w:p>
        </w:tc>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2/5 (40%)</w:t>
            </w:r>
          </w:p>
        </w:tc>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Both records satisfy the stated validation rules.</w:t>
            </w:r>
          </w:p>
        </w:tc>
      </w:tr>
      <w:tr>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Rejected records</w:t>
            </w:r>
          </w:p>
        </w:tc>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3/5 (60%)</w:t>
            </w:r>
          </w:p>
        </w:tc>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One duplicate ID, one invalid/missing main price, and one discount above 1.</w:t>
            </w:r>
          </w:p>
        </w:tc>
      </w:tr>
      <w:tr>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Case-validation checks</w:t>
            </w:r>
          </w:p>
        </w:tc>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19/19 passed (100%)</w:t>
            </w:r>
          </w:p>
        </w:tc>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Applies only to the included reconstructed suite and its specified checks.</w:t>
            </w:r>
          </w:p>
        </w:tc>
      </w:tr>
      <w:tr>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Human study / live acquisition</w:t>
            </w:r>
          </w:p>
        </w:tc>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None / none</w:t>
            </w:r>
          </w:p>
        </w:tc>
        <w:tc>
          <w:tcPr>
            <w:tcW w:type="dxa" w:w="3120"/>
            <w:vAlign w:val="center"/>
            <w:tcBorders>
              <w:top w:val="single" w:sz="4" w:color="C7D5DF"/>
              <w:left w:val="single" w:sz="4" w:color="C7D5DF"/>
              <w:bottom w:val="single" w:sz="4" w:color="C7D5DF"/>
              <w:right w:val="single" w:sz="4" w:color="C7D5DF"/>
              <w:insideH w:val="single" w:sz="4" w:color="C7D5DF"/>
              <w:insideV w:val="single" w:sz="4" w:color="C7D5DF"/>
            </w:tcBorders>
          </w:tcPr>
          <w:p>
            <w:pPr>
              <w:spacing w:after="30" w:line="240" w:lineRule="auto"/>
            </w:pPr>
            <w:r>
              <w:rPr>
                <w:rFonts w:ascii="Times New Roman" w:hAnsi="Times New Roman"/>
                <w:color w:val="232E3A"/>
                <w:sz w:val="17"/>
              </w:rPr>
              <w:t>Human comprehension and live extraction accuracy remain unmeasured.</w:t>
            </w:r>
          </w:p>
        </w:tc>
      </w:tr>
    </w:tbl>
    <w:p w:rsidR="00000000" w:rsidDel="00000000" w:rsidP="00000000" w:rsidRDefault="00000000" w:rsidRPr="00000000" w14:paraId="000002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Interpretation of the evidence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findings validate the stated application data rules for the specified synthetic fixtures. They do not establish full DEAL.JS language conformance, live web extraction accuracy, vocabulary-equivalence performance, portability to another backend, user comprehension, AI-generation advantage, or operational efficiency. Those claims require separate datasets, independent oracles, and purpose-designed experiments.</w:t>
      </w:r>
    </w:p>
    <w:p w:rsidR="00000000" w:rsidDel="00000000" w:rsidP="00000000" w:rsidRDefault="00000000" w:rsidRPr="00000000" w14:paraId="0000021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Discussion, limitations, and future directions</w:t>
      </w:r>
    </w:p>
    <w:p w:rsidR="00000000" w:rsidDel="00000000" w:rsidP="00000000" w:rsidRDefault="00000000" w:rsidRPr="00000000" w14:paraId="000002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Implications for human–AI research programming</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principal implication is methodological: human–AI programming can be organized around a shared, executable artifact rather than a prompt followed by an opaque implementation. Researchers can review the inclusion criteria and transformation rules at the level where they are specified, while an AI system may propose revisions and the compiler generates JavaScript. Whether this arrangement improves review accuracy or reduces repair effort must be tested directly.</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value of an abstraction depends on which decisions it makes visible. A normalization command should expose missing-value and duplicate policies when these affect scientific interpretation, even if DOM traversal and serialization remain encapsulated. A reviewable workflow must let users move between domain-level intent, the command contract, its implementation, generated code, and recorded outcomes.</w:t>
      </w:r>
    </w:p>
    <w:p w:rsidR="00000000" w:rsidDel="00000000" w:rsidP="00000000" w:rsidRDefault="00000000" w:rsidRPr="00000000" w14:paraId="000002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Threats to validity and limitations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primary construct-validity risk is equating surface readability with actual comprehension. The functional assertions do not measure human oversight, and subjective usability ratings alone would not establish reliable review. The case suite also shares assumptions with the helper under test; independent specifications, deliberately mutated faulty implementations, and differential tests would provide stronger evidence. External validity is limited by the small synthetic fixture and the absence of live data, additional research domains, and user participants.</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Domain commands redistribute cognitive complexity rather than eliminate it. Concise syntax can conceal extensive implementation, localized synonyms can create ambiguity, and contextual handlers can introduce implicit dependencies. To keep abstraction accountable, the system should expose command contracts, generated source, module manifests, and execution traces.</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Hybrid interoperability supports reuse of existing libraries but creates a boundary for static analysis, security, and cross-backend portability. Readability cannot replace access controls, runtime isolation, or tests, and a correct transformation pipeline cannot establish that source data are representative or that the resulting scientific interpretation is valid.</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Implementation scope must be distinguished from evaluation scope. The reported checks concern specified transformation and storage behaviors. Human-participant effects, comparative AI-generation outcomes, live extraction robustness, performance, and cross-backend equivalence remain unmeasured. The equations in this paper specify analytical preservation conditions; they are not machine-checked proofs of the complete compiler.</w:t>
      </w:r>
    </w:p>
    <w:p w:rsidR="00000000" w:rsidDel="00000000" w:rsidP="00000000" w:rsidRDefault="00000000" w:rsidRPr="00000000" w14:paraId="000002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roadmap</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Future work should first formalize the language specification and module contracts, then build conformance fixtures with independent semantic oracles. Source-linked tooling that connects each DEAL instruction to generated JavaScript, exact dependencies, and execution traces could improve review and error localization. Such tools should be evaluated for diagnostic precision rather than presumed beneficial.</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Additional applications could include bibliographic harvesting, repository mining, corpus preparation, simulation configuration, and experimental data processing. Each domain module should contribute a documented input/output contract, adversarial fixtures, and domain-review guidance. Adding vocabulary without an operational specification would weaken the goal of a shared representation.</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Further work should test optional localized diagnostics and documentation, define a backend-neutral subset, and evaluate grammar-aware AI generation under matched task conditions. Any portability claim should specify the supported subset and report unsupported constructs, rather than infer cross-language equivalence from the reuse of compiler stages.</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Responsible deployment also requires permission-aware data acquisition, rate limiting, privacy safeguards, access controls, and explicit retention policies. Provenance and standard serialization formats support reuse, but lawful and ethical acquisition depends on the context, applicable rules, and institutional review. None of these safeguards follows automatically from a readable language.</w:t>
      </w:r>
    </w:p>
    <w:p w:rsidR="00000000" w:rsidDel="00000000" w:rsidP="00000000" w:rsidRDefault="00000000" w:rsidRPr="00000000" w14:paraId="00000220">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DEAL provides a shared programming representation for workflows involving researchers, AI assistance, and conventional runtime execution. Structures express control flow, commands encapsulate reusable operations, reserves adapt selected vocabulary, and handlers expose contextual objects. DEAL.JS implements these mechanisms through staged source-to-source compilation and interoperability with JavaScript.</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worked catalog case illustrates how acquisition-oriented orchestration, extraction, normalization, derivation, validation, deduplication, and persistence can be expressed as a reviewable workflow. In the reconstructed synthetic suite, 19 checks passed and the five input records yielded two accepted and three rejected rows. This result supports only the specified data contract; it is not evidence of live extraction accuracy or whole-language correctness.</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contribution is therefore a testable language-engineering architecture: human-facing vocabulary remains separate from explicit computational operations, and the generated program can be connected to concrete execution evidence. Whether this representation improves accurate review, generation success, or reuse across scientific domains remains an open empirical question. The next step is controlled comparison with independent oracles and representative users.</w:t>
      </w:r>
    </w:p>
    <w:p w:rsidR="00000000" w:rsidDel="00000000" w:rsidP="00000000" w:rsidRDefault="00000000" w:rsidRPr="00000000" w14:paraId="00000224">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Glossary</w:t>
      </w:r>
    </w:p>
    <w:p w:rsidR="00000000" w:rsidDel="00000000" w:rsidP="00000000" w:rsidRDefault="00000000" w:rsidRPr="00000000" w14:paraId="0000022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DEAL:</w:t>
      </w:r>
      <w:r w:rsidDel="00000000" w:rsidR="00000000" w:rsidRPr="00000000">
        <w:rPr>
          <w:rFonts w:ascii="Google Sans" w:cs="Google Sans" w:eastAsia="Google Sans" w:hAnsi="Google Sans"/>
          <w:color w:val="1f1f1f"/>
          <w:rtl w:val="0"/>
        </w:rPr>
        <w:t xml:space="preserve"> Declarative and Extensible Abstract Language, the shared programming model examined in this article.</w:t>
      </w:r>
    </w:p>
    <w:p w:rsidR="00000000" w:rsidDel="00000000" w:rsidP="00000000" w:rsidRDefault="00000000" w:rsidRPr="00000000" w14:paraId="0000022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DEAL.JS:</w:t>
      </w:r>
      <w:r w:rsidDel="00000000" w:rsidR="00000000" w:rsidRPr="00000000">
        <w:rPr>
          <w:rFonts w:ascii="Google Sans" w:cs="Google Sans" w:eastAsia="Google Sans" w:hAnsi="Google Sans"/>
          <w:color w:val="1f1f1f"/>
          <w:rtl w:val="0"/>
        </w:rPr>
        <w:t xml:space="preserve"> The JavaScript-targeting realization of DEAL.</w:t>
      </w:r>
    </w:p>
    <w:p w:rsidR="00000000" w:rsidDel="00000000" w:rsidP="00000000" w:rsidRDefault="00000000" w:rsidRPr="00000000" w14:paraId="0000022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Reserve:</w:t>
      </w:r>
      <w:r w:rsidDel="00000000" w:rsidR="00000000" w:rsidRPr="00000000">
        <w:rPr>
          <w:rFonts w:ascii="Google Sans" w:cs="Google Sans" w:eastAsia="Google Sans" w:hAnsi="Google Sans"/>
          <w:color w:val="1f1f1f"/>
          <w:rtl w:val="0"/>
        </w:rPr>
        <w:t xml:space="preserve"> A declared vocabulary replacement or a permitted readability word.</w:t>
      </w:r>
    </w:p>
    <w:p w:rsidR="00000000" w:rsidDel="00000000" w:rsidP="00000000" w:rsidRDefault="00000000" w:rsidRPr="00000000" w14:paraId="0000022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Handler:</w:t>
      </w:r>
      <w:r w:rsidDel="00000000" w:rsidR="00000000" w:rsidRPr="00000000">
        <w:rPr>
          <w:rFonts w:ascii="Google Sans" w:cs="Google Sans" w:eastAsia="Google Sans" w:hAnsi="Google Sans"/>
          <w:color w:val="1f1f1f"/>
          <w:rtl w:val="0"/>
        </w:rPr>
        <w:t xml:space="preserve"> A contextual reference to a current workspace object or operation.</w:t>
      </w:r>
    </w:p>
    <w:p w:rsidR="00000000" w:rsidDel="00000000" w:rsidP="00000000" w:rsidRDefault="00000000" w:rsidRPr="00000000" w14:paraId="0000022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normalization:</w:t>
      </w:r>
      <w:r w:rsidDel="00000000" w:rsidR="00000000" w:rsidRPr="00000000">
        <w:rPr>
          <w:rFonts w:ascii="Google Sans" w:cs="Google Sans" w:eastAsia="Google Sans" w:hAnsi="Google Sans"/>
          <w:color w:val="1f1f1f"/>
          <w:rtl w:val="0"/>
        </w:rPr>
        <w:t xml:space="preserve"> The analytical mapping from a configured human vocabulary to a common structural representation.</w:t>
      </w:r>
    </w:p>
    <w:p w:rsidR="00000000" w:rsidDel="00000000" w:rsidP="00000000" w:rsidRDefault="00000000" w:rsidRPr="00000000" w14:paraId="0000022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Portable subset:</w:t>
      </w:r>
      <w:r w:rsidDel="00000000" w:rsidR="00000000" w:rsidRPr="00000000">
        <w:rPr>
          <w:rFonts w:ascii="Google Sans" w:cs="Google Sans" w:eastAsia="Google Sans" w:hAnsi="Google Sans"/>
          <w:color w:val="1f1f1f"/>
          <w:rtl w:val="0"/>
        </w:rPr>
        <w:t xml:space="preserve"> A declared set of language constructions whose operational behavior is formally specified across target backends.</w:t>
      </w:r>
    </w:p>
    <w:p w:rsidR="00000000" w:rsidDel="00000000" w:rsidP="00000000" w:rsidRDefault="00000000" w:rsidRPr="00000000" w14:paraId="0000022B">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availability</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source implementation and related infrastructure are publicly available in version-pinned repositories: DEAL.JS at commit d76dcae3bf157e3969be0bd1f98ed2522defc2b9 (https://github.com/DEAL-X/DEAL-JS/tree/d76dcae3bf157e3969be0bd1f98ed2522defc2b9), DEAL Engine at commit 8800695b1bbe6274f71f581473943ff7943d5036 (https://github.com/DEAL-X/Engine/tree/8800695b1bbe6274f71f581473943ff7943d5036), and DEAL Environment at commit 9ef64b9ae94e1017273f9780a4466973b4d5747d (https://github.com/DEAL-X/Environment/tree/9ef64b9ae94e1017273f9780a4466973b4d5747d). The supplementary ZIP accompanying this revised manuscript contains the reconstructed synthetic-case helper, 19-check suite, and captured test output. No live web responses or participant data were collected for the case validation. No DOI or other persistent identifier has been assigned to this revision’s supplement.</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t>Persistent identifier: Not assigned. A repository release or DOI should be created and recorded before formal submission if required by the target journal.</w:t>
      </w:r>
    </w:p>
    <w:p w:rsidR="00000000" w:rsidDel="00000000" w:rsidP="00000000" w:rsidRDefault="00000000" w:rsidRPr="00000000" w14:paraId="0000022E">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 authorship contribution statement</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t>The supplied manuscript and source artifacts do not identify individual author contributions. CRediT roles cannot be reliably inferred from author order or the contents of the manuscript; the authors should agree on and verify the role allocation before submission.</w:t>
      </w:r>
    </w:p>
    <w:p w:rsidR="00000000" w:rsidDel="00000000" w:rsidP="00000000" w:rsidRDefault="00000000" w:rsidRPr="00000000" w14:paraId="00000230">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Declaration of competing interests</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t>The supplied materials do not contain author-verified competing-interest disclosures. This revision does not infer that no competing interests exist. All authors should confirm and approve the final declaration before submission.</w:t>
      </w:r>
    </w:p>
    <w:p w:rsidR="00000000" w:rsidDel="00000000" w:rsidP="00000000" w:rsidRDefault="00000000" w:rsidRPr="00000000" w14:paraId="0000023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Funding</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t>The supplied materials do not identify a funder, award, or grant number, and they do not establish that the work received no external funding. Funding status should be confirmed by the authors before submission; no award information has been inferred.</w:t>
      </w:r>
    </w:p>
    <w:p w:rsidR="00000000" w:rsidDel="00000000" w:rsidP="00000000" w:rsidRDefault="00000000" w:rsidRPr="00000000" w14:paraId="00000234">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Declaration of generative AI and AI-assisted technologies in the writing process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t>The source manuscript credits Perplexity Computer (GPT 6.1 Sol) with literature discovery, manuscript drafting and revision, case-study code implementation, and SVG diagram preparation. During this revision, ChatGPT (OpenAI) assisted with prose editing, citation checks, reconstruction of conceptual figures from the source captions and descriptions, and preparation and execution of the synthetic validation harness. The figures in this revised file are redrawn explanatory diagrams because the supplied DOCX contained figure captions but no embedded figure images; they do not represent measured experimental observations. No live web acquisition or human-participant study was performed. The authors remain responsible for verifying references, code, formulas, claims, and all final content.</w:t>
      </w:r>
    </w:p>
    <w:p w:rsidR="00000000" w:rsidDel="00000000" w:rsidP="00000000" w:rsidRDefault="00000000" w:rsidRPr="00000000" w14:paraId="00000236">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Acknowledgements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t>No acknowledgements of specific support, individuals, or organizations were supplied in the source materials. Any acknowledgements should be added only after confirmation by the authors.</w:t>
      </w:r>
    </w:p>
    <w:p w:rsidR="00000000" w:rsidDel="00000000" w:rsidP="00000000" w:rsidRDefault="00000000" w:rsidRPr="00000000" w14:paraId="00000238">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Ko, A. J.; Abraham, R.; Beckwith, L.; Blackwell, A.; Burnett, M.; Erwig, M.; Scaffidi, C.; Lawrance, J.; Lieberman, H.; Myers, B.; Rosson, M. B.; Rothermel, G.; Shaw, M.; and Wiedenbeck, S. (2011). The state of the art in end-user software engineering. </w:t>
      </w:r>
      <w:r w:rsidDel="00000000" w:rsidR="00000000" w:rsidRPr="00000000">
        <w:rPr>
          <w:rFonts w:ascii="Google Sans" w:cs="Google Sans" w:eastAsia="Google Sans" w:hAnsi="Google Sans"/>
          <w:i w:val="1"/>
          <w:iCs w:val="1"/>
          <w:color w:val="1f1f1f"/>
          <w:rtl w:val="0"/>
        </w:rPr>
        <w:t xml:space="preserve">ACM Computing Surveys</w:t>
      </w:r>
      <w:r w:rsidDel="00000000" w:rsidR="00000000" w:rsidRPr="00000000">
        <w:rPr>
          <w:rFonts w:ascii="Google Sans" w:cs="Google Sans" w:eastAsia="Google Sans" w:hAnsi="Google Sans"/>
          <w:color w:val="1f1f1f"/>
          <w:rtl w:val="0"/>
        </w:rPr>
        <w:t xml:space="preserve">, 43(3). DOI: 10.1145/1922649.1922658. Available at: </w:t>
      </w:r>
      <w:hyperlink r:id="rId6">
        <w:r w:rsidDel="00000000" w:rsidR="00000000" w:rsidRPr="00000000">
          <w:rPr>
            <w:rFonts w:ascii="Google Sans" w:cs="Google Sans" w:eastAsia="Google Sans" w:hAnsi="Google Sans"/>
            <w:color w:val="000000"/>
            <w:u w:val="single"/>
            <w:rtl w:val="0"/>
          </w:rPr>
          <w:t xml:space="preserve">https://researchdiscovery.drexel.edu/esploro/outputs/journalArticle/The-State-of-the-Art-in/991019167334204721</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Barricelli, B. R.; Cassano, F.; Fogli, D.; and Piccinno, A. (2019). End-user development, end-user programming and end-user software engineering: A systematic mapping study. </w:t>
      </w:r>
      <w:r w:rsidDel="00000000" w:rsidR="00000000" w:rsidRPr="00000000">
        <w:rPr>
          <w:rFonts w:ascii="Google Sans" w:cs="Google Sans" w:eastAsia="Google Sans" w:hAnsi="Google Sans"/>
          <w:i w:val="1"/>
          <w:iCs w:val="1"/>
          <w:color w:val="1f1f1f"/>
          <w:rtl w:val="0"/>
        </w:rPr>
        <w:t xml:space="preserve">Journal of Systems and Software</w:t>
      </w:r>
      <w:r w:rsidDel="00000000" w:rsidR="00000000" w:rsidRPr="00000000">
        <w:rPr>
          <w:rFonts w:ascii="Google Sans" w:cs="Google Sans" w:eastAsia="Google Sans" w:hAnsi="Google Sans"/>
          <w:color w:val="1f1f1f"/>
          <w:rtl w:val="0"/>
        </w:rPr>
        <w:t xml:space="preserve">, 149, pp. 101-137. DOI: 10.1016/j.jss.2018.11.041. Available at: </w:t>
      </w:r>
      <w:hyperlink r:id="rId7">
        <w:r w:rsidDel="00000000" w:rsidR="00000000" w:rsidRPr="00000000">
          <w:rPr>
            <w:rFonts w:ascii="Google Sans" w:cs="Google Sans" w:eastAsia="Google Sans" w:hAnsi="Google Sans"/>
            <w:color w:val="000000"/>
            <w:u w:val="single"/>
            <w:rtl w:val="0"/>
          </w:rPr>
          <w:t xml:space="preserve">https://expertise.unimi.it/resource/item/669695?language=en-US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Vaithilingam, P.; Zhang, T.; and Glassman, E. L. (2022). Expectation vs. Experience: Evaluating the usability of code generation tools powered by large language models. </w:t>
      </w:r>
      <w:r w:rsidDel="00000000" w:rsidR="00000000" w:rsidRPr="00000000">
        <w:rPr>
          <w:rFonts w:ascii="Google Sans" w:cs="Google Sans" w:eastAsia="Google Sans" w:hAnsi="Google Sans"/>
          <w:i w:val="1"/>
          <w:iCs w:val="1"/>
          <w:color w:val="1f1f1f"/>
          <w:rtl w:val="0"/>
        </w:rPr>
        <w:t xml:space="preserve">Extended abstracts of the 2022 CHI conference on human factors in computing systems</w:t>
      </w:r>
      <w:r w:rsidDel="00000000" w:rsidR="00000000" w:rsidRPr="00000000">
        <w:rPr>
          <w:rFonts w:ascii="Google Sans" w:cs="Google Sans" w:eastAsia="Google Sans" w:hAnsi="Google Sans"/>
          <w:color w:val="1f1f1f"/>
          <w:rtl w:val="0"/>
        </w:rPr>
        <w:t xml:space="preserve">, pp. 1-7. DOI: 10.1145/3491101.3519665. Available at: </w:t>
      </w:r>
      <w:hyperlink r:id="rId8">
        <w:r w:rsidDel="00000000" w:rsidR="00000000" w:rsidRPr="00000000">
          <w:rPr>
            <w:rFonts w:ascii="Google Sans" w:cs="Google Sans" w:eastAsia="Google Sans" w:hAnsi="Google Sans"/>
            <w:color w:val="000000"/>
            <w:u w:val="single"/>
            <w:rtl w:val="0"/>
          </w:rPr>
          <w:t xml:space="preserve">https://dl.acm.org/doi/pdf/10.1145/3491101.3519665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Chen, M., et al. (2021). Evaluating large language models trained on code. </w:t>
      </w:r>
      <w:r w:rsidDel="00000000" w:rsidR="00000000" w:rsidRPr="00000000">
        <w:rPr>
          <w:rFonts w:ascii="Google Sans" w:cs="Google Sans" w:eastAsia="Google Sans" w:hAnsi="Google Sans"/>
          <w:i w:val="1"/>
          <w:iCs w:val="1"/>
          <w:color w:val="1f1f1f"/>
          <w:rtl w:val="0"/>
        </w:rPr>
        <w:t xml:space="preserve">arXiv:2107.03374</w:t>
      </w:r>
      <w:r w:rsidDel="00000000" w:rsidR="00000000" w:rsidRPr="00000000">
        <w:rPr>
          <w:rFonts w:ascii="Google Sans" w:cs="Google Sans" w:eastAsia="Google Sans" w:hAnsi="Google Sans"/>
          <w:color w:val="1f1f1f"/>
          <w:rtl w:val="0"/>
        </w:rPr>
        <w:t xml:space="preserve">. Preprint. Available at: </w:t>
      </w:r>
      <w:hyperlink r:id="rId9">
        <w:r w:rsidDel="00000000" w:rsidR="00000000" w:rsidRPr="00000000">
          <w:rPr>
            <w:rFonts w:ascii="Google Sans" w:cs="Google Sans" w:eastAsia="Google Sans" w:hAnsi="Google Sans"/>
            <w:color w:val="000000"/>
            <w:u w:val="single"/>
            <w:rtl w:val="0"/>
          </w:rPr>
          <w:t xml:space="preserve">https://arxiv.org/abs/2107.03374</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Liu, J.; Xia, C. S.; Wang, Y.; and Zhang, L. (2023). Is your code generated by ChatGPT really correct? Rigorous evaluation of large language models for code generation. </w:t>
      </w:r>
      <w:r w:rsidDel="00000000" w:rsidR="00000000" w:rsidRPr="00000000">
        <w:rPr>
          <w:rFonts w:ascii="Google Sans" w:cs="Google Sans" w:eastAsia="Google Sans" w:hAnsi="Google Sans"/>
          <w:i w:val="1"/>
          <w:iCs w:val="1"/>
          <w:color w:val="1f1f1f"/>
          <w:rtl w:val="0"/>
        </w:rPr>
        <w:t xml:space="preserve">Advances in neural information processing systems</w:t>
      </w:r>
      <w:r w:rsidDel="00000000" w:rsidR="00000000" w:rsidRPr="00000000">
        <w:rPr>
          <w:rFonts w:ascii="Google Sans" w:cs="Google Sans" w:eastAsia="Google Sans" w:hAnsi="Google Sans"/>
          <w:color w:val="1f1f1f"/>
          <w:rtl w:val="0"/>
        </w:rPr>
        <w:t xml:space="preserve">, 36. Available at: </w:t>
      </w:r>
      <w:hyperlink r:id="rId10">
        <w:r w:rsidDel="00000000" w:rsidR="00000000" w:rsidRPr="00000000">
          <w:rPr>
            <w:rFonts w:ascii="Google Sans" w:cs="Google Sans" w:eastAsia="Google Sans" w:hAnsi="Google Sans"/>
            <w:color w:val="000000"/>
            <w:u w:val="single"/>
            <w:rtl w:val="0"/>
          </w:rPr>
          <w:t xml:space="preserve">https://proceedings.neurips.cc/paper_files/paper/2023/hash/43e9d647ccd3e4b7b5baab53f0368686-Abstract-Conference.html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DEAL-X (n.d.). DEAL.JS: Source code, README, libraries, and samples. Software. Version d76dcae3bf157e3969be0bd1f98ed2522defc2b9; accessed 19 October 2026. Available at: </w:t>
      </w:r>
      <w:hyperlink r:id="rId11">
        <w:r w:rsidDel="00000000" w:rsidR="00000000" w:rsidRPr="00000000">
          <w:rPr>
            <w:rFonts w:ascii="Google Sans" w:cs="Google Sans" w:eastAsia="Google Sans" w:hAnsi="Google Sans"/>
            <w:color w:val="000000"/>
            <w:u w:val="single"/>
            <w:rtl w:val="0"/>
          </w:rPr>
          <w:t xml:space="preserve">https://github.com/DEAL-X/DEAL-JS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Kuhn, T. (2014). A survey and classification of controlled natural languages. </w:t>
      </w:r>
      <w:r w:rsidDel="00000000" w:rsidR="00000000" w:rsidRPr="00000000">
        <w:rPr>
          <w:rFonts w:ascii="Google Sans" w:cs="Google Sans" w:eastAsia="Google Sans" w:hAnsi="Google Sans"/>
          <w:i w:val="1"/>
          <w:iCs w:val="1"/>
          <w:color w:val="1f1f1f"/>
          <w:rtl w:val="0"/>
        </w:rPr>
        <w:t xml:space="preserve">Computational Linguistics</w:t>
      </w:r>
      <w:r w:rsidDel="00000000" w:rsidR="00000000" w:rsidRPr="00000000">
        <w:rPr>
          <w:rFonts w:ascii="Google Sans" w:cs="Google Sans" w:eastAsia="Google Sans" w:hAnsi="Google Sans"/>
          <w:color w:val="1f1f1f"/>
          <w:rtl w:val="0"/>
        </w:rPr>
        <w:t xml:space="preserve">, 40(1), pp. 121-170. DOI: 10.1162/COLI_a_00168. Available at: </w:t>
      </w:r>
      <w:hyperlink r:id="rId12">
        <w:r w:rsidDel="00000000" w:rsidR="00000000" w:rsidRPr="00000000">
          <w:rPr>
            <w:rFonts w:ascii="Google Sans" w:cs="Google Sans" w:eastAsia="Google Sans" w:hAnsi="Google Sans"/>
            <w:color w:val="000000"/>
            <w:u w:val="single"/>
            <w:rtl w:val="0"/>
          </w:rPr>
          <w:t xml:space="preserve">https://aclanthology.org/J14-1005/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Spinellis, D. (2001). Notable design patterns for domain specific languages. </w:t>
      </w:r>
      <w:r w:rsidDel="00000000" w:rsidR="00000000" w:rsidRPr="00000000">
        <w:rPr>
          <w:rFonts w:ascii="Google Sans" w:cs="Google Sans" w:eastAsia="Google Sans" w:hAnsi="Google Sans"/>
          <w:i w:val="1"/>
          <w:iCs w:val="1"/>
          <w:color w:val="1f1f1f"/>
          <w:rtl w:val="0"/>
        </w:rPr>
        <w:t xml:space="preserve">Journal of Systems and Software</w:t>
      </w:r>
      <w:r w:rsidDel="00000000" w:rsidR="00000000" w:rsidRPr="00000000">
        <w:rPr>
          <w:rFonts w:ascii="Google Sans" w:cs="Google Sans" w:eastAsia="Google Sans" w:hAnsi="Google Sans"/>
          <w:color w:val="1f1f1f"/>
          <w:rtl w:val="0"/>
        </w:rPr>
        <w:t xml:space="preserve">, 56(1), pp. 91-99. DOI: 10.1016/S0164-1212(00)00089-3. Linked page is the author’s working-paper rendering, which identifies the preferred publication citation. Available at: </w:t>
      </w:r>
      <w:hyperlink r:id="rId13">
        <w:r w:rsidDel="00000000" w:rsidR="00000000" w:rsidRPr="00000000">
          <w:rPr>
            <w:rFonts w:ascii="Google Sans" w:cs="Google Sans" w:eastAsia="Google Sans" w:hAnsi="Google Sans"/>
            <w:color w:val="000000"/>
            <w:u w:val="single"/>
            <w:rtl w:val="0"/>
          </w:rPr>
          <w:t xml:space="preserve">https://www.spinellis.gr/pubs/jrnl/2000-JSS-DSLPatterns/html/dslpat.html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Lipton, Z. C. (2018). The mythos of model interpretability. </w:t>
      </w:r>
      <w:r w:rsidDel="00000000" w:rsidR="00000000" w:rsidRPr="00000000">
        <w:rPr>
          <w:rFonts w:ascii="Google Sans" w:cs="Google Sans" w:eastAsia="Google Sans" w:hAnsi="Google Sans"/>
          <w:i w:val="1"/>
          <w:iCs w:val="1"/>
          <w:color w:val="1f1f1f"/>
          <w:rtl w:val="0"/>
        </w:rPr>
        <w:t xml:space="preserve">Communications of the ACM</w:t>
      </w:r>
      <w:r w:rsidDel="00000000" w:rsidR="00000000" w:rsidRPr="00000000">
        <w:rPr>
          <w:rFonts w:ascii="Google Sans" w:cs="Google Sans" w:eastAsia="Google Sans" w:hAnsi="Google Sans"/>
          <w:color w:val="1f1f1f"/>
          <w:rtl w:val="0"/>
        </w:rPr>
        <w:t xml:space="preserve">, 61(10), pp. 36-43. DOI: 10.1145/3233231. Available at: </w:t>
      </w:r>
      <w:hyperlink r:id="rId14">
        <w:r w:rsidDel="00000000" w:rsidR="00000000" w:rsidRPr="00000000">
          <w:rPr>
            <w:rFonts w:ascii="Google Sans" w:cs="Google Sans" w:eastAsia="Google Sans" w:hAnsi="Google Sans"/>
            <w:color w:val="000000"/>
            <w:u w:val="single"/>
            <w:rtl w:val="0"/>
          </w:rPr>
          <w:t xml:space="preserve">https://vis.csail.mit.edu/classes/6.859/readings/pdfs/Lipton-TheMythosOfModelInterpretability.pdf</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Doshi-Velez, F.; and Kim, B. (2017). Towards a rigorous science of interpretable machine learning. </w:t>
      </w:r>
      <w:r w:rsidDel="00000000" w:rsidR="00000000" w:rsidRPr="00000000">
        <w:rPr>
          <w:rFonts w:ascii="Google Sans" w:cs="Google Sans" w:eastAsia="Google Sans" w:hAnsi="Google Sans"/>
          <w:i w:val="1"/>
          <w:iCs w:val="1"/>
          <w:color w:val="1f1f1f"/>
          <w:rtl w:val="0"/>
        </w:rPr>
        <w:t xml:space="preserve">arXiv:1702.08608</w:t>
      </w:r>
      <w:r w:rsidDel="00000000" w:rsidR="00000000" w:rsidRPr="00000000">
        <w:rPr>
          <w:rFonts w:ascii="Google Sans" w:cs="Google Sans" w:eastAsia="Google Sans" w:hAnsi="Google Sans"/>
          <w:color w:val="1f1f1f"/>
          <w:rtl w:val="0"/>
        </w:rPr>
        <w:t xml:space="preserve">. Position-paper preprint. Available at: </w:t>
      </w:r>
      <w:hyperlink r:id="rId15">
        <w:r w:rsidDel="00000000" w:rsidR="00000000" w:rsidRPr="00000000">
          <w:rPr>
            <w:rFonts w:ascii="Google Sans" w:cs="Google Sans" w:eastAsia="Google Sans" w:hAnsi="Google Sans"/>
            <w:color w:val="000000"/>
            <w:u w:val="single"/>
            <w:rtl w:val="0"/>
          </w:rPr>
          <w:t xml:space="preserve">https://arxiv.org/abs/1702.08608</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Rudin, C. (2019). Stop explaining black box machine learning models for high stakes decisions and use interpretable models instead. </w:t>
      </w:r>
      <w:r w:rsidDel="00000000" w:rsidR="00000000" w:rsidRPr="00000000">
        <w:rPr>
          <w:rFonts w:ascii="Google Sans" w:cs="Google Sans" w:eastAsia="Google Sans" w:hAnsi="Google Sans"/>
          <w:i w:val="1"/>
          <w:iCs w:val="1"/>
          <w:color w:val="1f1f1f"/>
          <w:rtl w:val="0"/>
        </w:rPr>
        <w:t xml:space="preserve">Nature Machine Intelligence</w:t>
      </w:r>
      <w:r w:rsidDel="00000000" w:rsidR="00000000" w:rsidRPr="00000000">
        <w:rPr>
          <w:rFonts w:ascii="Google Sans" w:cs="Google Sans" w:eastAsia="Google Sans" w:hAnsi="Google Sans"/>
          <w:color w:val="1f1f1f"/>
          <w:rtl w:val="0"/>
        </w:rPr>
        <w:t xml:space="preserve">, 1, pp. 206-215. DOI: 10.1038/s42256-019-0048-x. Available at: </w:t>
      </w:r>
      <w:hyperlink r:id="rId16">
        <w:r w:rsidDel="00000000" w:rsidR="00000000" w:rsidRPr="00000000">
          <w:rPr>
            <w:rFonts w:ascii="Google Sans" w:cs="Google Sans" w:eastAsia="Google Sans" w:hAnsi="Google Sans"/>
            <w:color w:val="000000"/>
            <w:u w:val="single"/>
            <w:rtl w:val="0"/>
          </w:rPr>
          <w:t xml:space="preserve">https://www.nature.com/articles/s42256-019-0048-x</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Sandve, G. K.; Nekrutenko, A.; Taylor, J.; and Hovig, E. (2013). Ten simple rules for reproducible computational research. </w:t>
      </w:r>
      <w:r w:rsidDel="00000000" w:rsidR="00000000" w:rsidRPr="00000000">
        <w:rPr>
          <w:rFonts w:ascii="Google Sans" w:cs="Google Sans" w:eastAsia="Google Sans" w:hAnsi="Google Sans"/>
          <w:i w:val="1"/>
          <w:iCs w:val="1"/>
          <w:color w:val="1f1f1f"/>
          <w:rtl w:val="0"/>
        </w:rPr>
        <w:t xml:space="preserve">PLOS Computational Biology</w:t>
      </w:r>
      <w:r w:rsidDel="00000000" w:rsidR="00000000" w:rsidRPr="00000000">
        <w:rPr>
          <w:rFonts w:ascii="Google Sans" w:cs="Google Sans" w:eastAsia="Google Sans" w:hAnsi="Google Sans"/>
          <w:color w:val="1f1f1f"/>
          <w:rtl w:val="0"/>
        </w:rPr>
        <w:t xml:space="preserve">, 9(10), Article e1003285. DOI: 10.1371/journal.pcbi.1003285. Available at: </w:t>
      </w:r>
      <w:hyperlink r:id="rId17">
        <w:r w:rsidDel="00000000" w:rsidR="00000000" w:rsidRPr="00000000">
          <w:rPr>
            <w:rFonts w:ascii="Google Sans" w:cs="Google Sans" w:eastAsia="Google Sans" w:hAnsi="Google Sans"/>
            <w:color w:val="000000"/>
            <w:u w:val="single"/>
            <w:rtl w:val="0"/>
          </w:rPr>
          <w:t xml:space="preserve">https://journals.plos.org/ploscompbiol/article?id=10.1371/journal.pcbi.1003285</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Wilkinson, M. D., et al. (2016). The FAIR guiding principles for scientific data management and stewardship. </w:t>
      </w:r>
      <w:r w:rsidDel="00000000" w:rsidR="00000000" w:rsidRPr="00000000">
        <w:rPr>
          <w:rFonts w:ascii="Google Sans" w:cs="Google Sans" w:eastAsia="Google Sans" w:hAnsi="Google Sans"/>
          <w:i w:val="1"/>
          <w:iCs w:val="1"/>
          <w:color w:val="1f1f1f"/>
          <w:rtl w:val="0"/>
        </w:rPr>
        <w:t xml:space="preserve">Scientific Data</w:t>
      </w:r>
      <w:r w:rsidDel="00000000" w:rsidR="00000000" w:rsidRPr="00000000">
        <w:rPr>
          <w:rFonts w:ascii="Google Sans" w:cs="Google Sans" w:eastAsia="Google Sans" w:hAnsi="Google Sans"/>
          <w:color w:val="1f1f1f"/>
          <w:rtl w:val="0"/>
        </w:rPr>
        <w:t xml:space="preserve">, 3, Article 160018. DOI: 10.1038/sdata.2016.18. Available at: </w:t>
      </w:r>
      <w:hyperlink r:id="rId18">
        <w:r w:rsidDel="00000000" w:rsidR="00000000" w:rsidRPr="00000000">
          <w:rPr>
            <w:rFonts w:ascii="Google Sans" w:cs="Google Sans" w:eastAsia="Google Sans" w:hAnsi="Google Sans"/>
            <w:color w:val="000000"/>
            <w:u w:val="single"/>
            <w:rtl w:val="0"/>
          </w:rPr>
          <w:t xml:space="preserve">https://www.nature.com/articles/sdata201618</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Stefik, A.; and Siebert, S. (2013). An empirical investigation into programming language syntax. </w:t>
      </w:r>
      <w:r w:rsidDel="00000000" w:rsidR="00000000" w:rsidRPr="00000000">
        <w:rPr>
          <w:rFonts w:ascii="Google Sans" w:cs="Google Sans" w:eastAsia="Google Sans" w:hAnsi="Google Sans"/>
          <w:i w:val="1"/>
          <w:iCs w:val="1"/>
          <w:color w:val="1f1f1f"/>
          <w:rtl w:val="0"/>
        </w:rPr>
        <w:t xml:space="preserve">ACM Transactions on Computing Education</w:t>
      </w:r>
      <w:r w:rsidDel="00000000" w:rsidR="00000000" w:rsidRPr="00000000">
        <w:rPr>
          <w:rFonts w:ascii="Google Sans" w:cs="Google Sans" w:eastAsia="Google Sans" w:hAnsi="Google Sans"/>
          <w:color w:val="1f1f1f"/>
          <w:rtl w:val="0"/>
        </w:rPr>
        <w:t xml:space="preserve">, 13(4), pp. 19:1-19:40. DOI: 10.1145/2534973. Available at: </w:t>
      </w:r>
      <w:hyperlink r:id="rId19">
        <w:r w:rsidDel="00000000" w:rsidR="00000000" w:rsidRPr="00000000">
          <w:rPr>
            <w:rFonts w:ascii="Google Sans" w:cs="Google Sans" w:eastAsia="Google Sans" w:hAnsi="Google Sans"/>
            <w:color w:val="000000"/>
            <w:u w:val="single"/>
            <w:rtl w:val="0"/>
          </w:rPr>
          <w:t xml:space="preserve">https://eric.ed.gov/?id=EJ1042402</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Lappi, V.; Tirronen, V.; and Itkonen, J. (2023). A replication study on the intuitiveness of programming language syntax. </w:t>
      </w:r>
      <w:r w:rsidDel="00000000" w:rsidR="00000000" w:rsidRPr="00000000">
        <w:rPr>
          <w:rFonts w:ascii="Google Sans" w:cs="Google Sans" w:eastAsia="Google Sans" w:hAnsi="Google Sans"/>
          <w:i w:val="1"/>
          <w:iCs w:val="1"/>
          <w:color w:val="1f1f1f"/>
          <w:rtl w:val="0"/>
        </w:rPr>
        <w:t xml:space="preserve">Software Quality Journal</w:t>
      </w:r>
      <w:r w:rsidDel="00000000" w:rsidR="00000000" w:rsidRPr="00000000">
        <w:rPr>
          <w:rFonts w:ascii="Google Sans" w:cs="Google Sans" w:eastAsia="Google Sans" w:hAnsi="Google Sans"/>
          <w:color w:val="1f1f1f"/>
          <w:rtl w:val="0"/>
        </w:rPr>
        <w:t xml:space="preserve">, 31, pp. 1211-1240. DOI: 10.1007/s11219-023-09631-7. Available at: </w:t>
      </w:r>
      <w:hyperlink r:id="rId20">
        <w:r w:rsidDel="00000000" w:rsidR="00000000" w:rsidRPr="00000000">
          <w:rPr>
            <w:rFonts w:ascii="Google Sans" w:cs="Google Sans" w:eastAsia="Google Sans" w:hAnsi="Google Sans"/>
            <w:color w:val="000000"/>
            <w:u w:val="single"/>
            <w:rtl w:val="0"/>
          </w:rPr>
          <w:t xml:space="preserve">https://link.springer.com/article/10.1007/s11219-023-09631-7</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Green, T. R. G.; and Petre, M. (1996). Usability analysis of visual programming environments: A cognitive dimensions framework. </w:t>
      </w:r>
      <w:r w:rsidDel="00000000" w:rsidR="00000000" w:rsidRPr="00000000">
        <w:rPr>
          <w:rFonts w:ascii="Google Sans" w:cs="Google Sans" w:eastAsia="Google Sans" w:hAnsi="Google Sans"/>
          <w:i w:val="1"/>
          <w:iCs w:val="1"/>
          <w:color w:val="1f1f1f"/>
          <w:rtl w:val="0"/>
        </w:rPr>
        <w:t xml:space="preserve">Journal of Visual Languages and Computing</w:t>
      </w:r>
      <w:r w:rsidDel="00000000" w:rsidR="00000000" w:rsidRPr="00000000">
        <w:rPr>
          <w:rFonts w:ascii="Google Sans" w:cs="Google Sans" w:eastAsia="Google Sans" w:hAnsi="Google Sans"/>
          <w:color w:val="1f1f1f"/>
          <w:rtl w:val="0"/>
        </w:rPr>
        <w:t xml:space="preserve">, 7(2), pp. 131-174. DOI: 10.1006/jvlc.1996.0009. Linked text is the author manuscript. Available at: </w:t>
      </w:r>
      <w:hyperlink r:id="rId21">
        <w:r w:rsidDel="00000000" w:rsidR="00000000" w:rsidRPr="00000000">
          <w:rPr>
            <w:rFonts w:ascii="Google Sans" w:cs="Google Sans" w:eastAsia="Google Sans" w:hAnsi="Google Sans"/>
            <w:color w:val="000000"/>
            <w:u w:val="single"/>
            <w:rtl w:val="0"/>
          </w:rPr>
          <w:t xml:space="preserve">https://history.futureofcoding.org/history/msg_files/F6R/F6R1A64AF.pdf</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Heinonen, A.; Lehtelä, B.; Hellas, A.; and Fagerholm, F. (2023). Synthesizing research on programmers’ mental models of programs, tasks and concepts: A systematic literature review. </w:t>
      </w:r>
      <w:r w:rsidDel="00000000" w:rsidR="00000000" w:rsidRPr="00000000">
        <w:rPr>
          <w:rFonts w:ascii="Google Sans" w:cs="Google Sans" w:eastAsia="Google Sans" w:hAnsi="Google Sans"/>
          <w:i w:val="1"/>
          <w:iCs w:val="1"/>
          <w:color w:val="1f1f1f"/>
          <w:rtl w:val="0"/>
        </w:rPr>
        <w:t xml:space="preserve">Information and Software Technology</w:t>
      </w:r>
      <w:r w:rsidDel="00000000" w:rsidR="00000000" w:rsidRPr="00000000">
        <w:rPr>
          <w:rFonts w:ascii="Google Sans" w:cs="Google Sans" w:eastAsia="Google Sans" w:hAnsi="Google Sans"/>
          <w:color w:val="1f1f1f"/>
          <w:rtl w:val="0"/>
        </w:rPr>
        <w:t xml:space="preserve">, 164, Article 107300. DOI: 10.1016/j.infsof.2023.107300. Available at: </w:t>
      </w:r>
      <w:hyperlink r:id="rId22">
        <w:r w:rsidDel="00000000" w:rsidR="00000000" w:rsidRPr="00000000">
          <w:rPr>
            <w:rFonts w:ascii="Google Sans" w:cs="Google Sans" w:eastAsia="Google Sans" w:hAnsi="Google Sans"/>
            <w:color w:val="000000"/>
            <w:u w:val="single"/>
            <w:rtl w:val="0"/>
          </w:rPr>
          <w:t xml:space="preserve">https://www.sciencedirect.com/science/article/pii/S0950584923001544</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Keemps, R.; Farias, K.; Kunst, R.; Carbonera, C.; and Bolzan, W. (2025). SmellDSL: A domain-specific language to assist developers in specifying code smell patterns. </w:t>
      </w:r>
      <w:r w:rsidDel="00000000" w:rsidR="00000000" w:rsidRPr="00000000">
        <w:rPr>
          <w:rFonts w:ascii="Google Sans" w:cs="Google Sans" w:eastAsia="Google Sans" w:hAnsi="Google Sans"/>
          <w:i w:val="1"/>
          <w:iCs w:val="1"/>
          <w:color w:val="1f1f1f"/>
          <w:rtl w:val="0"/>
        </w:rPr>
        <w:t xml:space="preserve">Information and Software Technology</w:t>
      </w:r>
      <w:r w:rsidDel="00000000" w:rsidR="00000000" w:rsidRPr="00000000">
        <w:rPr>
          <w:rFonts w:ascii="Google Sans" w:cs="Google Sans" w:eastAsia="Google Sans" w:hAnsi="Google Sans"/>
          <w:color w:val="1f1f1f"/>
          <w:rtl w:val="0"/>
        </w:rPr>
        <w:t xml:space="preserve">, 184, Article 107760. DOI: 10.1016/j.infsof.2025.107760. Available at: </w:t>
      </w:r>
      <w:hyperlink r:id="rId23">
        <w:r w:rsidDel="00000000" w:rsidR="00000000" w:rsidRPr="00000000">
          <w:rPr>
            <w:rFonts w:ascii="Google Sans" w:cs="Google Sans" w:eastAsia="Google Sans" w:hAnsi="Google Sans"/>
            <w:color w:val="000000"/>
            <w:u w:val="single"/>
            <w:rtl w:val="0"/>
          </w:rPr>
          <w:t xml:space="preserve">https://www.sciencedirect.com/science/article/abs/pii/S0950584925000990</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_hyperscript project (n.d.). _hyperscript: Official language documentation. Online language documentation. Accessed 19 October 2026. Available at: </w:t>
      </w:r>
      <w:hyperlink r:id="rId24">
        <w:r w:rsidDel="00000000" w:rsidR="00000000" w:rsidRPr="00000000">
          <w:rPr>
            <w:rFonts w:ascii="Google Sans" w:cs="Google Sans" w:eastAsia="Google Sans" w:hAnsi="Google Sans"/>
            <w:color w:val="000000"/>
            <w:u w:val="single"/>
            <w:rtl w:val="0"/>
          </w:rPr>
          <w:t xml:space="preserve">https://hyperscript.org/</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_hyperscript project (n.d.). _hyperscript: Official reference. Online language documentation. Accessed 19 October 2026. Available at: </w:t>
      </w:r>
      <w:hyperlink r:id="rId25">
        <w:r w:rsidDel="00000000" w:rsidR="00000000" w:rsidRPr="00000000">
          <w:rPr>
            <w:rFonts w:ascii="Google Sans" w:cs="Google Sans" w:eastAsia="Google Sans" w:hAnsi="Google Sans"/>
            <w:color w:val="000000"/>
            <w:u w:val="single"/>
            <w:rtl w:val="0"/>
          </w:rPr>
          <w:t xml:space="preserve">https://hyperscript.org/reference/</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LiveCode (n.d.). LiveCode Script: Repeat control structure. Online language documentation. Accessed 19 October 2026. Available at: </w:t>
      </w:r>
      <w:hyperlink r:id="rId26">
        <w:r w:rsidDel="00000000" w:rsidR="00000000" w:rsidRPr="00000000">
          <w:rPr>
            <w:rFonts w:ascii="Google Sans" w:cs="Google Sans" w:eastAsia="Google Sans" w:hAnsi="Google Sans"/>
            <w:color w:val="000000"/>
            <w:u w:val="single"/>
            <w:rtl w:val="0"/>
          </w:rPr>
          <w:t xml:space="preserve">https://docs.livecode.com/docs/LiveCode%20Script/Control%20Structures/repeat/</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Erdweg, S.; Rendel, T.; Kästner, C.; and Ostermann, K. (2011). SugarJ: Library-based syntactic language extensibility. </w:t>
      </w:r>
      <w:r w:rsidDel="00000000" w:rsidR="00000000" w:rsidRPr="00000000">
        <w:rPr>
          <w:rFonts w:ascii="Google Sans" w:cs="Google Sans" w:eastAsia="Google Sans" w:hAnsi="Google Sans"/>
          <w:i w:val="1"/>
          <w:iCs w:val="1"/>
          <w:color w:val="1f1f1f"/>
          <w:rtl w:val="0"/>
        </w:rPr>
        <w:t xml:space="preserve">Proceedings of OOPSLA</w:t>
      </w:r>
      <w:r w:rsidDel="00000000" w:rsidR="00000000" w:rsidRPr="00000000">
        <w:rPr>
          <w:rFonts w:ascii="Google Sans" w:cs="Google Sans" w:eastAsia="Google Sans" w:hAnsi="Google Sans"/>
          <w:color w:val="1f1f1f"/>
          <w:rtl w:val="0"/>
        </w:rPr>
        <w:t xml:space="preserve">, pp. 391-406. Available at: </w:t>
      </w:r>
      <w:hyperlink r:id="rId27">
        <w:r w:rsidDel="00000000" w:rsidR="00000000" w:rsidRPr="00000000">
          <w:rPr>
            <w:rFonts w:ascii="Google Sans" w:cs="Google Sans" w:eastAsia="Google Sans" w:hAnsi="Google Sans"/>
            <w:color w:val="000000"/>
            <w:u w:val="single"/>
            <w:rtl w:val="0"/>
          </w:rPr>
          <w:t xml:space="preserve">https://www.pl.informatik.uni-mainz.de/files/2019/04/sugarj.pdf</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Kistler, T.; and Marais, H. (1998). WebL: A programming language for the web. </w:t>
      </w:r>
      <w:r w:rsidDel="00000000" w:rsidR="00000000" w:rsidRPr="00000000">
        <w:rPr>
          <w:rFonts w:ascii="Google Sans" w:cs="Google Sans" w:eastAsia="Google Sans" w:hAnsi="Google Sans"/>
          <w:i w:val="1"/>
          <w:iCs w:val="1"/>
          <w:color w:val="1f1f1f"/>
          <w:rtl w:val="0"/>
        </w:rPr>
        <w:t xml:space="preserve">Computer Networks and ISDN Systems</w:t>
      </w:r>
      <w:r w:rsidDel="00000000" w:rsidR="00000000" w:rsidRPr="00000000">
        <w:rPr>
          <w:rFonts w:ascii="Google Sans" w:cs="Google Sans" w:eastAsia="Google Sans" w:hAnsi="Google Sans"/>
          <w:color w:val="1f1f1f"/>
          <w:rtl w:val="0"/>
        </w:rPr>
        <w:t xml:space="preserve">, 30(1–7), pp. 259-270. DOI: 10.1016/S0169-7552(98)00018-X. Available at: </w:t>
      </w:r>
      <w:hyperlink r:id="rId28">
        <w:r w:rsidDel="00000000" w:rsidR="00000000" w:rsidRPr="00000000">
          <w:rPr>
            <w:rFonts w:ascii="Google Sans" w:cs="Google Sans" w:eastAsia="Google Sans" w:hAnsi="Google Sans"/>
            <w:color w:val="000000"/>
            <w:u w:val="single"/>
            <w:rtl w:val="0"/>
          </w:rPr>
          <w:t xml:space="preserve">https://www.ra.ethz.ch/cdstore/www7/1832/com1832.htm</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Ferrara, E.; De Meo, P.; Fiumara, G.; and Baumgartner, R. (2014). Web data extraction, applications and techniques: A survey. </w:t>
      </w:r>
      <w:r w:rsidDel="00000000" w:rsidR="00000000" w:rsidRPr="00000000">
        <w:rPr>
          <w:rFonts w:ascii="Google Sans" w:cs="Google Sans" w:eastAsia="Google Sans" w:hAnsi="Google Sans"/>
          <w:i w:val="1"/>
          <w:iCs w:val="1"/>
          <w:color w:val="1f1f1f"/>
          <w:rtl w:val="0"/>
        </w:rPr>
        <w:t xml:space="preserve">Knowledge-Based Systems</w:t>
      </w:r>
      <w:r w:rsidDel="00000000" w:rsidR="00000000" w:rsidRPr="00000000">
        <w:rPr>
          <w:rFonts w:ascii="Google Sans" w:cs="Google Sans" w:eastAsia="Google Sans" w:hAnsi="Google Sans"/>
          <w:color w:val="1f1f1f"/>
          <w:rtl w:val="0"/>
        </w:rPr>
        <w:t xml:space="preserve">, 70, pp. 301-323. DOI: 10.1016/j.knosys.2014.07.007. Linked record provides an author preprint and the published journal citation. Available at: </w:t>
      </w:r>
      <w:hyperlink r:id="rId29">
        <w:r w:rsidDel="00000000" w:rsidR="00000000" w:rsidRPr="00000000">
          <w:rPr>
            <w:rFonts w:ascii="Google Sans" w:cs="Google Sans" w:eastAsia="Google Sans" w:hAnsi="Google Sans"/>
            <w:color w:val="000000"/>
            <w:u w:val="single"/>
            <w:rtl w:val="0"/>
          </w:rPr>
          <w:t xml:space="preserve">https://arxiv.org/abs/1207.0246</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Gao, L.; Madaan, A.; Zhou, S.; Alon, U.; Liu, P.; Yang, Y.; Callan, J.; and Neubig, G. (2023). PAL: Program-aided language models. </w:t>
      </w:r>
      <w:r w:rsidDel="00000000" w:rsidR="00000000" w:rsidRPr="00000000">
        <w:rPr>
          <w:rFonts w:ascii="Google Sans" w:cs="Google Sans" w:eastAsia="Google Sans" w:hAnsi="Google Sans"/>
          <w:i w:val="1"/>
          <w:iCs w:val="1"/>
          <w:color w:val="1f1f1f"/>
          <w:rtl w:val="0"/>
        </w:rPr>
        <w:t xml:space="preserve">Proceedings of the 40th international conference on machine learning</w:t>
      </w:r>
      <w:r w:rsidDel="00000000" w:rsidR="00000000" w:rsidRPr="00000000">
        <w:rPr>
          <w:rFonts w:ascii="Google Sans" w:cs="Google Sans" w:eastAsia="Google Sans" w:hAnsi="Google Sans"/>
          <w:color w:val="1f1f1f"/>
          <w:rtl w:val="0"/>
        </w:rPr>
        <w:t xml:space="preserve">, 202, pp. 10764-10799. Available at: </w:t>
      </w:r>
      <w:hyperlink r:id="rId30">
        <w:r w:rsidDel="00000000" w:rsidR="00000000" w:rsidRPr="00000000">
          <w:rPr>
            <w:rFonts w:ascii="Google Sans" w:cs="Google Sans" w:eastAsia="Google Sans" w:hAnsi="Google Sans"/>
            <w:color w:val="000000"/>
            <w:u w:val="single"/>
            <w:rtl w:val="0"/>
          </w:rPr>
          <w:t xml:space="preserve">https://proceedings.mlr.press/v202/gao23f.html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Scholak, T.; Schucher, N.; and Bahdanau, D. (2021). PICARD: Parsing incrementally for constrained auto-regressive decoding from language models. </w:t>
      </w:r>
      <w:r w:rsidDel="00000000" w:rsidR="00000000" w:rsidRPr="00000000">
        <w:rPr>
          <w:rFonts w:ascii="Google Sans" w:cs="Google Sans" w:eastAsia="Google Sans" w:hAnsi="Google Sans"/>
          <w:i w:val="1"/>
          <w:iCs w:val="1"/>
          <w:color w:val="1f1f1f"/>
          <w:rtl w:val="0"/>
        </w:rPr>
        <w:t xml:space="preserve">Proceedings of the 2021 conference on empirical methods in natural language processing</w:t>
      </w:r>
      <w:r w:rsidDel="00000000" w:rsidR="00000000" w:rsidRPr="00000000">
        <w:rPr>
          <w:rFonts w:ascii="Google Sans" w:cs="Google Sans" w:eastAsia="Google Sans" w:hAnsi="Google Sans"/>
          <w:color w:val="1f1f1f"/>
          <w:rtl w:val="0"/>
        </w:rPr>
        <w:t xml:space="preserve">, pp. 9895-9901. DOI: 10.18653/v1/2021.emnlp-main.779. Available at: </w:t>
      </w:r>
      <w:hyperlink r:id="rId31">
        <w:r w:rsidDel="00000000" w:rsidR="00000000" w:rsidRPr="00000000">
          <w:rPr>
            <w:rFonts w:ascii="Google Sans" w:cs="Google Sans" w:eastAsia="Google Sans" w:hAnsi="Google Sans"/>
            <w:color w:val="000000"/>
            <w:u w:val="single"/>
            <w:rtl w:val="0"/>
          </w:rPr>
          <w:t xml:space="preserve">https://aclanthology.org/2021.emnlp-main.779/</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Geng, S.; Josifoski, M.; Peyrard, M.; and West, R. (2023). Grammar-constrained decoding for structured NLP tasks without finetuning. </w:t>
      </w:r>
      <w:r w:rsidDel="00000000" w:rsidR="00000000" w:rsidRPr="00000000">
        <w:rPr>
          <w:rFonts w:ascii="Google Sans" w:cs="Google Sans" w:eastAsia="Google Sans" w:hAnsi="Google Sans"/>
          <w:i w:val="1"/>
          <w:iCs w:val="1"/>
          <w:color w:val="1f1f1f"/>
          <w:rtl w:val="0"/>
        </w:rPr>
        <w:t xml:space="preserve">Proceedings of the 2023 conference on empirical methods in natural language processing</w:t>
      </w:r>
      <w:r w:rsidDel="00000000" w:rsidR="00000000" w:rsidRPr="00000000">
        <w:rPr>
          <w:rFonts w:ascii="Google Sans" w:cs="Google Sans" w:eastAsia="Google Sans" w:hAnsi="Google Sans"/>
          <w:color w:val="1f1f1f"/>
          <w:rtl w:val="0"/>
        </w:rPr>
        <w:t xml:space="preserve">, pp. 10932-10952. Available at: </w:t>
      </w:r>
      <w:hyperlink r:id="rId32">
        <w:r w:rsidDel="00000000" w:rsidR="00000000" w:rsidRPr="00000000">
          <w:rPr>
            <w:rFonts w:ascii="Google Sans" w:cs="Google Sans" w:eastAsia="Google Sans" w:hAnsi="Google Sans"/>
            <w:color w:val="000000"/>
            <w:u w:val="single"/>
            <w:rtl w:val="0"/>
          </w:rPr>
          <w:t xml:space="preserve">https://aclanthology.org/2023.emnlp-main.674/</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Ferris, L.; and Bonilla, S. (2026). A case study in assuring AI-written software. </w:t>
      </w:r>
      <w:r w:rsidDel="00000000" w:rsidR="00000000" w:rsidRPr="00000000">
        <w:rPr>
          <w:rFonts w:ascii="Google Sans" w:cs="Google Sans" w:eastAsia="Google Sans" w:hAnsi="Google Sans"/>
          <w:i w:val="1"/>
          <w:iCs w:val="1"/>
          <w:color w:val="1f1f1f"/>
          <w:rtl w:val="0"/>
        </w:rPr>
        <w:t xml:space="preserve">arXiv:2610.08651v1</w:t>
      </w:r>
      <w:r w:rsidDel="00000000" w:rsidR="00000000" w:rsidRPr="00000000">
        <w:rPr>
          <w:rFonts w:ascii="Google Sans" w:cs="Google Sans" w:eastAsia="Google Sans" w:hAnsi="Google Sans"/>
          <w:color w:val="1f1f1f"/>
          <w:rtl w:val="0"/>
        </w:rPr>
        <w:t xml:space="preserve">. Preprint. arXiv version 1; preprint, not used as established general evidence. Available at: </w:t>
      </w:r>
      <w:hyperlink r:id="rId33">
        <w:r w:rsidDel="00000000" w:rsidR="00000000" w:rsidRPr="00000000">
          <w:rPr>
            <w:rFonts w:ascii="Google Sans" w:cs="Google Sans" w:eastAsia="Google Sans" w:hAnsi="Google Sans"/>
            <w:color w:val="000000"/>
            <w:u w:val="single"/>
            <w:rtl w:val="0"/>
          </w:rPr>
          <w:t xml:space="preserve">https://arxiv.org/html/2610.08651v1</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Python Software Foundation (n.d.). Python tutorial: More control flow tools. Online language documentation. accessed 19 October 2026. Available at: </w:t>
      </w:r>
      <w:hyperlink r:id="rId34">
        <w:r w:rsidDel="00000000" w:rsidR="00000000" w:rsidRPr="00000000">
          <w:rPr>
            <w:rFonts w:ascii="Google Sans" w:cs="Google Sans" w:eastAsia="Google Sans" w:hAnsi="Google Sans"/>
            <w:color w:val="000000"/>
            <w:u w:val="single"/>
            <w:rtl w:val="0"/>
          </w:rPr>
          <w:t xml:space="preserve">https://docs.python.org/3/tutorial/controlflow.html</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Hevner, A. R.; March, S. T.; Park, J.; and Ram, S. (2004). Design science in information systems research. </w:t>
      </w:r>
      <w:r w:rsidDel="00000000" w:rsidR="00000000" w:rsidRPr="00000000">
        <w:rPr>
          <w:rFonts w:ascii="Google Sans" w:cs="Google Sans" w:eastAsia="Google Sans" w:hAnsi="Google Sans"/>
          <w:i w:val="1"/>
          <w:iCs w:val="1"/>
          <w:color w:val="1f1f1f"/>
          <w:rtl w:val="0"/>
        </w:rPr>
        <w:t xml:space="preserve">MIS Quarterly</w:t>
      </w:r>
      <w:r w:rsidDel="00000000" w:rsidR="00000000" w:rsidRPr="00000000">
        <w:rPr>
          <w:rFonts w:ascii="Google Sans" w:cs="Google Sans" w:eastAsia="Google Sans" w:hAnsi="Google Sans"/>
          <w:color w:val="1f1f1f"/>
          <w:rtl w:val="0"/>
        </w:rPr>
        <w:t xml:space="preserve">, 28(1), pp. 75-105. Available at: </w:t>
      </w:r>
      <w:hyperlink r:id="rId35">
        <w:r w:rsidDel="00000000" w:rsidR="00000000" w:rsidRPr="00000000">
          <w:rPr>
            <w:rFonts w:ascii="Google Sans" w:cs="Google Sans" w:eastAsia="Google Sans" w:hAnsi="Google Sans"/>
            <w:color w:val="000000"/>
            <w:u w:val="single"/>
            <w:rtl w:val="0"/>
          </w:rPr>
          <w:t xml:space="preserve">https://aisel.aisnet.org/misq/vol28/iss1/6/</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DEAL-X (n.d.). DEAL.JS: Engine configuration and native JavaScript passthrough. Software. Engine.cs, commit d76dcae3bf157e3969be0bd1f98ed2522defc2b9; accessed 19 October 2026. Available at: </w:t>
      </w:r>
      <w:hyperlink r:id="rId36">
        <w:r w:rsidDel="00000000" w:rsidR="00000000" w:rsidRPr="00000000">
          <w:rPr>
            <w:rFonts w:ascii="Google Sans" w:cs="Google Sans" w:eastAsia="Google Sans" w:hAnsi="Google Sans"/>
            <w:color w:val="000000"/>
            <w:u w:val="single"/>
            <w:rtl w:val="0"/>
          </w:rPr>
          <w:t xml:space="preserve">https://github.com/DEAL-X/DEAL-JS/blob/d76dcae3bf157e3969be0bd1f98ed2522defc2b9/DEAL.JS/Engine.cs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DEAL-X (n.d.). DEAL Engine: Generic compiler framework. Software. Version 8800695b1bbe6274f71f581473943ff7943d5036; accessed 19 October 2026. Available at: </w:t>
      </w:r>
      <w:hyperlink r:id="rId37">
        <w:r w:rsidDel="00000000" w:rsidR="00000000" w:rsidRPr="00000000">
          <w:rPr>
            <w:rFonts w:ascii="Google Sans" w:cs="Google Sans" w:eastAsia="Google Sans" w:hAnsi="Google Sans"/>
            <w:color w:val="000000"/>
            <w:u w:val="single"/>
            <w:rtl w:val="0"/>
          </w:rPr>
          <w:t xml:space="preserve">https://github.com/DEAL-X/Engine</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DEAL-X (n.d.). DEAL.JS: Tokenizer implementation. Software. Tokenizer.cs, commit d76dcae3bf157e3969be0bd1f98ed2522defc2b9; accessed 19 October 2026. Available at: </w:t>
      </w:r>
      <w:hyperlink r:id="rId38">
        <w:r w:rsidDel="00000000" w:rsidR="00000000" w:rsidRPr="00000000">
          <w:rPr>
            <w:rFonts w:ascii="Google Sans" w:cs="Google Sans" w:eastAsia="Google Sans" w:hAnsi="Google Sans"/>
            <w:color w:val="000000"/>
            <w:u w:val="single"/>
            <w:rtl w:val="0"/>
          </w:rPr>
          <w:t xml:space="preserve">https://github.com/DEAL-X/DEAL-JS/blob/d76dcae3bf157e3969be0bd1f98ed2522defc2b9/DEAL.JS/Tokenizer.cs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DEAL-X (n.d.). DEAL Engine: Generic engine implementation. Software. Engine.cs, commit 8800695b1bbe6274f71f581473943ff7943d5036; accessed 19 October 2026. Available at: </w:t>
      </w:r>
      <w:hyperlink r:id="rId39">
        <w:r w:rsidDel="00000000" w:rsidR="00000000" w:rsidRPr="00000000">
          <w:rPr>
            <w:rFonts w:ascii="Google Sans" w:cs="Google Sans" w:eastAsia="Google Sans" w:hAnsi="Google Sans"/>
            <w:color w:val="000000"/>
            <w:u w:val="single"/>
            <w:rtl w:val="0"/>
          </w:rPr>
          <w:t xml:space="preserve">https://github.com/DEAL-X/Engine/blob/8800695b1bbe6274f71f581473943ff7943d5036/Engine/Engine.cs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DEAL-X (n.d.). DEAL Environment: JavaScript execution host. Software. Version 9ef64b9ae94e1017273f9780a4466973b4d5747d; accessed 19 October 2026. Available at: </w:t>
      </w:r>
      <w:hyperlink r:id="rId40">
        <w:r w:rsidDel="00000000" w:rsidR="00000000" w:rsidRPr="00000000">
          <w:rPr>
            <w:rFonts w:ascii="Google Sans" w:cs="Google Sans" w:eastAsia="Google Sans" w:hAnsi="Google Sans"/>
            <w:color w:val="000000"/>
            <w:u w:val="single"/>
            <w:rtl w:val="0"/>
          </w:rPr>
          <w:t xml:space="preserve">https://github.com/DEAL-X/Environment</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DEAL-X (n.d.). DEAL.JS: Local resource commands. Software. local.djs, commit d76dcae3bf157e3969be0bd1f98ed2522defc2b9; accessed 19 October 2026. Available at: </w:t>
      </w:r>
      <w:hyperlink r:id="rId41">
        <w:r w:rsidDel="00000000" w:rsidR="00000000" w:rsidRPr="00000000">
          <w:rPr>
            <w:rFonts w:ascii="Google Sans" w:cs="Google Sans" w:eastAsia="Google Sans" w:hAnsi="Google Sans"/>
            <w:color w:val="000000"/>
            <w:u w:val="single"/>
            <w:rtl w:val="0"/>
          </w:rPr>
          <w:t xml:space="preserve">https://github.com/DEAL-X/DEAL-JS/blob/d76dcae3bf157e3969be0bd1f98ed2522defc2b9/Library/deal/data/local.djs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MDN contributors (n.d.). JavaScript guide: Using promises. Online technical documentation. Technical documentation; accessed 19 October 2026. Available at: </w:t>
      </w:r>
      <w:hyperlink r:id="rId42">
        <w:r w:rsidDel="00000000" w:rsidR="00000000" w:rsidRPr="00000000">
          <w:rPr>
            <w:rFonts w:ascii="Google Sans" w:cs="Google Sans" w:eastAsia="Google Sans" w:hAnsi="Google Sans"/>
            <w:color w:val="000000"/>
            <w:u w:val="single"/>
            <w:rtl w:val="0"/>
          </w:rPr>
          <w:t xml:space="preserve">https://developer.mozilla.org/en-US/docs/Web/JavaScript/Guide/Using_promises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DEAL-X (n.d.). DEAL.JS: Assembler implementation. Software. Assembler.cs, commit d76dcae3bf157e3969be0bd1f98ed2522defc2b9; accessed 19 October 2026. Available at: </w:t>
      </w:r>
      <w:hyperlink r:id="rId43">
        <w:r w:rsidDel="00000000" w:rsidR="00000000" w:rsidRPr="00000000">
          <w:rPr>
            <w:rFonts w:ascii="Google Sans" w:cs="Google Sans" w:eastAsia="Google Sans" w:hAnsi="Google Sans"/>
            <w:color w:val="000000"/>
            <w:u w:val="single"/>
            <w:rtl w:val="0"/>
          </w:rPr>
          <w:t xml:space="preserve">https://github.com/DEAL-X/DEAL-JS/blob/d76dcae3bf157e3969be0bd1f98ed2522defc2b9/DEAL.JS/Assembler.cs</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 Guo, P. J. (2018). Non-native english speakers learning computer programming: Barriers, desires, and design opportunities. Proceedings of the 2018 CHI conference on human factors in computing systems, pp. 396:1-396:14. DOI: 10.1145/3173574.3173970. Available at: </w:t>
      </w:r>
      <w:hyperlink r:id="rId44">
        <w:r w:rsidDel="00000000" w:rsidR="00000000" w:rsidRPr="00000000">
          <w:rPr>
            <w:rFonts w:ascii="Google Sans" w:cs="Google Sans" w:eastAsia="Google Sans" w:hAnsi="Google Sans"/>
            <w:color w:val="000000"/>
            <w:u w:val="single"/>
            <w:rtl w:val="0"/>
          </w:rPr>
          <w:t xml:space="preserve">https://pg.ucsd.edu/publications/non-native-english-speakers-learning-programming_CHI-2018.pdf</w:t>
        </w:r>
      </w:hyperlink>
      <w:r w:rsidDel="00000000" w:rsidR="00000000" w:rsidRPr="00000000">
        <w:rPr>
          <w:rFonts w:ascii="Google Sans" w:cs="Google Sans" w:eastAsia="Google Sans" w:hAnsi="Google Sans"/>
          <w:color w:val="1f1f1f"/>
          <w:rtl w:val="0"/>
        </w:rPr>
        <w:t xml:space="preserve">.</w:t>
      </w:r>
    </w:p>
    <w:sectPr>
      <w:footerReference w:type="default" r:id="rId52"/>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6671"/>
        <w:sz w:val="16"/>
      </w:rPr>
      <w:t xml:space="preserve">DEAL.JS manuscript  •  Page </w:t>
    </w:r>
    <w:fldSimple w:instr="PAG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69" w:lineRule="auto"/>
    </w:pPr>
    <w:rPr>
      <w:rFonts w:ascii="Times New Roman" w:hAnsi="Times New Roman" w:eastAsia="Times New Roman"/>
      <w:color w:val="232E3A"/>
      <w:sz w:val="22"/>
    </w:rPr>
  </w:style>
  <w:style w:type="paragraph" w:styleId="Heading1">
    <w:name w:val="heading 1"/>
    <w:basedOn w:val="Normal"/>
    <w:next w:val="Normal"/>
    <w:pPr>
      <w:keepNext/>
      <w:pBdr>
        <w:top w:space="0" w:sz="0" w:val="nil"/>
        <w:left w:space="0" w:sz="0" w:val="nil"/>
        <w:bottom w:space="0" w:sz="0" w:val="nil"/>
        <w:right w:space="0" w:sz="0" w:val="nil"/>
        <w:between w:space="0" w:sz="0" w:val="nil"/>
      </w:pBdr>
      <w:shd w:fill="auto" w:val="clear"/>
      <w:spacing w:after="100" w:before="240" w:lineRule="auto"/>
    </w:pPr>
    <w:rPr>
      <w:rFonts w:ascii="Times New Roman" w:hAnsi="Times New Roman" w:eastAsia="Times New Roman"/>
      <w:b/>
      <w:bCs w:val="1"/>
      <w:i w:val="0"/>
      <w:iCs w:val="0"/>
      <w:color w:val="17324D"/>
      <w:sz w:val="30"/>
      <w:szCs w:val="48"/>
    </w:rPr>
  </w:style>
  <w:style w:type="paragraph" w:styleId="Heading2">
    <w:name w:val="heading 2"/>
    <w:basedOn w:val="Normal"/>
    <w:next w:val="Normal"/>
    <w:pPr>
      <w:keepNext/>
      <w:pBdr>
        <w:top w:space="0" w:sz="0" w:val="nil"/>
        <w:left w:space="0" w:sz="0" w:val="nil"/>
        <w:bottom w:space="0" w:sz="0" w:val="nil"/>
        <w:right w:space="0" w:sz="0" w:val="nil"/>
        <w:between w:space="0" w:sz="0" w:val="nil"/>
      </w:pBdr>
      <w:shd w:fill="auto" w:val="clear"/>
      <w:spacing w:after="100" w:before="240" w:lineRule="auto"/>
    </w:pPr>
    <w:rPr>
      <w:rFonts w:ascii="Times New Roman" w:hAnsi="Times New Roman" w:eastAsia="Times New Roman"/>
      <w:b/>
      <w:bCs w:val="1"/>
      <w:i w:val="0"/>
      <w:iCs w:val="0"/>
      <w:color w:val="236C72"/>
      <w:sz w:val="24"/>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keepLines w:val="1"/>
      <w:pageBreakBefore w:val="0"/>
      <w:spacing w:after="100" w:before="0" w:lineRule="auto"/>
    </w:pPr>
    <w:rPr>
      <w:rFonts w:ascii="Times New Roman" w:hAnsi="Times New Roman" w:eastAsia="Times New Roman"/>
      <w:b/>
      <w:bCs w:val="1"/>
      <w:color w:val="17324D"/>
      <w:sz w:val="4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DEAL-X/Environment/tree/9ef64b9ae94e1017273f9780a4466973b4d5747d" TargetMode="External"/><Relationship Id="rId20" Type="http://schemas.openxmlformats.org/officeDocument/2006/relationships/hyperlink" Target="https://link.springer.com/article/10.1007/s11219-023-09631-7" TargetMode="External"/><Relationship Id="rId42" Type="http://schemas.openxmlformats.org/officeDocument/2006/relationships/hyperlink" Target="https://developer.mozilla.org/en-US/docs/Web/JavaScript/Guide/Using_promises" TargetMode="External"/><Relationship Id="rId41" Type="http://schemas.openxmlformats.org/officeDocument/2006/relationships/hyperlink" Target="https://github.com/DEAL-X/DEAL-JS/blob/d76dcae3bf157e3969be0bd1f98ed2522defc2b9/Library/deal/data/local.djs" TargetMode="External"/><Relationship Id="rId22" Type="http://schemas.openxmlformats.org/officeDocument/2006/relationships/hyperlink" Target="https://www.sciencedirect.com/science/article/pii/S0950584923001544" TargetMode="External"/><Relationship Id="rId44" Type="http://schemas.openxmlformats.org/officeDocument/2006/relationships/hyperlink" Target="https://pg.ucsd.edu/publications/non-native-english-speakers-learning-programming_CHI-2018.pdf" TargetMode="External"/><Relationship Id="rId21" Type="http://schemas.openxmlformats.org/officeDocument/2006/relationships/hyperlink" Target="https://history.futureofcoding.org/history/msg_files/F6R/F6R1A64AF.pdf" TargetMode="External"/><Relationship Id="rId43" Type="http://schemas.openxmlformats.org/officeDocument/2006/relationships/hyperlink" Target="https://github.com/DEAL-X/DEAL-JS/blob/d76dcae3bf157e3969be0bd1f98ed2522defc2b9/DEAL.JS/Assembler.cs" TargetMode="External"/><Relationship Id="rId24" Type="http://schemas.openxmlformats.org/officeDocument/2006/relationships/hyperlink" Target="https://hyperscript.org/" TargetMode="External"/><Relationship Id="rId23" Type="http://schemas.openxmlformats.org/officeDocument/2006/relationships/hyperlink" Target="https://www.sciencedirect.com/science/article/abs/pii/S09505849250009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107.03374" TargetMode="External"/><Relationship Id="rId26" Type="http://schemas.openxmlformats.org/officeDocument/2006/relationships/hyperlink" Target="https://docs.livecode.com/docs/LiveCode%20Script/Control%20Structures/repeat/" TargetMode="External"/><Relationship Id="rId25" Type="http://schemas.openxmlformats.org/officeDocument/2006/relationships/hyperlink" Target="https://hyperscript.org/reference/" TargetMode="External"/><Relationship Id="rId28" Type="http://schemas.openxmlformats.org/officeDocument/2006/relationships/hyperlink" Target="https://www.ra.ethz.ch/cdstore/www7/1832/com1832.htm" TargetMode="External"/><Relationship Id="rId27" Type="http://schemas.openxmlformats.org/officeDocument/2006/relationships/hyperlink" Target="https://doi.org/10.1145/2076021.2048099" TargetMode="External"/><Relationship Id="rId5" Type="http://schemas.openxmlformats.org/officeDocument/2006/relationships/styles" Target="styles.xml"/><Relationship Id="rId6" Type="http://schemas.openxmlformats.org/officeDocument/2006/relationships/hyperlink" Target="https://researchdiscovery.drexel.edu/esploro/outputs/journalArticle/The-State-of-the-Art-in/991019167334204721" TargetMode="External"/><Relationship Id="rId29" Type="http://schemas.openxmlformats.org/officeDocument/2006/relationships/hyperlink" Target="https://arxiv.org/abs/1207.0246" TargetMode="External"/><Relationship Id="rId7" Type="http://schemas.openxmlformats.org/officeDocument/2006/relationships/hyperlink" Target="https://doi.org/10.1016/j.jss.2018.11.041" TargetMode="External"/><Relationship Id="rId8" Type="http://schemas.openxmlformats.org/officeDocument/2006/relationships/hyperlink" Target="https://dl.acm.org/doi/pdf/10.1145/3491101.3519665" TargetMode="External"/><Relationship Id="rId31" Type="http://schemas.openxmlformats.org/officeDocument/2006/relationships/hyperlink" Target="https://aclanthology.org/2021.emnlp-main.779/" TargetMode="External"/><Relationship Id="rId30" Type="http://schemas.openxmlformats.org/officeDocument/2006/relationships/hyperlink" Target="https://proceedings.mlr.press/v202/gao23f.html" TargetMode="External"/><Relationship Id="rId11" Type="http://schemas.openxmlformats.org/officeDocument/2006/relationships/hyperlink" Target="https://github.com/DEAL-X/DEAL-JS/tree/d76dcae3bf157e3969be0bd1f98ed2522defc2b9" TargetMode="External"/><Relationship Id="rId33" Type="http://schemas.openxmlformats.org/officeDocument/2006/relationships/hyperlink" Target="https://arxiv.org/html/2610.08651v1" TargetMode="External"/><Relationship Id="rId10" Type="http://schemas.openxmlformats.org/officeDocument/2006/relationships/hyperlink" Target="https://proceedings.neurips.cc/paper_files/paper/2023/hash/43e9d647ccd3e4b7b5baab53f0368686-Abstract-Conference.html" TargetMode="External"/><Relationship Id="rId32" Type="http://schemas.openxmlformats.org/officeDocument/2006/relationships/hyperlink" Target="https://aclanthology.org/2023.emnlp-main.674/" TargetMode="External"/><Relationship Id="rId13" Type="http://schemas.openxmlformats.org/officeDocument/2006/relationships/hyperlink" Target="https://www.spinellis.gr/pubs/jrnl/2000-JSS-DSLPatterns/html/dslpat.html" TargetMode="External"/><Relationship Id="rId35" Type="http://schemas.openxmlformats.org/officeDocument/2006/relationships/hyperlink" Target="https://aisel.aisnet.org/misq/vol28/iss1/6/" TargetMode="External"/><Relationship Id="rId12" Type="http://schemas.openxmlformats.org/officeDocument/2006/relationships/hyperlink" Target="https://aclanthology.org/J14-1005/" TargetMode="External"/><Relationship Id="rId34" Type="http://schemas.openxmlformats.org/officeDocument/2006/relationships/hyperlink" Target="https://docs.python.org/3/tutorial/controlflow.html" TargetMode="External"/><Relationship Id="rId15" Type="http://schemas.openxmlformats.org/officeDocument/2006/relationships/hyperlink" Target="https://arxiv.org/abs/1702.08608" TargetMode="External"/><Relationship Id="rId37" Type="http://schemas.openxmlformats.org/officeDocument/2006/relationships/hyperlink" Target="https://github.com/DEAL-X/Engine/tree/8800695b1bbe6274f71f581473943ff7943d5036" TargetMode="External"/><Relationship Id="rId14" Type="http://schemas.openxmlformats.org/officeDocument/2006/relationships/hyperlink" Target="https://vis.csail.mit.edu/classes/6.859/readings/pdfs/Lipton-TheMythosOfModelInterpretability.pdf" TargetMode="External"/><Relationship Id="rId36" Type="http://schemas.openxmlformats.org/officeDocument/2006/relationships/hyperlink" Target="https://github.com/DEAL-X/DEAL-JS/blob/d76dcae3bf157e3969be0bd1f98ed2522defc2b9/DEAL.JS/Engine.cs" TargetMode="External"/><Relationship Id="rId17" Type="http://schemas.openxmlformats.org/officeDocument/2006/relationships/hyperlink" Target="https://journals.plos.org/ploscompbiol/article?id=10.1371/journal.pcbi.1003285" TargetMode="External"/><Relationship Id="rId39" Type="http://schemas.openxmlformats.org/officeDocument/2006/relationships/hyperlink" Target="https://github.com/DEAL-X/Engine/blob/8800695b1bbe6274f71f581473943ff7943d5036/Engine/Engine.cs" TargetMode="External"/><Relationship Id="rId16" Type="http://schemas.openxmlformats.org/officeDocument/2006/relationships/hyperlink" Target="https://www.nature.com/articles/s42256-019-0048-x" TargetMode="External"/><Relationship Id="rId38" Type="http://schemas.openxmlformats.org/officeDocument/2006/relationships/hyperlink" Target="https://github.com/DEAL-X/DEAL-JS/blob/d76dcae3bf157e3969be0bd1f98ed2522defc2b9/DEAL.JS/Tokenizer.cs" TargetMode="External"/><Relationship Id="rId19" Type="http://schemas.openxmlformats.org/officeDocument/2006/relationships/hyperlink" Target="https://eric.ed.gov/?id=EJ1042402" TargetMode="External"/><Relationship Id="rId18" Type="http://schemas.openxmlformats.org/officeDocument/2006/relationships/hyperlink" Target="https://www.nature.com/articles/sdata201618" TargetMode="External"/><Relationship Id="rId45" Type="http://schemas.openxmlformats.org/officeDocument/2006/relationships/image" Target="media/image1.png"/><Relationship Id="rId46" Type="http://schemas.openxmlformats.org/officeDocument/2006/relationships/image" Target="media/image2.png"/><Relationship Id="rId47" Type="http://schemas.openxmlformats.org/officeDocument/2006/relationships/image" Target="media/image3.png"/><Relationship Id="rId48" Type="http://schemas.openxmlformats.org/officeDocument/2006/relationships/image" Target="media/image4.png"/><Relationship Id="rId49" Type="http://schemas.openxmlformats.org/officeDocument/2006/relationships/image" Target="media/image5.png"/><Relationship Id="rId50" Type="http://schemas.openxmlformats.org/officeDocument/2006/relationships/image" Target="media/image6.png"/><Relationship Id="rId51" Type="http://schemas.openxmlformats.org/officeDocument/2006/relationships/image" Target="media/image7.png"/><Relationship Id="rId5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DEAL.JS: An Extensible Language for Inspectable Human–AI Research Programming</dc:title>
  <cp:lastModifiedBy>python-docx</cp:lastModifiedBy>
  <cp:revision>1</cp:revision>
  <dcterms:modified xsi:type="dcterms:W3CDTF">2026-10-23T06:38:53Z</dcterms:modified>
  <dc:subject>Language design, source-to-source compilation, and synthetic case validation</dc:subject>
  <dc:creator>Mohammad Fathi; Mehrdad CheshmeSohrabi; Ahmad Shabani; Ali Mansouri</dc:creator>
  <cp:keywords>DEAL.JS, research programming, domain-specific language, reproducibility, AI-assisted programming</cp:keywords>
</cp:coreProperties>
</file>