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DEAL.JS: An Extensible Language for Inspectable Human–AI Research Programming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Mohammad Fathi; Mehrdad CheshmeSohrabi; Ahmad Shabani; Ali Mansouri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Department of Knowledge and Information Science, University of Isfahan, Isfahan, Iran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Context: AI-assisted programming can substantially reduce the distance between a researcher’s conceptual intent and executable software. However, generated implementations frequently remain difficult to audit: the scientific rationale, the program logic, and the execution environment may be distributed across natural-language prompts, opaque code, and heterogeneous runtime dependencies. This fragmentation impedes reproducibility, independent review, and responsible reuse of AI-assisted research software.</w:t>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Objectives: This study introduces DEAL (Declarative and Extensible Abstract Language) and its JavaScript-oriented realization, DEAL.JS. The approach provides a shared, inspectable representation in which researchers, AI systems, and conventional JavaScript runtimes operate on the same program artifact. The study examines how explicit structures, domain commands, adaptable vocabulary, contextual handlers, and embedded JavaScript can be integrated without sacrificing executable precision or human reviewability.</w:t>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Methods: We employ a design-science approach to specify the DEAL language model and a five-stage source-to-source compilation pipeline comprising tokenization, preprocessing, parsing, assembly, and JavaScript code generation. We further define modular mechanisms for vocabulary extension, contextual handlers, resource loading, and native JavaScript interoperability. A deterministic research-data extraction case, based on a five-record synthetic catalog and 19 validation assertions, demonstrates end-to-end composition of acquisition, extraction, normalization, validation, derived-variable computation, deduplication, and persistence.</w:t>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Results: DEAL.JS integrates explicit control structures, reusable domain commands, configurable vocabulary, contextual handlers, and embedded JavaScript within a staged compilation architecture. The case study passes all 19 specified assertions and yields two accepted records and three deterministically rejected records: one duplicate identifier, one missing price, and one out-of-range discount. The results demonstrate that domain-level review and executable implementation can be connected through a stable, inspectable program representation.</w:t>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Conclusion: DEAL.JS provides a practical foundation for inspectable human–AI research programming. By separating human-facing vocabulary from canonical program structure and executable behavior, it makes extension decisions, data exclusions, dependencies, and runtime effects more visible. The framework supports rigorous future evaluation of comprehension, AI-assisted generation, localization, backend portability, and operational cost, while preserving the transparency required for reproducible research software.</w:t>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Keywords:</w:t>
      </w:r>
      <w:r w:rsidDel="00000000" w:rsidR="00000000" w:rsidRPr="00000000">
        <w:rPr>
          <w:rFonts w:ascii="Google Sans" w:cs="Google Sans" w:eastAsia="Google Sans" w:hAnsi="Google Sans"/>
          <w:color w:val="1f1f1f"/>
          <w:rtl w:val="0"/>
        </w:rPr>
        <w:t xml:space="preserve"> human–AI collaboration; controlled languages; end-user programming; extensibility; compilation; reproducibility; web extraction.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Research programming occupies a distinctive position in software engineering: the person who defines a scientific procedure is often not a professional software developer, yet the resulting code must satisfy standards of correctness, transparency, and reproducibility comparable to those expected of research infrastructure. This mismatch creates a persistent gap between the conceptual clarity of a research design and the technical opacity of its implementation.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AI-assisted code generation has altered how software is produced, but it has not removed the need for human comprehension. Researchers must still determine whether an implementation faithfully encodes inclusion criteria, transformations, exclusions, and analytical assumptions. When these decisions are embedded in generated code or dispersed across conversational exchanges, review becomes difficult and the provenance of scientific conclusions weakens.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DEAL addresses this problem by providing a common representation built from constrained, natural-language-like instructions, reusable domain commands, explicit structures, and direct access to JavaScript. Its objective is not to replace general-purpose programming languages, but to make the scientifically meaningful decisions in a workflow explicit, reviewable, and executable within a conventional runtime.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The design draws on controlled natural languages, domain-specific language engineering, and research on end-user programming. Its principal contribution is integrative: it combines a stable structural language, extensible domain vocabulary, JavaScript interoperability, and an inspectable compilation pipeline into a single artifact for human–AI research programming.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article delivers five distinct contributions: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Formulating a shared executable representation connecting researchers, AI systems, and conventional runtimes.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Presenting the language model and compilation architecture, detailing explicit declarations and JavaScript interoperability.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Demonstrating how acquisition, extraction, preprocessing, validation, and storage compose into a reviewable research workflow.</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Establishing semantic conditions governing vocabulary localization and backend reuse.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Constructing an evaluation framework that clearly separates translation correctness, application behavior, human comprehension, AI generation, and operational cost.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guiding research questions shape this study:</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RQ1:</w:t>
      </w:r>
      <w:r w:rsidDel="00000000" w:rsidR="00000000" w:rsidRPr="00000000">
        <w:rPr>
          <w:rFonts w:ascii="Google Sans" w:cs="Google Sans" w:eastAsia="Google Sans" w:hAnsi="Google Sans"/>
          <w:color w:val="1f1f1f"/>
          <w:rtl w:val="0"/>
        </w:rPr>
        <w:t xml:space="preserve"> Which representation and compiler mechanisms connect domain-level review with executable implementation?</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RQ2:</w:t>
      </w:r>
      <w:r w:rsidDel="00000000" w:rsidR="00000000" w:rsidRPr="00000000">
        <w:rPr>
          <w:rFonts w:ascii="Google Sans" w:cs="Google Sans" w:eastAsia="Google Sans" w:hAnsi="Google Sans"/>
          <w:color w:val="1f1f1f"/>
          <w:rtl w:val="0"/>
        </w:rPr>
        <w:t xml:space="preserve"> Under what explicit conditions can vocabulary adaptation and alternative backends preserve observable behavior?</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RQ3:</w:t>
      </w:r>
      <w:r w:rsidDel="00000000" w:rsidR="00000000" w:rsidRPr="00000000">
        <w:rPr>
          <w:rFonts w:ascii="Google Sans" w:cs="Google Sans" w:eastAsia="Google Sans" w:hAnsi="Google Sans"/>
          <w:color w:val="1f1f1f"/>
          <w:rtl w:val="0"/>
        </w:rPr>
        <w:t xml:space="preserve"> How can acquisition, extraction, preprocessing, and persistence be composed into a reviewable research workflow?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RQ1 is addressed through the language model and compilation architecture, RQ2 through conditional semantic contracts, and RQ3 through our worked application and its data-contract validation. The broader impacts of these mechanisms on researcher comprehension and AI-generation success remain distinct empirical inquiries.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problem and design rationale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forms of opacity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black-box dilemma manifests at multiple levels within an AI-assisted research architecture. At the neural model level, interpretability concerns the intricate relationship between learned computations, predictions, and post-hoc explanations—properties that literature warns against conflating. The distinction between an inherently interpretable model and a supplementary explanation attached to an opaque predictor is especially critical for high-stakes decisions. A programming language operates at a complementary, equally vital level: it defines the explicit, auditable procedure through which data are acquired, transformed, analyzed, and stored.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We distinguish three forms of opacity: model opacity, arising from the internal computation of learned systems; program opacity, arising from the procedure encoded in source code; and workflow opacity, arising from fragile connections among data sources, transformations, dependencies, execution environments, and stored outputs. DEAL primarily targets the latter two forms by making program structure, data contracts, and execution boundaries explicit.</w:t>
      </w:r>
      <w:r w:rsidDel="00000000" w:rsidR="00000000" w:rsidRPr="00000000">
        <w:rPr>
          <w:rFonts w:ascii="Google Sans" w:cs="Google Sans" w:eastAsia="Google Sans" w:hAnsi="Google Sans"/>
          <w:i w:val="1"/>
          <w:iCs w:val="1"/>
          <w:color w:val="1f1f1f"/>
          <w:rtl w:val="0"/>
        </w:rPr>
      </w:r>
      <w:r w:rsidDel="00000000" w:rsidR="00000000" w:rsidRPr="00000000">
        <w:rPr>
          <w:rFonts w:ascii="Google Sans" w:cs="Google Sans" w:eastAsia="Google Sans" w:hAnsi="Google Sans"/>
          <w:color w:val="1f1f1f"/>
          <w:rtl w:val="0"/>
        </w:rPr>
      </w:r>
      <w:r w:rsidDel="00000000" w:rsidR="00000000" w:rsidRPr="00000000">
        <w:rPr>
          <w:rFonts w:ascii="Google Sans" w:cs="Google Sans" w:eastAsia="Google Sans" w:hAnsi="Google Sans"/>
          <w:i w:val="1"/>
          <w:iCs w:val="1"/>
          <w:color w:val="1f1f1f"/>
          <w:rtl w:val="0"/>
        </w:rPr>
      </w:r>
      <w:r w:rsidDel="00000000" w:rsidR="00000000" w:rsidRPr="00000000">
        <w:rPr>
          <w:rFonts w:ascii="Google Sans" w:cs="Google Sans" w:eastAsia="Google Sans" w:hAnsi="Google Sans"/>
          <w:color w:val="1f1f1f"/>
          <w:rtl w:val="0"/>
        </w:rPr>
      </w:r>
      <w:r w:rsidDel="00000000" w:rsidR="00000000" w:rsidRPr="00000000">
        <w:rPr>
          <w:rFonts w:ascii="Google Sans" w:cs="Google Sans" w:eastAsia="Google Sans" w:hAnsi="Google Sans"/>
          <w:i w:val="1"/>
          <w:iCs w:val="1"/>
          <w:color w:val="1f1f1f"/>
          <w:rtl w:val="0"/>
        </w:rPr>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This distinction determines what the system must expose. Reviewers should be able to identify which observations enter an analysis, which transformations modify them, which criteria cause records to be excluded, which dependencies affect execution, and which outputs are persisted. DEAL therefore treats inspectability as an architectural requirement rather than a post hoc documentation task.</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communication gap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The proposed workflow assigns complementary responsibilities to researchers, AI systems, and the runtime. The researcher defines scientific objectives, evaluates domain vocabulary, and approves or rejects proposed changes; the AI system drafts, revises, and explains candidate programs; and the runtime executes the approved artifact under explicit environmental constraints. This division preserves human authority over scientific meaning while enabling productive machine assistance.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Figure 1 illustrates this collaborative review-and-execution loop. Its governing invariant is </w:t>
      </w:r>
      <w:r w:rsidDel="00000000" w:rsidR="00000000" w:rsidRPr="00000000">
        <w:rPr>
          <w:rFonts w:ascii="Google Sans" w:cs="Google Sans" w:eastAsia="Google Sans" w:hAnsi="Google Sans"/>
          <w:i w:val="1"/>
          <w:iCs w:val="1"/>
          <w:color w:val="1f1f1f"/>
          <w:rtl w:val="0"/>
        </w:rPr>
        <w:t xml:space="preserve">artifact identity</w:t>
      </w:r>
      <w:r w:rsidDel="00000000" w:rsidR="00000000" w:rsidRPr="00000000">
        <w:rPr>
          <w:rFonts w:ascii="Google Sans" w:cs="Google Sans" w:eastAsia="Google Sans" w:hAnsi="Google Sans"/>
          <w:color w:val="1f1f1f"/>
          <w:rtl w:val="0"/>
        </w:rPr>
        <w:t xml:space="preserve">: the approved source code, generated target code, and execution records must point to the exact same program configuration. This loop gracefully accommodates revision, ensuring that any disagreement can be precisely isolated to a domain rule, a command implementation, a translation step, or an execution condition.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1. Shared executable representation linking researcher intent, AI-assisted revision, and target execution. The review loop preserves the connection between the approved program and its operational interpretation. AI assistance: Perplexity Computer (GPT 6.1 Sol), SVG-code preparation.</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Objectives and requirements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Seven objectives guide the language design: reviewable intent, precise execution, incremental adoption, domain reuse, adaptable vocabulary, reproducibility, and cross-language reuse of the core model. Table 1 relates each objective to its supporting mechanism and to the evidence required to assess it.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Design objectives, corresponding mechanisms, and evaluation criteria.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DEAL design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Criterion for evaluation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Reviewable research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commands and explicit control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comprehension and detection of seeded semantic errors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Precise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Constrained grammar and target-source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Agreement with independently specified observable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Incremental adoption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Ordinary JavaScript alongside DEAL instructions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Completion of mixed-source tasks without unnecessary rewrites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Reusable domain knowledge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Commands and importable modules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Reuse across tasks with documented input/output contracts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Adaptable human vocabulary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Replacement reserves and optional readability 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equivalence across vocabulary configurations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 reproducibility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Executable workflow plus versioned inputs and dependencies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Re-execution from archived materials with matching relevant outputs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Cross-language reuse of the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Separation of language concepts from backend implementation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behavior on a declared portable subset</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Reproducible computational research requires careful recording of inputs, program versions, parameters, dependencies, and intermediate outputs. Executable workflow descriptions reduce divergence between documentation and implemented behavior by making the operative procedure itself the primary reviewable object [12,13].</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Related work and comparative positioning</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Controlled language and programming accessibility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Controlled natural languages deliberately restrict vocabulary and grammar to reconcile human accessibility with formal precision [7]. DEAL extends this principle to research programming: familiar terms acquire precise structural roles, while domain modules govern their interpretation and compilation.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Syntax is a legitimate design choice, though not a standalone guarantor of usability. Stefik and Siebert demonstrated empirical differences in novice performance across diverse programming syntaxes, advocating for evidence-based rather than tradition-based design. A subsequent replication reinforced that while some familiar keywords can be intuitive, intuitive wording alone does not make general programming effortless. Consequently, DEAL’s readability must be measured through concrete comprehension and editing tasks rather than assumed from familiar terminology.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Cognitive Dimensions framework identifies closeness of mapping, hidden dependencies, diffuseness, and error-proneness as critical dimensions of notation design. These dimensions highlight a fundamental trade-off in DEAL: while a domain command can shorten the distance between a scientific concept and its implementation, contextual state can sometimes obscure dependencies. Thus, vocabulary adaptation must preserve clear pathways to canonical operations and their formal contracts.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systematic review of programmers’ mental models connects program comprehension with information needs, available evidence, prior knowledge, mental simulation, and behavioral reasoning. This reinforces our focus on evaluating whether a human reviewer forms an accurate behavioral model of a DEAL program, rather than merely checking whether its keywords sound conversational.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SmellDSL offers a valuable methodological precedent by examining specification effort, correctness, and error rates for domain-specific notations. For DEAL, parallel metrics concern the precision with which researchers comprehend and refine data workflows, embedding our work firmly within empirical software engineering evaluation.</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English-like scripting and extensible languages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_hyperscript serves as a close comparator by uniting English-like, HyperTalk-inspired syntax with first-class DOM selectors, asynchronous transparency, and JavaScript extensibility. Its collection loops, fetching mechanics, and JavaScript interoperability illustrate that readable web interaction is a well-established design direction. DEAL’s unique contribution is a shared research-program artifact centered on explicit target-source generation and granular vocabulary configuration, rather than an ambition to invent English-like web commands.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LiveCode provides another notable precedent for command-oriented programming and explicit block structures. Its repeat for each constructs handle text chunks, array elements, and array keys. These constructs highlight why readability must be evaluated at the level of data representation and task semantics: iterating over comma-delimited text versus navigating a structured array are fundamentally distinct operations.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SugarJ explores a different design space: imported sugar libraries introduce custom grammar productions and desugaring rules, composing extensions directly within a host language. DEAL’s RESERVE mechanism represents a lighter, more focused vocabulary adaptation strategy tailored for an established structural language. This comparison emphasizes lightweight extension boundaries and minimal implementation overhead, rather than claiming lexical aliases possess the expressive power of arbitrary grammar rewriting.</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extraction and executable AI reasoning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WebL established web-document processing as a first-class language task, merging service combinators for retrieval with a markup algebra for extraction and manipulation. A comprehensive survey by Ferrara et al. documents the wide landscape of web data extraction and techniques for cross-domain reuse. Web scraping thus serves as a rigorous, demanding application domain through which to demonstrate DEAL’s integration capabilities, rather than constituting a novel extraction contribution in its own right.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 provides an important human–AI architectural precedent: a language model generates a program, and a conventional interpreter executes the resulting computation. Meanwhile, PICARD and grammar-constrained decoding illustrate how formal syntactic restrictions can guide language model outputs toward structurally valid representations. DEAL offers a natural, highly suitable representation for such integrations without assuming that foundation models inherently generate DEAL code more accurately than traditional languages.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Ensuring trust in AI-written software also depends on the complex interplay between human oversight mechanisms and validation evidence. A recent single-case preprint examines these dynamics while highlighting the practical limits of supervision. DEAL contributes a vital representational building block to this broader challenge: an explicit program against which both human intent and machine behavior can be rigorously verified.</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Limitations addressed by the integrated design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Existing programming languages tackle different fragments of the software engineering puzzle. General-purpose languages offer deep ecosystems and raw expressive power; English-like scripting languages prioritize human readability; extensible languages enable custom syntax; and extraction languages specialize in web operations. Table 2 details the specific integration challenge addressed by DEAL, which combines structural notation, domain commands, adaptable vocabulary, and seamless JavaScript interoperability.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Established approaches and the integration problem addressed by DEAL.</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Approach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Established strength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 otherwise left to the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DEAL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JavaScript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Target-language execution and rich host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Organize low-level operations into a research-facing review vocabulary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domain commands over inspectable target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sequence iteration and conventional program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Coordinate library-specific APIs and distinguish workflow intent from implementation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 a common command-oriented orchestration surface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_hyperscript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English-like web scripting, selectors, async transparency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research-specific data contracts and provenance conventions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Emphasize a versioned research program and generated target artifact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LiveCode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Human-oriented commands and chunk/array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Reconcile its execution and data model with a JavaScript-oriented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a mixed-JavaScript adoption path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SugarJ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Composable syntax extensions and desugaring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 grammar extensions when only vocabulary adaptation is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Separate lightweight vocabulary changes from structural grammar changes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web retrieval and markup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 extraction notation to a broader human–AI review and localization workflow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Treat extraction as one reusable domain module</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The contribution of DEAL is therefore architectural rather than a claim that prior languages lacked readability or modularity. General-purpose languages remain indispensable for expressive power and ecosystem support; DEAL contributes a shared, reviewable layer that connects research intent, AI-assisted authoring, and conventional execution.</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design and analytical framework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study embraces a design-science paradigm, connecting a tangible research-programming challenge to a formal language artifact, its governing rationale, and an illustrative application demonstration. The primary unit of analysis is the </w:t>
      </w:r>
      <w:r w:rsidDel="00000000" w:rsidR="00000000" w:rsidRPr="00000000">
        <w:rPr>
          <w:rFonts w:ascii="Google Sans" w:cs="Google Sans" w:eastAsia="Google Sans" w:hAnsi="Google Sans"/>
          <w:i w:val="1"/>
          <w:iCs w:val="1"/>
          <w:color w:val="1f1f1f"/>
          <w:rtl w:val="0"/>
        </w:rPr>
        <w:t xml:space="preserve">executable workflow</w:t>
      </w:r>
      <w:r w:rsidDel="00000000" w:rsidR="00000000" w:rsidRPr="00000000">
        <w:rPr>
          <w:rFonts w:ascii="Google Sans" w:cs="Google Sans" w:eastAsia="Google Sans" w:hAnsi="Google Sans"/>
          <w:color w:val="1f1f1f"/>
          <w:rtl w:val="0"/>
        </w:rPr>
        <w:t xml:space="preserve">: a program where domain operations, control flow, data decisions, and execution side-effects can be audited in unison. Our analysis carefully separates the inherent properties of the representation from behavioral outcomes that require direct empirical or comparative experimentation.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The primary artifact is a functional JavaScript-targeting implementation of DEAL. The study examines its language model, compilation architecture, extension mechanisms, and application behavior; it does not claim that the current implementation constitutes a complete empirical evaluation of all intended benefits.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The application component uses a synthetic catalog to demonstrate end-to-end composition from retrieval to persistent storage. Five representative records exercise valid transformation, duplicate identification, missing numeric data, boundary-value validation, provenance capture, serialization, and in-memory persistence. The fixture is deterministic and therefore supports exact replication of the reported validation outcomes.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The case-study helper functions and test harness were prepared with assistance from Perplexity Computer (GPT 6.1 Sol). All inputs, transformation rules, code snippets, expected outputs, and recorded validation results are included in the accompanying research materials to support independent inspection and replication.</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design and syntax</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principles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Five foundational principles guide our language design: </w:t>
      </w:r>
      <w:r w:rsidDel="00000000" w:rsidR="00000000" w:rsidRPr="00000000">
        <w:rPr>
          <w:rFonts w:ascii="Google Sans" w:cs="Google Sans" w:eastAsia="Google Sans" w:hAnsi="Google Sans"/>
          <w:i w:val="1"/>
          <w:iCs w:val="1"/>
          <w:color w:val="1f1f1f"/>
          <w:rtl w:val="0"/>
        </w:rPr>
        <w:t xml:space="preserve">intent-oriented abstraction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explicit compilation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hybrid interoperability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modular extensibility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reusable operations</w:t>
      </w:r>
      <w:r w:rsidDel="00000000" w:rsidR="00000000" w:rsidRPr="00000000">
        <w:rPr>
          <w:rFonts w:ascii="Google Sans" w:cs="Google Sans" w:eastAsia="Google Sans" w:hAnsi="Google Sans"/>
          <w:color w:val="1f1f1f"/>
          <w:rtl w:val="0"/>
        </w:rPr>
        <w:t xml:space="preserve">. These principles distribute review responsibilities fairly rather than promising a universally effortless notation. A domain expert must inspect the scientific validity of the operation and data policy; a language implementer must guarantee precise semantic preservation; and a host integrator must provide the necessary runtime resources.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Although the term “declarative” appears in its name, DEAL.JS supports sequencing, iteration, assignment, conditional execution, and embedded JavaScript within the same source file. Its declarative character lies in the explicit separation between researcher-facing intent and machine-oriented implementation, rather than in the exclusion of imperative constructs.</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four-part language model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 is organized around four complementary concepts: </w:t>
      </w:r>
      <w:r w:rsidDel="00000000" w:rsidR="00000000" w:rsidRPr="00000000">
        <w:rPr>
          <w:rFonts w:ascii="Google Sans" w:cs="Google Sans" w:eastAsia="Google Sans" w:hAnsi="Google Sans"/>
          <w:i w:val="1"/>
          <w:iCs w:val="1"/>
          <w:color w:val="1f1f1f"/>
          <w:rtl w:val="0"/>
        </w:rPr>
        <w:t xml:space="preserve">structures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commands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reserves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handlers</w:t>
      </w:r>
      <w:r w:rsidDel="00000000" w:rsidR="00000000" w:rsidRPr="00000000">
        <w:rPr>
          <w:rFonts w:ascii="Google Sans" w:cs="Google Sans" w:eastAsia="Google Sans" w:hAnsi="Google Sans"/>
          <w:color w:val="1f1f1f"/>
          <w:rtl w:val="0"/>
        </w:rPr>
        <w:t xml:space="preserve">, with conventional JavaScript fully accessible alongside them. Structures define computation and control flow, commands encapsulate domain operations, reserves adapt human vocabulary, and handlers provide contextual access to the active workspace. Table 3 summarizes the constructs most relevant to research automation.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Core language mechanisms and representative syntax.</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Representative syntax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Computational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Declaration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ASSUME CONST threshold IS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Bind a constant; alternative forms select let or var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Branching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condition, procedure; ELSE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 conditional logic explicit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EACH item OF items,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Iterate over collection items (IN denotes distinct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Conditional repetition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condition,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Repeat while a condition holds (do ... while available in JS)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 ... END; or DO ...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Delimit a procedure block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Callable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DOING ...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 an encapsulated, reusable computation block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handling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TRY ... CATCH err, ... FINALLY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Separate normal execution, error recovery, and cleanup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Continuations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THEN, OTHERWISE, ANYWAY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 success, rejection, and finalization paths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Promise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WILL procedure THEN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 a promise-oriented asynchronous computation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 command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 clean(value = "") { ...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a reusable custom operation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Definition command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 settings = { ...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a reusable value or configuration object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 command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task BEGIN ...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 and immediately execute a repeatable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Delegation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 #dataset =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a case-adapted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Vocabulary replacement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RESERVE into AS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human vocabulary to a canonical token sequence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Readability 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RESERVE the;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Admit stylistic words with zero computational overhead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Module inclusion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scraper;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domain vocabulary and implementation modules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Collection operators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ORDER BY,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 filtering, sorting, and range restriction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 handlers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RESPONSE, LOADED, FETCHED, 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 the active workspace or current operation</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Table 3 presents representative syntactic forms. A complete normative specification would additionally define operator precedence, name resolution, argument binding, lexical scoping, error conditions, asynchronous behavior, and module-loading semantics. These elements are necessary for independent reimplementation and formal conformance testing.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Readable operators include BE for assignment, IS for equality, EQUALS for strict equality, and logical conjunctions like AND / OR, with context-sensitive interpretation inside declarations. Furthermore, domain vocabulary can express data projection and collection building using operations such as SELECT and COLLECT. However, familiar wording never replaces a strict operator contract: type coercion, field naming conventions, missing-value handling, and argument ordering remain consequential computational decisions.</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declarations and ordinary source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ASSUME construction makes binding intent transparent: CONST declares a constant, VAR selects a traditional variable declaration, and LET (or an omitted modifier) establishes a block-scoped lexical binding. Listing 1 pairs DEAL syntax with its direct JavaScript translation, showing how readable declarations preserve familiar target-language semantics.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ASSUME CONST threshold IS 10;</w:t>
        <w:br w:type="textWrapping"/>
        <w:t xml:space="preserve">ASSUME VAR attempts IS EQUAL 0;</w:t>
        <w:br w:type="textWrapping"/>
        <w:t xml:space="preserve">ASSUME LET accepted BE [];</w:t>
        <w:br w:type="textWrapping"/>
        <w:t xml:space="preserve">ASSUME completed EQUALS false;</w:t>
        <w:br w:type="textWrapping"/>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threshold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attempts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accepted =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completed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1. Explicit declarations make binding intent visible while retaining conventional JavaScript declarations as an alternative. The keyword ASSUME denotes a binding construction here; it is not a probabilistic assertion or a formal proof assumption.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source files serve as a vital adoption bridge. A researcher can leverage high-level domain commands for routine orchestration while leaving complex mathematical expressions or specialized object manipulations in native JavaScript. The goal is not to force every programming operator into prose, but to establish a sensible abstraction boundary separating high-level scientific intent from low-level implementation mechanics.</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Commands and document-like notation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Commands support actions, functions, definitions, and delegated identifiers, featuring both functional and sentence-like invocation styles. Listing 2 illustrates a research-specific normalization command. The underlying computation remains standard JavaScript inside the reusable command, cleanly separating implementation logic from the high-level domain name used within a workflow.</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COMMAND cleanTitle(value = "") {</w:t>
        <w:br w:type="textWrapping"/>
        <w:t xml:space="preserve">    return String(value).normalize("NFKC")</w:t>
        <w:br w:type="textWrapping"/>
        <w:t xml:space="preserve">        .replace(/\s+/gu, " ").trim();</w:t>
        <w:br w:type="textWrapping"/>
        <w:t xml:space="preserve">}</w:t>
        <w:br w:type="textWrapping"/>
        <w:t xml:space="preserve">ASSUME CONST title IS cleanTitle("  Alpha   study ");</w:t>
        <w:br w:type="textWrapping"/>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2. An author-defined command exposing a clearly named preprocessing operation. The example’s contract is Unicode NFKC normalization, whitespace collapse, and trimming; the name alone is not the specification.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Document-like notation incorporates selected Markdown-style list markers and emphasis conventions; heading-like action definitions execute immediately upon definition. This enables procedures to combine navigable human presentation with rigorous executable structure. Nevertheless, because an executable heading denotes an action, programming environments must strictly distinguish actions, comments, declarations, and raw data.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sensitivity rules are similarly selective. Documented language vocabulary is case-adapted, ordinary user identifiers remain case-sensitive unless explicitly registered, and property names following a dot retain their own native spelling rules. A predictable programming interface therefore depends on disciplined identifier conventions rather than assuming the entire language is case-insensitive.</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Compiler architecture and execution model</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Configured compilation pipeline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The DEAL.JS compiler is implemented in C# and executes a five-stage source-to-source pipeline: tokenization, preprocessing, parsing, assembly, and code generation. It builds on a JavaScript-oriented engine framework and preserves recognized native JavaScript content through a dedicated passthrough path [6,31,32,33,34].</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2. DEAL.JS compilation and execution architecture. DEAL source enters the five-stage transformation pipeline; recognized .js inputs follow the native-content passthrough branch. Domain modules and resource bindings support compilation and host execution, while execution remains distinct from generating JavaScript. AI assistance: Perplexity Computer (GPT 6.1 Sol), SVG-code preparation.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tokenizer recognizes source elements and vocabulary adaptations, including module imports and reserve mappings; the preprocessor provides a designated token-processing hook. The parser classifies tokens into abstract nodes, including declarations and block structures, while the assembler constructs and lowers their computational hierarchy. JavaScript code generation is inherited through the language's generator extensions. This represents a pure source-to-source transformation pipeline, distinct from neural translation inside the compiler.</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JavaScript interoperability provides two distinct paths. Mixed DEAL/JavaScript programs pass through the full language pipeline, whereas any input identified by a nonempty .js file path is bypassed and returned directly without DEAL transformation. This design allows existing JavaScript libraries and modules to be reused effortlessly without requiring them to be rewritten in DEAL notation.</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Representations and stage contracts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stage interface accepts and returns object representations, with each stage interpreting its input as a token stream, AST node collection, program structure, or source text. Table 4 relates these structural transitions to semantic preservation requirements. These contracts outline stage responsibilities rather than relying on a statically enforced pipeline type system.</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4. Compilation stages, intermediate representations, and semantic preservation requirements.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Representation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Review obligation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Tokenizer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text to positioned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literals and distinguish vocabulary from user identifiers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Preprocessor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Tokens to a token array; default token processing is pass-through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 any configured rewrite explicit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Tokens to locally classified nodes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statement categories and declaration intent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Assembler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Nodes to a hierarchical, node-derived program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grouping, scope, and continuation attachment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 structure to JavaScript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operations and expose inspectable target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Generated source to host-defined results and effects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 permissions, effects, failures, and completion</w:t>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Tokens carry type, value, and position metadata, while AST nodes add child references, parent links, and structural flags; dedicated AST walkers support traversal across these representations. These abstractions provide vital attachment points for future source-linked explanations and code instrumentation. However, their presence does not imply that complete source maps or diagnostic-location accuracy have already been formally validated.</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 commands, and runtime boundaries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runtime environment maintains active command dictionaries and reserve mappings, while USE statements resolve dependency resources through the language and core engine infrastructure. Consequently, a domain module bundles human vocabulary with concrete implementation resources; achieving true reproducibility requires recording exact module versions alongside the execution order and environment.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Compilation and execution remain strictly separated responsibilities. A ClearScript V8 host provides one robust execution environment, exposing the engine and selected host facilities, while the execution-stage interface also accommodates alternative host implementations. Reusing generated JavaScript requires compatible host APIs and dependencies, whether deployed in a browser, Node.js, or an embedded runtime.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local-resource module exposes file, folder, save, append, prepend, delete, and existence check operations through a standardized resource provider. Its local.save(object, path) operation delegates directly to the host's underlying SetFileContents(path, object) interface. Making this argument contract explicit keeps data flow transparent across the language–host boundary.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resolution maps extensionless names to .deal, .djs, or .js resources; directory-based modules may resolve via an index or traverse directory entries. Unregistered resources are automatically compiled and executed before successful dependency inclusion is recorded. Figure 3 illustrates successful dependency-loading paths and the distinction between initial loading and subsequent reuse.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3. Successful dependency-loading paths after resource resolution. A previously registered path avoids re-loading; first use passes through compilation and execution before dependency registration and resumed scanning. AI assistance: Perplexity Computer (GPT 6.1 Sol), SVG-code preparation.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imported modules can introduce side effects as well as custom vocabulary, module loading falls squarely within the research trust boundary. Reproducible deployment therefore mandates identifiable dependency versions, explicit host bindings, and controlled resource access. Because the ClearScript host exposes powerful .NET capabilities, isolation and permission policies must be rigorously enforced by the deployment environment rather than assumed from readable syntax alone.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generic diagnostic model tracks identifiers, severity levels, source ranges, and diagnostic codes, while Output.Errors records error strings and orchestration engines emit log events. These diagnostic channels should not be conflated with a validated end-to-end automated repair interface. Future AI-repair experiments must record the exact diagnostic payloads received by the model and measure whether the resulting repairs satisfy an independent oracle.</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Determinism, preservation, and reproducibility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formalize compilation determinism using the analytical function: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(s,v,m,o,</m:t>
        </m:r>
        <m:sSub>
          <m:sSubPr>
            <m:ctrlPr>
              <w:rPr>
                <w:rFonts w:ascii="Google Sans" w:cs="Google Sans" w:eastAsia="Google Sans" w:hAnsi="Google Sans"/>
                <w:color w:val="1f1f1f"/>
              </w:rPr>
            </m:ctrlPr>
          </m:sSubPr>
          <m:e>
            <m:r>
              <w:rPr>
                <w:rFonts w:ascii="Google Sans" w:cs="Google Sans" w:eastAsia="Google Sans" w:hAnsi="Google Sans"/>
                <w:color w:val="1f1f1f"/>
              </w:rPr>
              <m:t>σ</m:t>
            </m:r>
          </m:e>
          <m:sub>
            <m:r>
              <w:rPr>
                <w:rFonts w:ascii="Google Sans" w:cs="Google Sans" w:eastAsia="Google Sans" w:hAnsi="Google Sans"/>
                <w:color w:val="1f1f1f"/>
              </w:rPr>
              <m:t xml:space="preserve">0</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j</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,(1)</m:t>
        </m:r>
      </m:oMath>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m:oMath>
        <m:r>
          <w:rPr>
            <w:rFonts w:ascii="Google Sans" w:cs="Google Sans" w:eastAsia="Google Sans" w:hAnsi="Google Sans"/>
            <w:color w:val="1f1f1f"/>
          </w:rPr>
          <m:t xml:space="preserve">s</m:t>
        </m:r>
      </m:oMath>
      <w:r w:rsidDel="00000000" w:rsidR="00000000" w:rsidRPr="00000000">
        <w:rPr>
          <w:rFonts w:ascii="Google Sans" w:cs="Google Sans" w:eastAsia="Google Sans" w:hAnsi="Google Sans"/>
          <w:color w:val="1f1f1f"/>
          <w:rtl w:val="0"/>
        </w:rPr>
        <w:t xml:space="preserve"> represents source text, </w:t>
      </w:r>
      <m:oMath>
        <m:r>
          <w:rPr>
            <w:rFonts w:ascii="Google Sans" w:cs="Google Sans" w:eastAsia="Google Sans" w:hAnsi="Google Sans"/>
            <w:color w:val="1f1f1f"/>
          </w:rPr>
          <m:t xml:space="preserve">v</m:t>
        </m:r>
      </m:oMath>
      <w:r w:rsidDel="00000000" w:rsidR="00000000" w:rsidRPr="00000000">
        <w:rPr>
          <w:rFonts w:ascii="Google Sans" w:cs="Google Sans" w:eastAsia="Google Sans" w:hAnsi="Google Sans"/>
          <w:color w:val="1f1f1f"/>
          <w:rtl w:val="0"/>
        </w:rPr>
        <w:t xml:space="preserve"> represents vocabulary configuration, </w:t>
      </w:r>
      <m:oMath>
        <m:r>
          <w:rPr>
            <w:rFonts w:ascii="Google Sans" w:cs="Google Sans" w:eastAsia="Google Sans" w:hAnsi="Google Sans"/>
            <w:color w:val="1f1f1f"/>
          </w:rPr>
          <m:t xml:space="preserve">m</m:t>
        </m:r>
      </m:oMath>
      <w:r w:rsidDel="00000000" w:rsidR="00000000" w:rsidRPr="00000000">
        <w:rPr>
          <w:rFonts w:ascii="Google Sans" w:cs="Google Sans" w:eastAsia="Google Sans" w:hAnsi="Google Sans"/>
          <w:color w:val="1f1f1f"/>
          <w:rtl w:val="0"/>
        </w:rPr>
        <w:t xml:space="preserve"> comprises ordered module versions and contents, </w:t>
      </w:r>
      <m:oMath>
        <m:r>
          <w:rPr>
            <w:rFonts w:ascii="Google Sans" w:cs="Google Sans" w:eastAsia="Google Sans" w:hAnsi="Google Sans"/>
            <w:color w:val="1f1f1f"/>
          </w:rPr>
          <m:t xml:space="preserve">o</m:t>
        </m:r>
      </m:oMath>
      <w:r w:rsidDel="00000000" w:rsidR="00000000" w:rsidRPr="00000000">
        <w:rPr>
          <w:rFonts w:ascii="Google Sans" w:cs="Google Sans" w:eastAsia="Google Sans" w:hAnsi="Google Sans"/>
          <w:color w:val="1f1f1f"/>
          <w:rtl w:val="0"/>
        </w:rPr>
        <w:t xml:space="preserve"> includes compiler settings, </w:t>
      </w:r>
      <m:oMath>
        <m:sSub>
          <m:sSubPr>
            <m:ctrlPr>
              <w:rPr>
                <w:rFonts w:ascii="Google Sans" w:cs="Google Sans" w:eastAsia="Google Sans" w:hAnsi="Google Sans"/>
                <w:color w:val="1f1f1f"/>
              </w:rPr>
            </m:ctrlPr>
          </m:sSubPr>
          <m:e>
            <m:r>
              <m:t>σ</m:t>
            </m:r>
          </m:e>
          <m:sub>
            <m:r>
              <w:rPr>
                <w:rFonts w:ascii="Google Sans" w:cs="Google Sans" w:eastAsia="Google Sans" w:hAnsi="Google Sans"/>
                <w:color w:val="1f1f1f"/>
              </w:rPr>
              <m:t xml:space="preserve">0</m:t>
            </m:r>
          </m:sub>
        </m:sSub>
      </m:oMath>
      <w:r w:rsidDel="00000000" w:rsidR="00000000" w:rsidRPr="00000000">
        <w:rPr>
          <w:rFonts w:ascii="Google Sans" w:cs="Google Sans" w:eastAsia="Google Sans" w:hAnsi="Google Sans"/>
          <w:color w:val="1f1f1f"/>
          <w:rtl w:val="0"/>
        </w:rPr>
        <w:t xml:space="preserve"> captures initial compilation state, and </w:t>
      </w:r>
      <m:oMath>
        <m:r>
          <w:rPr>
            <w:rFonts w:ascii="Google Sans" w:cs="Google Sans" w:eastAsia="Google Sans" w:hAnsi="Google Sans"/>
            <w:color w:val="1f1f1f"/>
          </w:rPr>
          <m:t xml:space="preserve">b</m:t>
        </m:r>
      </m:oMath>
      <w:r w:rsidDel="00000000" w:rsidR="00000000" w:rsidRPr="00000000">
        <w:rPr>
          <w:rFonts w:ascii="Google Sans" w:cs="Google Sans" w:eastAsia="Google Sans" w:hAnsi="Google Sans"/>
          <w:color w:val="1f1f1f"/>
          <w:rtl w:val="0"/>
        </w:rPr>
        <w:t xml:space="preserve"> identifies the target backend. Together, these terms define the compilation context </w:t>
      </w:r>
      <m:oMath>
        <m:r>
          <m:t>κ</m:t>
        </m:r>
      </m:oMath>
      <w:r w:rsidDel="00000000" w:rsidR="00000000" w:rsidRPr="00000000">
        <w:rPr>
          <w:rFonts w:ascii="Google Sans" w:cs="Google Sans" w:eastAsia="Google Sans" w:hAnsi="Google Sans"/>
          <w:color w:val="1f1f1f"/>
          <w:rtl w:val="0"/>
        </w:rPr>
        <w:t xml:space="preserve">. The determinism contract guarantees identical target output for identical source code and context, including any influential module-initialization inputs. It does not require external data sources or randomized analyses to remain static across runs.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Translation correctness requires an additional empirical relation: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Obs(Exe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(s,</m:t>
        </m:r>
        <m:r>
          <w:rPr>
            <w:rFonts w:ascii="Google Sans" w:cs="Google Sans" w:eastAsia="Google Sans" w:hAnsi="Google Sans"/>
            <w:color w:val="1f1f1f"/>
          </w:rPr>
          <m:t>κ</m:t>
        </m:r>
        <m:r>
          <w:rPr>
            <w:rFonts w:ascii="Google Sans" w:cs="Google Sans" w:eastAsia="Google Sans" w:hAnsi="Google Sans"/>
            <w:color w:val="1f1f1f"/>
          </w:rPr>
          <m:t xml:space="preserve">),e))=Spec(s,e),(2)</m:t>
        </m:r>
      </m:oMath>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m:oMath>
        <m:r>
          <w:rPr>
            <w:rFonts w:ascii="Google Sans" w:cs="Google Sans" w:eastAsia="Google Sans" w:hAnsi="Google Sans"/>
            <w:color w:val="1f1f1f"/>
          </w:rPr>
          <m:t xml:space="preserve">e</m:t>
        </m:r>
      </m:oMath>
      <w:r w:rsidDel="00000000" w:rsidR="00000000" w:rsidRPr="00000000">
        <w:rPr>
          <w:rFonts w:ascii="Google Sans" w:cs="Google Sans" w:eastAsia="Google Sans" w:hAnsi="Google Sans"/>
          <w:color w:val="1f1f1f"/>
          <w:rtl w:val="0"/>
        </w:rPr>
        <w:t xml:space="preserve"> identifies the controlled execution environment and observations include outputs, errors, persistent file modifications, and relevant event order. The right-hand side must originate from an independent specification or oracle. Agreement with a compiler's own generated output is never sufficient as a standalone correctness criterion.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research reproducibility extends this record to include input data snapshots, runtime and module versions, external API responses, random number seeds, locale settings, and permission scopes. This requirement aligns with broader mandates for archiving complete computational workflows and their influential operational settings. DEAL contributes a reviewable program within that archive, not an exemption from recording the surrounding operational environment.</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Worked application: web retrieval to research-ready storage</w:t>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and data model</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research workflow designed to monitor a structured catalog. The workflow retrieves a web page or API response, extracts records, normalizes text fields, computes a derived variable, validates strict data constraints, filters out duplicate identifiers, and stores accepted records separately from detailed rejection reasons. DEAL.JS unifies retrieval, selection, transformation, and output operations under a cohesive orchestration surface. The complete application follows the compositional form:</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W(u)=SQNXA(u),(3)</m:t>
        </m:r>
      </m:oMath>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m:oMath>
        <m:r>
          <w:rPr>
            <w:rFonts w:ascii="Google Sans" w:cs="Google Sans" w:eastAsia="Google Sans" w:hAnsi="Google Sans"/>
            <w:color w:val="1f1f1f"/>
          </w:rPr>
          <m:t xml:space="preserve">A</m:t>
        </m:r>
      </m:oMath>
      <w:r w:rsidDel="00000000" w:rsidR="00000000" w:rsidRPr="00000000">
        <w:rPr>
          <w:rFonts w:ascii="Google Sans" w:cs="Google Sans" w:eastAsia="Google Sans" w:hAnsi="Google Sans"/>
          <w:color w:val="1f1f1f"/>
          <w:rtl w:val="0"/>
        </w:rPr>
        <w:t xml:space="preserve"> acquires a source URL </w:t>
      </w:r>
      <m:oMath>
        <m:r>
          <w:rPr>
            <w:rFonts w:ascii="Google Sans" w:cs="Google Sans" w:eastAsia="Google Sans" w:hAnsi="Google Sans"/>
            <w:color w:val="1f1f1f"/>
          </w:rPr>
          <m:t xml:space="preserve">u</m:t>
        </m:r>
      </m:oMath>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X</m:t>
        </m:r>
      </m:oMath>
      <w:r w:rsidDel="00000000" w:rsidR="00000000" w:rsidRPr="00000000">
        <w:rPr>
          <w:rFonts w:ascii="Google Sans" w:cs="Google Sans" w:eastAsia="Google Sans" w:hAnsi="Google Sans"/>
          <w:color w:val="1f1f1f"/>
          <w:rtl w:val="0"/>
        </w:rPr>
        <w:t xml:space="preserve"> extracts raw fields, </w:t>
      </w:r>
      <m:oMath>
        <m:r>
          <w:rPr>
            <w:rFonts w:ascii="Google Sans" w:cs="Google Sans" w:eastAsia="Google Sans" w:hAnsi="Google Sans"/>
            <w:color w:val="1f1f1f"/>
          </w:rPr>
          <m:t xml:space="preserve">N</m:t>
        </m:r>
      </m:oMath>
      <w:r w:rsidDel="00000000" w:rsidR="00000000" w:rsidRPr="00000000">
        <w:rPr>
          <w:rFonts w:ascii="Google Sans" w:cs="Google Sans" w:eastAsia="Google Sans" w:hAnsi="Google Sans"/>
          <w:color w:val="1f1f1f"/>
          <w:rtl w:val="0"/>
        </w:rPr>
        <w:t xml:space="preserve"> normalizes data and derives variables, </w:t>
      </w:r>
      <m:oMath>
        <m:r>
          <w:rPr>
            <w:rFonts w:ascii="Google Sans" w:cs="Google Sans" w:eastAsia="Google Sans" w:hAnsi="Google Sans"/>
            <w:color w:val="1f1f1f"/>
          </w:rPr>
          <m:t xml:space="preserve">Q</m:t>
        </m:r>
      </m:oMath>
      <w:r w:rsidDel="00000000" w:rsidR="00000000" w:rsidRPr="00000000">
        <w:rPr>
          <w:rFonts w:ascii="Google Sans" w:cs="Google Sans" w:eastAsia="Google Sans" w:hAnsi="Google Sans"/>
          <w:color w:val="1f1f1f"/>
          <w:rtl w:val="0"/>
        </w:rPr>
        <w:t xml:space="preserve"> validates constraints and deduplicates records, and </w:t>
      </w:r>
      <m:oMath>
        <m:r>
          <w:rPr>
            <w:rFonts w:ascii="Google Sans" w:cs="Google Sans" w:eastAsia="Google Sans" w:hAnsi="Google Sans"/>
            <w:color w:val="1f1f1f"/>
          </w:rPr>
          <m:t xml:space="preserve">S</m:t>
        </m:r>
      </m:oMath>
      <w:r w:rsidDel="00000000" w:rsidR="00000000" w:rsidRPr="00000000">
        <w:rPr>
          <w:rFonts w:ascii="Google Sans" w:cs="Google Sans" w:eastAsia="Google Sans" w:hAnsi="Google Sans"/>
          <w:color w:val="1f1f1f"/>
          <w:rtl w:val="0"/>
        </w:rPr>
        <w:t xml:space="preserve"> serializes and stores outputs. The output preserves both accepted records and explicit rejection logs. This modular decomposition keeps domain policies transparent while allowing acquisition and storage implementations to be swapped independently.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demonstration utilizes five synthetic records designed to test specific data policies. A valid record requires a nonempty identifier and title, a finite nonnegative main price, a finite discount within </w:t>
      </w:r>
      <m:oMath>
        <m:r>
          <w:rPr>
            <w:rFonts w:ascii="Google Sans" w:cs="Google Sans" w:eastAsia="Google Sans" w:hAnsi="Google Sans"/>
            <w:color w:val="1f1f1f"/>
          </w:rPr>
          <m:t xml:space="preserve">[0,1]</m:t>
        </m:r>
      </m:oMath>
      <w:r w:rsidDel="00000000" w:rsidR="00000000" w:rsidRPr="00000000">
        <w:rPr>
          <w:rFonts w:ascii="Google Sans" w:cs="Google Sans" w:eastAsia="Google Sans" w:hAnsi="Google Sans"/>
          <w:color w:val="1f1f1f"/>
          <w:rtl w:val="0"/>
        </w:rPr>
        <w:t xml:space="preserve">, and a nonnegative integer quantity. The derived net price is calculated as: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p</m:t>
            </m:r>
          </m:e>
          <m:sub>
            <m:r>
              <w:rPr>
                <w:rFonts w:ascii="Google Sans" w:cs="Google Sans" w:eastAsia="Google Sans" w:hAnsi="Google Sans"/>
                <w:color w:val="1f1f1f"/>
              </w:rPr>
              <m:t xml:space="preserve">net</m:t>
            </m:r>
          </m:sub>
        </m:sSub>
        <m:r>
          <w:rPr>
            <w:rFonts w:ascii="Google Sans" w:cs="Google Sans" w:eastAsia="Google Sans" w:hAnsi="Google Sans"/>
            <w:color w:val="1f1f1f"/>
          </w:rPr>
          <m:t xml:space="preserve">=roun</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d</m:t>
            </m:r>
          </m:e>
          <m:sub>
            <m:r>
              <w:rPr>
                <w:rFonts w:ascii="Google Sans" w:cs="Google Sans" w:eastAsia="Google Sans" w:hAnsi="Google Sans"/>
                <w:color w:val="1f1f1f"/>
              </w:rPr>
              <m:t xml:space="preserve">2</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p</m:t>
            </m:r>
          </m:e>
          <m:sub>
            <m:r>
              <w:rPr>
                <w:rFonts w:ascii="Google Sans" w:cs="Google Sans" w:eastAsia="Google Sans" w:hAnsi="Google Sans"/>
                <w:color w:val="1f1f1f"/>
              </w:rPr>
              <m:t xml:space="preserve">main</m:t>
            </m:r>
          </m:sub>
        </m:sSub>
        <m:r>
          <w:rPr>
            <w:rFonts w:ascii="Google Sans" w:cs="Google Sans" w:eastAsia="Google Sans" w:hAnsi="Google Sans"/>
            <w:color w:val="1f1f1f"/>
          </w:rPr>
          <m:t xml:space="preserve">(1-d)).(4)</m:t>
        </m:r>
      </m:oMath>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 numeric values are strictly rejected rather than silently coerced to zero. Duplicate handling retains the first valid occurrence of any identifier, ensuring that an invalid row does not block a subsequent valid row with the same identifier.</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5. Input conditions and expected outcomes in the synthetic catalog.</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record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outcome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1</m:t>
                  </m:r>
                </m:sub>
              </m:sSub>
            </m:oMath>
            <w:r w:rsidDel="00000000" w:rsidR="00000000" w:rsidRPr="00000000">
              <w:rPr>
                <w:rFonts w:ascii="Google Sans" w:cs="Google Sans" w:eastAsia="Google Sans" w:hAnsi="Google Sans"/>
                <w:color w:val="1f1f1f"/>
                <w:rtl w:val="0"/>
              </w:rPr>
              <w:t xml:space="preserve">, padded title Alpha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 normalized title; net price 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Duplicate </w:t>
            </w: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1</m:t>
                  </m:r>
                </m:sub>
              </m:sSub>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 as duplicate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2</m:t>
                  </m:r>
                </m:sub>
              </m:sSub>
            </m:oMath>
            <w:r w:rsidDel="00000000" w:rsidR="00000000" w:rsidRPr="00000000">
              <w:rPr>
                <w:rFonts w:ascii="Google Sans" w:cs="Google Sans" w:eastAsia="Google Sans" w:hAnsi="Google Sans"/>
                <w:color w:val="1f1f1f"/>
                <w:rtl w:val="0"/>
              </w:rPr>
              <w:t xml:space="preserve">, full-width initial character in Ｂeta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 as Beta study; preserve zero price and quantity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3</m:t>
                  </m:r>
                </m:sub>
              </m:sSub>
            </m:oMath>
            <w:r w:rsidDel="00000000" w:rsidR="00000000" w:rsidRPr="00000000">
              <w:rPr>
                <w:rFonts w:ascii="Google Sans" w:cs="Google Sans" w:eastAsia="Google Sans" w:hAnsi="Google Sans"/>
                <w:color w:val="1f1f1f"/>
                <w:rtl w:val="0"/>
              </w:rPr>
              <w:t xml:space="preserve">, missing main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 as invalid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4</m:t>
                  </m:r>
                </m:sub>
              </m:sSub>
            </m:oMath>
            <w:r w:rsidDel="00000000" w:rsidR="00000000" w:rsidRPr="00000000">
              <w:rPr>
                <w:rFonts w:ascii="Google Sans" w:cs="Google Sans" w:eastAsia="Google Sans" w:hAnsi="Google Sans"/>
                <w:color w:val="1f1f1f"/>
                <w:rtl w:val="0"/>
              </w:rPr>
              <w:t xml:space="preserve">, discount outside permitted interval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 as invalid</w:t>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Figure 4 outlines these five responsibilities. While retrieval mechanisms may shift between an API client and a browser adapter, the normalization, validation, and storage contracts remain completely invariant. This clean separation supports rigorous scientific review, allowing researchers to inspect both what data were acquired and how records were transformed or excluded.</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4. Research-data workflow expressed through DEAL orchestration and reusable implementations. Accepted records retain provenance fields and rejected records retain source-row identifiers and reasons. Snapshot hashes, acquisition logs, and version manifests supplement the pipeline when it is used in a reproducible study. AI assistance: Perplexity Computer (GPT 6.1 Sol), SVG-code preparation.</w:t>
      </w:r>
    </w:p>
    <w:p w:rsidR="00000000" w:rsidDel="00000000" w:rsidP="00000000" w:rsidRDefault="00000000" w:rsidRPr="00000000" w14:paraId="0000013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Acquisition and extraction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scraper vocabulary includes FETCH for HTTP request/response interactions, LOAD for loading a page into the active context, selectors like ALL, and contextual identifiers including DOCUMENT, RESPONSE, LOADED, and FETCHED. Listing 3 expresses retrieval, selection, and output in a single fluid sequence, where source and destination parameters identify acquisition targets and file outputs.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USE deal;</w:t>
        <w:br w:type="textWrapping"/>
        <w:t xml:space="preserve">USE scraper;</w:t>
        <w:br w:type="textWrapping"/>
        <w:t xml:space="preserve">FOR EACH url OF sources,</w:t>
        <w:br w:type="textWrapping"/>
        <w:t xml:space="preserve">    LOAD url,</w:t>
        <w:br w:type="textWrapping"/>
        <w:t xml:space="preserve">    THEN APPEND ALL "h3.title", TO destination;</w:t>
        <w:br w:type="textWrapping"/>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3. Retrieval, title selection, and output through the load-select-append idiom. A multi-source workflow additionally requires an explicit completion and context-isolation policy.</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structured extraction, an author-defined JavaScript helper receives a document and source identifier explicitly. It selects table.catalog tbody tr, reads each row's data-id, and extracts .title, .price, .discount, and .quantity fields. This avoids embedding contextual handlers directly inside normalization logic, keeping DOM selectors cleanly separated from scientific data processing rules.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API-first variant should convert incoming responses into a standardized plain-record schema before normalization. With standard JavaScript Response objects, JSON parsing is inherently asynchronous and must be awaited or returned within a promise chain; explicit promise chaining and aggregation establish clear completion boundaries. API and DOM extraction are interchangeable only after their respective adapters satisfy a common input schema, not merely because they point to the same web page.</w:t>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Preprocessing, processing, and persistence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 4 composes the end-to-end single-page workflow. Domain-specific functions extract raw records, enforce data contracts, and serialize accepted outputs; cleanRecords encapsulates normalization inside a reusable DEAL command. Persistence relies on the local resource module, keeping storage side effects explicit at the orchestration level.</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USE deal;</w:t>
        <w:br w:type="textWrapping"/>
        <w:t xml:space="preserve">USE scraper;</w:t>
        <w:br w:type="textWrapping"/>
        <w:t xml:space="preserve">USE deal/data/local;</w:t>
        <w:br w:type="textWrapping"/>
        <w:t xml:space="preserve">USE "./deal-case-helpers.js";</w:t>
        <w:br w:type="textWrapping"/>
        <w:br w:type="textWrapping"/>
        <w:t xml:space="preserve">COMMAND cleanRecords(rows = [], source = "", time = "") {</w:t>
        <w:br w:type="textWrapping"/>
        <w:t xml:space="preserve">    return normalizeRecords(rows, source, time);</w:t>
        <w:br w:type="textWrapping"/>
        <w:t xml:space="preserve">}</w:t>
        <w:br w:type="textWrapping"/>
        <w:br w:type="textWrapping"/>
        <w:t xml:space="preserve">ASSUME CONST sourceURL IS "https://example.org/catalog";</w:t>
        <w:br w:type="textWrapping"/>
        <w:t xml:space="preserve">ASSUME CONST destination IS "results/catalog.jsonl";</w:t>
        <w:br w:type="textWrapping"/>
        <w:br w:type="textWrapping"/>
        <w:t xml:space="preserve">LOAD sourceURL,</w:t>
        <w:br w:type="textWrapping"/>
        <w:t xml:space="preserve">THEN BEGIN</w:t>
        <w:br w:type="textWrapping"/>
        <w:t xml:space="preserve">    ASSUME CONST capturedAt IS new Date().toISOString();</w:t>
        <w:br w:type="textWrapping"/>
        <w:t xml:space="preserve">    ASSUME CONST rawRows IS extractRows(DOCUMENT, sourceURL);</w:t>
        <w:br w:type="textWrapping"/>
        <w:t xml:space="preserve">    ASSUME CONST report IS cleanRecords(rawRows, sourceURL, capturedAt);</w:t>
        <w:br w:type="textWrapping"/>
        <w:t xml:space="preserve">    </w:t>
        <w:br w:type="textWrapping"/>
        <w:t xml:space="preserve">    local.save(toJSONL(report.accepted), destination);</w:t>
        <w:br w:type="textWrapping"/>
        <w:t xml:space="preserve">    local.save(JSON.stringify(report.rejected), "results/rejected.json");</w:t>
        <w:br w:type="textWrapping"/>
        <w:t xml:space="preserve">END;</w:t>
        <w:br w:type="textWrapping"/>
        <w:t xml:space="preserve">OTHERWISE BEGIN</w:t>
        <w:br w:type="textWrapping"/>
        <w:t xml:space="preserve">    throw new Error("Retrieval failed: " + sourceURL);</w:t>
        <w:br w:type="textWrapping"/>
        <w:t xml:space="preserve">END;</w:t>
        <w:br w:type="textWrapping"/>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4. DEAL.JS orchestration for acquisition, normalization, validation, and storage. The domain functions are defined for the case study; example.org represents a configurable endpoint rather than a measured acquisition source.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helper explicitly decouples validation from duplicate detection, marking an identifier as seen </w:t>
      </w:r>
      <w:r w:rsidDel="00000000" w:rsidR="00000000" w:rsidRPr="00000000">
        <w:rPr>
          <w:rFonts w:ascii="Google Sans" w:cs="Google Sans" w:eastAsia="Google Sans" w:hAnsi="Google Sans"/>
          <w:i w:val="1"/>
          <w:iCs w:val="1"/>
          <w:color w:val="1f1f1f"/>
          <w:rtl w:val="0"/>
        </w:rPr>
        <w:t xml:space="preserve">only after</w:t>
      </w:r>
      <w:r w:rsidDel="00000000" w:rsidR="00000000" w:rsidRPr="00000000">
        <w:rPr>
          <w:rFonts w:ascii="Google Sans" w:cs="Google Sans" w:eastAsia="Google Sans" w:hAnsi="Google Sans"/>
          <w:color w:val="1f1f1f"/>
          <w:rtl w:val="0"/>
        </w:rPr>
        <w:t xml:space="preserve"> validation succeeds. Consequently, an invalid early record does not prevent the acceptance of a later valid record sharing the same identifier. Unicode normalization, whitespace collapse, interval checks, numeric finiteness checks, and integer quantity rules constitute transparent operational policies that domain researchers can audit independently of the orchestration script.</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outputs are formatted as JSON Lines for accepted records and a separate JSON file for rejection logs. Each accepted record includes source_url, retrieved_at, and schema_version metadata; a rigorous research run should additionally archive raw response payloads, cryptographic content hashes, module manifests, compiler versions, and permission scopes. These practices operationalize the core provenance and reuse principles emphasized in FAIR guidelines.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Persistence can also be decoupled from document manipulation via a connector interface: the JavaScript ChainDoc layer supports connector-based storage and row/line access. An in-memory connector is used in our case-validation experiment to isolate serialization and storage behavior from underlying filesystem and network variability.</w:t>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contracts and rejection semantics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6 specifies the application's preprocessing and storage rules. These rules form part of the formal domain contract rather than the language grammar, enabling researchers to review them independently of the underlying web pages or APIs supplying the raw data.</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6. Accepted-record schema and rejection policy for the synthetic case.</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Field or decision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Rationale or limitation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 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Trim identifier; normalize title with NFKC and collapsed whitespace; require both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Full-width characters normalize; identifier case is preserved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main_price, discount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Finite price at least zero; finite discount in [0,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Missing/blank values are invalid, never silently coerced to zero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quantity, net_price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Nonnegative safe-integer quantity; net price rounded to two decimal places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 zeros survive; rounding is an explicit case policy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Duplicate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Retain the first valid record per identifier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Invalid records do not consume or reserve an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Provenance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source_url, retrieved_at, schema_version on accepted rows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 timestamp is synthetic; proves no live retrieval event occurred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Rejected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One-based source_row and rejection reason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Compact rejection log; raw inputs require separate archiving</w:t>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Figure 5 highlights the critical ordering required for duplicate handling. Validation must precede insertion into the seen-identifier set; reversing these steps would corrupt operational behavior. Furthermore, retaining raw input snapshots separately remains essential because compact rejection logs cannot reconstruct excluded source data.</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5. Record validation in the application data contract. Invalid fields or a previously accepted identifier cause rejection; otherwise, the identifier is registered and the record enters the accepted output. Validation therefore precedes duplicate registration. AI assistance: Perplexity Computer (GPT 6.1 Sol), SVG-code preparation.</w:t>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Completion and failure policy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readability must never obscure strict ordering requirements. DEAL’s continuation suffixes map directly to underlying JavaScript promise methods, ensuring that success and failure paths are evaluated in terms of true promise completion rather than assumed multithreading. A run is complete only when retrieval, normalization, and all mandatory persistence operations have successfully finished.</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single-page example avoids concurrent mutation of the DOCUMENT context. Multi-page workflows must either await each page sequentially or provide isolated document contexts and aggregate all returned promises. Moreover, robust research protocols should define bounded retry limits, timeouts, error propagation rules, partial-output handling, and stable identifiers for reruns; merely logging a success message after launching unmonitored asynchronous requests is never an adequate completion criterion.</w:t>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examples and contribution analysis</w:t>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Matched collection task</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 5 compares a standard programming task across four notations: iterating over a three-value collection in order. DEAL expresses the loop using readable structural keywords, JavaScript and Python rely on native iteration constructs, and _hyperscript uses an English-like collection loop. This comparison isolates representational style while keeping computational intent constant.</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DEAL.JS</w:t>
        <w:br w:type="textWrapping"/>
        <w:t xml:space="preserve">ASSUME CONST values IS [1, 2, 3];</w:t>
        <w:br w:type="textWrapping"/>
        <w:t xml:space="preserve">FOR EACH value OF values, BEGIN</w:t>
        <w:br w:type="textWrapping"/>
        <w:t xml:space="preserve">    console.log(value);</w:t>
        <w:br w:type="textWrapping"/>
        <w:t xml:space="preserve">END;</w:t>
        <w:br w:type="textWrapping"/>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JavaScript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values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value </w:t>
      </w:r>
      <w:r w:rsidDel="00000000" w:rsidR="00000000" w:rsidRPr="00000000">
        <w:rPr>
          <w:rFonts w:ascii="Google Sans" w:cs="Google Sans" w:eastAsia="Google Sans" w:hAnsi="Google Sans"/>
          <w:i w:val="0"/>
          <w:iCs w:val="0"/>
          <w:color w:val="969dff"/>
          <w:sz w:val="20"/>
          <w:szCs w:val="20"/>
          <w:shd w:fill="141414" w:val="clear"/>
          <w:rtl w:val="0"/>
        </w:rPr>
        <w:t xml:space="preserve">of</w:t>
      </w:r>
      <w:r w:rsidDel="00000000" w:rsidR="00000000" w:rsidRPr="00000000">
        <w:rPr>
          <w:rFonts w:ascii="Google Sans" w:cs="Google Sans" w:eastAsia="Google Sans" w:hAnsi="Google Sans"/>
          <w:color w:val="1f1f1f"/>
          <w:shd w:fill="141414" w:val="clear"/>
          <w:rtl w:val="0"/>
        </w:rPr>
        <w:t xml:space="preserve"> values)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.log(value);</w:t>
        <w:br w:type="textWrapping"/>
        <w:t xml:space="preserve">}</w:t>
        <w:br w:type="textWrapping"/>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Python</w:t>
      </w:r>
      <w:r w:rsidDel="00000000" w:rsidR="00000000" w:rsidRPr="00000000">
        <w:rPr>
          <w:rFonts w:ascii="Google Sans" w:cs="Google Sans" w:eastAsia="Google Sans" w:hAnsi="Google Sans"/>
          <w:color w:val="1f1f1f"/>
          <w:shd w:fill="141414" w:val="clear"/>
          <w:rtl w:val="0"/>
        </w:rPr>
        <w:br w:type="textWrapping"/>
        <w:t xml:space="preserve">values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value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values:</w:t>
        <w:br w:type="textWrapping"/>
        <w:t xml:space="preserve">    print(value)</w:t>
        <w:br w:type="textWrapping"/>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_hyperscript</w:t>
        <w:br w:type="textWrapping"/>
        <w:t xml:space="preserve">repeat for value in [1, 2, 3]</w:t>
        <w:br w:type="textWrapping"/>
        <w:t xml:space="preserve">    log value</w:t>
        <w:br w:type="textWrapping"/>
        <w:t xml:space="preserve">end</w:t>
        <w:br w:type="textWrapping"/>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5. Equivalent iteration intent across four notations. The DEAL form exposes declaration and iteration using readable keywords, but the Python and _hyperscript forms also show that readability is not unique to DEAL.</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LiveCode’s corresponding text-container example uses repeat for each item value in values ... end repeat, operating on comma-delimited strings rather than native JavaScript arrays. Such representational differences must be carefully controlled in empirical studies: a fair task comparison requires aligning underlying operations and data semantics, not just surface visual similarity.</w:t>
      </w:r>
    </w:p>
    <w:p w:rsidR="00000000" w:rsidDel="00000000" w:rsidP="00000000" w:rsidRDefault="00000000" w:rsidRPr="00000000" w14:paraId="0000017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Extension mechanisms and web computation</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 6 demonstrates why SugarJ is an architectural comparator rather than a purely stylistic one. An imported sugar library introduces custom pair types and expressions that desugar into standard Java representations, whereas DEAL’s replacement reserves simply adapt human vocabulary to express existing computational structures.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SugarJ</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pair.Sugar;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Test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(String, Integer) p = (</w:t>
      </w:r>
      <w:r w:rsidDel="00000000" w:rsidR="00000000" w:rsidRPr="00000000">
        <w:rPr>
          <w:rFonts w:ascii="Google Sans" w:cs="Google Sans" w:eastAsia="Google Sans" w:hAnsi="Google Sans"/>
          <w:i w:val="0"/>
          <w:iCs w:val="0"/>
          <w:color w:val="60d673"/>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34</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DEAL.JS Vocabulary Adaptation</w:t>
        <w:br w:type="textWrapping"/>
        <w:t xml:space="preserve">RESERVE every AS "for";</w:t>
        <w:br w:type="textWrapping"/>
        <w:t xml:space="preserve">RESERVE the;</w:t>
        <w:br w:type="textWrapping"/>
        <w:t xml:space="preserve">every item OF the values, console.log(item);</w:t>
        <w:br w:type="textWrapping"/>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6. Two distinct extension levels: grammar/desugaring extension in SugarJ and vocabulary adaptation in DEAL. The comparison supports a lightweight-extension design choice, not a claim of equivalent extensibility.</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WebL pioneered integrated page retrieval, element operations, and markup algebra for web document processing. Listing 7 places WebL’s page/element abstraction alongside DEAL’s load/select orchestration idiom. Both select third-level heading elements, differing primarily in the underlying language abstractions used to manage documents and outputs.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WebL-style notation</w:t>
        <w:br w:type="textWrapping"/>
        <w:t xml:space="preserve">page := getpage("https://example.org/catalog");</w:t>
        <w:br w:type="textWrapping"/>
        <w:t xml:space="preserve">titles := page.Elem("H3");</w:t>
        <w:br w:type="textWrapping"/>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DEAL.JS orchestration idiom</w:t>
        <w:br w:type="textWrapping"/>
        <w:t xml:space="preserve">LOAD "https://example.org/catalog",</w:t>
        <w:br w:type="textWrapping"/>
        <w:t xml:space="preserve">THEN APPEND ALL "h3", TO destination;</w:t>
        <w:br w:type="textWrapping"/>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7. Heading-element selection in WebL-style notation and DEAL.JS. The examples align element-selection intent while retaining their respective document and output models.</w:t>
      </w:r>
    </w:p>
    <w:p w:rsidR="00000000" w:rsidDel="00000000" w:rsidP="00000000" w:rsidRDefault="00000000" w:rsidRPr="00000000" w14:paraId="0000019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Innovation and field-level contribution</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core innovation is an integrated communication architecture featuring explicit extension boundaries. A shared source artifact makes AI-generated proposals fully editable and reviewable; domain commands encapsulate reusable scientific operations; and mixed-source interoperability enables gradual adoption alongside existing JavaScript codebases. These mechanisms directly bridge the practical divide between a researcher’s scientific description of a method and the software executing it.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additional contribution is the clean separation of conceptual operations, human-facing vocabulary, and target implementation technology. A domain module can maintain its operational contract while researchers employ different terminology, and the DEAL model can guide implementations in other programming languages. Consequently, research workflows become inspectable review objects where data acquisition, exclusion, transformation, and persistence decisions remain permanently linked to a single source representation.</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DEAL.JS successfully realizes these mechanisms in a working language and compiler. Their scientific value rests on this integrated representation and its formal contracts, rather than on any individual keyword, scraper operation, or translation technique. Our evaluation framework rigorously tests both the correctness of this representation and its practical utility for human users.</w:t>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Multilingual vocabulary and implementation in other languages</w:t>
      </w:r>
    </w:p>
    <w:p w:rsidR="00000000" w:rsidDel="00000000" w:rsidP="00000000" w:rsidRDefault="00000000" w:rsidRPr="00000000" w14:paraId="0000019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Vocabulary localization without changing the task</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Vocabulary modules allow alternative human-language expressions to refer to identical underlying computational operations. This mechanism directly addresses barriers related to English-language dominance, technical communication friction, and the cognitive load of programming keywords. Nonetheless, localization should remain strictly user-selectable: a replication study involving Finnish participants with strong English skills revealed limited native-language performance effects, proving that benefits cannot be assumed uniformly across all populations.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 8 illustrates Spanish and French surface forms using replacement reserves and readability words. User identifiers and logging calls remain untouched, cleanly isolating vocabulary adaptation from core computation. These fragments demonstrate the mechanism rather than representing fully validated locale packages.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Spanish vocabulary fragment</w:t>
        <w:br w:type="textWrapping"/>
        <w:t xml:space="preserve">RESERVE para AS "for";</w:t>
        <w:br w:type="textWrapping"/>
        <w:t xml:space="preserve">RESERVE cada;</w:t>
        <w:br w:type="textWrapping"/>
        <w:t xml:space="preserve">RESERVE de AS "of";</w:t>
        <w:br w:type="textWrapping"/>
        <w:t xml:space="preserve">para cada value de values, console.log(value);</w:t>
        <w:br w:type="textWrapping"/>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French vocabulary fragment</w:t>
        <w:br w:type="textWrapping"/>
        <w:t xml:space="preserve">RESERVE pour AS "for";</w:t>
        <w:br w:type="textWrapping"/>
        <w:t xml:space="preserve">RESERVE chaque;</w:t>
        <w:br w:type="textWrapping"/>
        <w:t xml:space="preserve">RESERVE de AS "of";</w:t>
        <w:br w:type="textWrapping"/>
        <w:t xml:space="preserve">pour chaque value de values, console.log(value);</w:t>
        <w:br w:type="textWrapping"/>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Listing 8. Two localized surfaces for the same canonical iteration. These fragments are alternatives and should be loaded as separate locale configurations rather than indiscriminately mixed.</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$\mathcal{N}_\ell$ map source text written in vocabulary $\ell$ into canonical DEAL source. Vocabulary equivalence is formally satisfied when:</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es</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s</m:t>
            </m:r>
          </m:e>
          <m:sub>
            <m:r>
              <w:rPr>
                <w:rFonts w:ascii="Google Sans" w:cs="Google Sans" w:eastAsia="Google Sans" w:hAnsi="Google Sans"/>
                <w:color w:val="1f1f1f"/>
              </w:rPr>
              <m:t xml:space="preserve">es</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fr</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s</m:t>
            </m:r>
          </m:e>
          <m:sub>
            <m:r>
              <w:rPr>
                <w:rFonts w:ascii="Google Sans" w:cs="Google Sans" w:eastAsia="Google Sans" w:hAnsi="Google Sans"/>
                <w:color w:val="1f1f1f"/>
              </w:rPr>
              <m:t xml:space="preserve">fr</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s</m:t>
            </m:r>
          </m:e>
          <m:sub>
            <m:r>
              <w:rPr>
                <w:rFonts w:ascii="Google Sans" w:cs="Google Sans" w:eastAsia="Google Sans" w:hAnsi="Google Sans"/>
                <w:color w:val="1f1f1f"/>
              </w:rPr>
              <m:t xml:space="preserve">c</m:t>
            </m:r>
          </m:sub>
        </m:sSub>
        <m:r>
          <w:rPr>
            <w:rFonts w:ascii="Google Sans" w:cs="Google Sans" w:eastAsia="Google Sans" w:hAnsi="Google Sans"/>
            <w:color w:val="1f1f1f"/>
          </w:rPr>
          <m:t xml:space="preserve">.(5)</m:t>
        </m:r>
      </m:oMath>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fixed canonical compilation context, identically normalized inputs guarantee identical target artifacts. This cleanly separates localization from execution semantics: an alias module must preserve canonical meaning rather than merely supplying a literal translation.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complete localization design must also protect string literals and identifiers, manage Unicode collisions and case behavior, document phrase boundaries, and emit intelligible diagnostic messages. Translation must preserve the scientific task rather than translating every token literally. Native-speaker reviews, bilingual examples, and rigorous equivalence testing are essential to determine whether localized commands genuinely assist a given researcher community.</w:t>
      </w:r>
    </w:p>
    <w:p w:rsidR="00000000" w:rsidDel="00000000" w:rsidP="00000000" w:rsidRDefault="00000000" w:rsidRPr="00000000" w14:paraId="000001B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Reimplementation and target-language portability</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DEAL model supports two distinct forms of reuse. A language implementer can replicate its structures, commands, vocabulary rules, and contextual interfaces in another host language such as Python, Java, or Rust. Independently, a compiler implementer can build a backend that translates a supported DEAL subset into an alternative target language. DEAL.JS provides the concrete JavaScript realization; our model and semantic contracts define what any alternative realization must preserve.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Configurable compilation and execution stages provide architectural reuse points, while DEAL.JS supplies JavaScript-oriented translation behavior. Figure 6 separates vocabulary normalization, canonical structure, and target realization. While the JavaScript backend is fully implemented, expanding to additional target languages represents a distinct development pathway.</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6. Separation of vocabulary adaptation, canonical language structure, and backend realization. The current concrete target is JavaScript. Other targets require explicit semantic mappings and should reject or isolate embedded JavaScript outside the portable subset. AI assistance: Perplexity Computer (GPT 6.1 Sol), SVG-code preparation.</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any portable program </w:t>
      </w:r>
      <m:oMath>
        <m:r>
          <w:rPr>
            <w:rFonts w:ascii="Google Sans" w:cs="Google Sans" w:eastAsia="Google Sans" w:hAnsi="Google Sans"/>
            <w:color w:val="1f1f1f"/>
          </w:rPr>
          <m:t xml:space="preserve">p</m:t>
        </m:r>
      </m:oMath>
      <w:r w:rsidDel="00000000" w:rsidR="00000000" w:rsidRPr="00000000">
        <w:rPr>
          <w:rFonts w:ascii="Google Sans" w:cs="Google Sans" w:eastAsia="Google Sans" w:hAnsi="Google Sans"/>
          <w:color w:val="1f1f1f"/>
          <w:rtl w:val="0"/>
        </w:rPr>
        <w:t xml:space="preserve">, the cross-backend preservation condition is defined as: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Obs(Exe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a</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a</m:t>
            </m:r>
          </m:sub>
        </m:sSub>
        <m:r>
          <w:rPr>
            <w:rFonts w:ascii="Google Sans" w:cs="Google Sans" w:eastAsia="Google Sans" w:hAnsi="Google Sans"/>
            <w:color w:val="1f1f1f"/>
          </w:rPr>
          <m:t xml:space="preserve">(p),</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a</m:t>
            </m:r>
          </m:sub>
        </m:sSub>
        <m:r>
          <w:rPr>
            <w:rFonts w:ascii="Google Sans" w:cs="Google Sans" w:eastAsia="Google Sans" w:hAnsi="Google Sans"/>
            <w:color w:val="1f1f1f"/>
          </w:rPr>
          <m:t xml:space="preserve">))=Obs(Exe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(p),</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)).(6)</m:t>
        </m:r>
      </m:oMath>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environments and observation definitions must be strictly aligned. Numeric precision, string handling, missing-value semantics, event ordering, exception handling, asynchronous effects, and storage encodings form core parts of this contract. A backend-neutral subset makes these obligations manageable, whereas arbitrary embedded JavaScript remains a host-specific escape boundary.</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separation offers a valuable contribution to software language engineering: a domain operation like normalization can maintain a stable, documented contract while its vocabulary and runtime implementation evolve. It also clarifies the inherent limits of unrestricted host interoperability; a program containing arbitrary native JavaScript cannot be automatically ported to a backend whose host language differs.</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strategy and evaluation methodology</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The evaluation strategy separates implementation behavior from collaborative utility. Language conformance assesses translation and execution correctness; application correctness assesses the research-data contract; and utility studies assess how effectively humans and AI systems construct, interpret, and revise workflows. The executed case study provides evidence for the second layer; the remaining protocols specify the evidence required for broader comparative claims.</w:t>
      </w:r>
    </w:p>
    <w:p w:rsidR="00000000" w:rsidDel="00000000" w:rsidP="00000000" w:rsidRDefault="00000000" w:rsidRPr="00000000" w14:paraId="000001B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conformance and regression</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Conformance testing links source constructions to independently specified observations. DEAL-specific, native JavaScript, and mixed-source stress cases exercise core structures, custom commands, expressions, nesting depth, and execution continuations. Table 7 organizes these categories around test constructions and semantic oracles. Successful translation is evaluated against specified operational effects, not merely by surface resemblance to a stored target file.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7. Conformance categories, test constructions, and semantic oracles.</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Language 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Test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Semantic oracle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Isolated declarations, branches, loops, and exception paths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bindings, outputs, termination, and error states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Embedded JavaScript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Matched native and mixed-source programs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Agreement with specified JavaScript execution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Nested control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Combinations of blocks, scopes, and continuations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Binding visibility, effect order, and completion guarantees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Commands and vocabulary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Reusable operations, aliases, and readability 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 operation contracts and equivalent canonical meaning</w:t>
            </w:r>
          </w:p>
        </w:tc>
      </w:tr>
    </w:tbl>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7. Proposed full-system regression protocol. A controlled fixture and independent oracle drive compilation and execution; observations are compared before recording a pass or capturing a failure. The protocol extends functional application checks to whole-language behavior. AI assistance: Perplexity Computer (GPT 6.1 Sol), SVG-code preparation.</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reproducible conformance protocol initializes from a controlled compiler state, records generated source code and diagnostics, and executes under an explicit host contract. Independent oracles cover outputs, exceptions, persistent storage side-effects, and asynchronous completion. Malformed syntax, missing modules, conflicting vocabulary declarations, and unsupported host operations are treated as negative test cases: expected failure behavior is part of the language contract, not an incidental implementation artifact.</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test suite should be decomposed into minimal tests grouped by declarations, branching, iteration, commands, reserves, handlers, collection operators, module loading, and embedded JavaScript. Property-based and metamorphic testing can verify transformations such as adding declared noise words, altering permitted command capitalization, or applying validated locale aliases. Expanding independent test suites is crucial, as initial test sets frequently overestimate program correctness.</w:t>
      </w:r>
    </w:p>
    <w:p w:rsidR="00000000" w:rsidDel="00000000" w:rsidP="00000000" w:rsidRDefault="00000000" w:rsidRPr="00000000" w14:paraId="000001D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correctness and extraction quality</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catalog case provides deterministic expected outcomes for data normalization, schema validation, serialization, and in-memory persistence. These checks assess application data contracts independently of live web acquisition. Extraction accuracy requires a separate, rigorous comparison between acquired fields and independently annotated source documents.</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Extraction evaluation uses HTML and JSON fixtures containing manually annotated records and fields. Critical cases include missing fields, altered element order, duplicate rows, pagination boundaries, encoding variation, and malformed numeric values. Let \(R\) denote the set of retrieved records and \(G\) the ground-truth reference set; record-level precision, recall, and F1 score are computed as follows:</w:t>
      </w:r>
      <m:oMath>
        <m:r>
          <w:rPr>
            <w:rFonts w:ascii="Google Sans" w:cs="Google Sans" w:eastAsia="Google Sans" w:hAnsi="Google Sans"/>
            <w:color w:val="1f1f1f"/>
          </w:rPr>
          <m:t xml:space="preserve">R</m:t>
        </m:r>
      </m:oMath>
      <w:r w:rsidDel="00000000" w:rsidR="00000000" w:rsidRPr="00000000">
        <w:rPr>
          <w:rFonts w:ascii="Google Sans" w:cs="Google Sans" w:eastAsia="Google Sans" w:hAnsi="Google Sans"/>
          <w:color w:val="1f1f1f"/>
          <w:rtl w:val="0"/>
        </w:rPr>
      </w:r>
      <m:oMath>
        <m:r>
          <w:rPr>
            <w:rFonts w:ascii="Google Sans" w:cs="Google Sans" w:eastAsia="Google Sans" w:hAnsi="Google Sans"/>
            <w:color w:val="1f1f1f"/>
          </w:rPr>
          <m:t xml:space="preserve">G</m:t>
        </m:r>
      </m:oMath>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Precision=</m:t>
        </m:r>
        <m:f>
          <m:fPr>
            <m:ctrlPr>
              <w:rPr>
                <w:rFonts w:ascii="Google Sans" w:cs="Google Sans" w:eastAsia="Google Sans" w:hAnsi="Google Sans"/>
                <w:color w:val="1f1f1f"/>
              </w:rPr>
            </m:ctrlPr>
          </m:fPr>
          <m:num>
            <m:r>
              <w:rPr>
                <w:rFonts w:ascii="Google Sans" w:cs="Google Sans" w:eastAsia="Google Sans" w:hAnsi="Google Sans"/>
                <w:color w:val="1f1f1f"/>
              </w:rPr>
              <m:t xml:space="preserve">|R</m:t>
            </m:r>
            <m:r>
              <w:rPr>
                <w:rFonts w:ascii="Google Sans" w:cs="Google Sans" w:eastAsia="Google Sans" w:hAnsi="Google Sans"/>
                <w:color w:val="1f1f1f"/>
              </w:rPr>
              <m:t>∩</m:t>
            </m:r>
            <m:r>
              <w:rPr>
                <w:rFonts w:ascii="Google Sans" w:cs="Google Sans" w:eastAsia="Google Sans" w:hAnsi="Google Sans"/>
                <w:color w:val="1f1f1f"/>
              </w:rPr>
              <m:t xml:space="preserve">G|</m:t>
            </m:r>
          </m:num>
          <m:den>
            <m:r>
              <w:rPr>
                <w:rFonts w:ascii="Google Sans" w:cs="Google Sans" w:eastAsia="Google Sans" w:hAnsi="Google Sans"/>
                <w:color w:val="1f1f1f"/>
              </w:rPr>
              <m:t xml:space="preserve">|R|</m:t>
            </m:r>
          </m:den>
        </m:f>
        <m:r>
          <w:rPr>
            <w:rFonts w:ascii="Google Sans" w:cs="Google Sans" w:eastAsia="Google Sans" w:hAnsi="Google Sans"/>
            <w:color w:val="1f1f1f"/>
          </w:rPr>
          <m:t xml:space="preserve">,Recall=</m:t>
        </m:r>
        <m:f>
          <m:fPr>
            <m:ctrlPr>
              <w:rPr>
                <w:rFonts w:ascii="Google Sans" w:cs="Google Sans" w:eastAsia="Google Sans" w:hAnsi="Google Sans"/>
                <w:color w:val="1f1f1f"/>
              </w:rPr>
            </m:ctrlPr>
          </m:fPr>
          <m:num>
            <m:r>
              <w:rPr>
                <w:rFonts w:ascii="Google Sans" w:cs="Google Sans" w:eastAsia="Google Sans" w:hAnsi="Google Sans"/>
                <w:color w:val="1f1f1f"/>
              </w:rPr>
              <m:t xml:space="preserve">|R</m:t>
            </m:r>
            <m:r>
              <w:rPr>
                <w:rFonts w:ascii="Google Sans" w:cs="Google Sans" w:eastAsia="Google Sans" w:hAnsi="Google Sans"/>
                <w:color w:val="1f1f1f"/>
              </w:rPr>
              <m:t>∩</m:t>
            </m:r>
            <m:r>
              <w:rPr>
                <w:rFonts w:ascii="Google Sans" w:cs="Google Sans" w:eastAsia="Google Sans" w:hAnsi="Google Sans"/>
                <w:color w:val="1f1f1f"/>
              </w:rPr>
              <m:t xml:space="preserve">G|</m:t>
            </m:r>
          </m:num>
          <m:den>
            <m:r>
              <w:rPr>
                <w:rFonts w:ascii="Google Sans" w:cs="Google Sans" w:eastAsia="Google Sans" w:hAnsi="Google Sans"/>
                <w:color w:val="1f1f1f"/>
              </w:rPr>
              <m:t xml:space="preserve">|G|</m:t>
            </m:r>
          </m:den>
        </m:f>
        <m:r>
          <w:rPr>
            <w:rFonts w:ascii="Google Sans" w:cs="Google Sans" w:eastAsia="Google Sans" w:hAnsi="Google Sans"/>
            <w:color w:val="1f1f1f"/>
          </w:rPr>
          <m:t xml:space="preserve">.(7)</m:t>
        </m:r>
      </m:oMath>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Record-matching criteria and empty-denominator handling must be fixed before scoring. Field-level accuracy, rejection correctness, and persistence round-trip fidelity measure distinct failure modes and should be reported separately. Archived snapshots enable repeatable extraction regressions, whereas live-site evaluation requires recording acquisition timestamps, network conditions, and environmental configuration.</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8. Evaluation layers and their corresponding evidence.</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question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and measures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Language conformance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each supported construction preserve its specified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assertions, failures, side-effects, and completion order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Reproducible translation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a fixed compilation context reproduce its exact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Repeated fresh runs, cryptographic hashes, manifests, and config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the intended records and fields accurately acquired?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Annotated snapshots; precision, recall, and field-level accuracy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transformation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normalization, exclusion, and derived variables correct?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Boundary cases, zero/missing distinctions, duplicate policies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Persistence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outputs faithfully preserved and attributable?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Read/write round-trip, schema validation, provenance inspection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researchers understand and correctly approve programs?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Comprehension scores, defect detection, false approvals, and 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 an AI produce correct end-to-end programs within budget?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success, repair iterations, latency, and resource 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Localization and portability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alternative surfaces and targets preserve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Canonical equivalence and cross-runtime observations</w:t>
            </w:r>
          </w:p>
        </w:tc>
      </w:tr>
    </w:tbl>
    <w:p w:rsidR="00000000" w:rsidDel="00000000" w:rsidP="00000000" w:rsidRDefault="00000000" w:rsidRPr="00000000" w14:paraId="000001F6">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comprehension and calibrated trust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human-evaluation protocol compares DEAL.JS directly with vanilla JavaScript, Python, and—for overlapping web tasks—_hyperscript. A counterbalanced experimental design separates language effects from task execution order, with domain researchers possessing limited professional programming experience serving as the primary participant population. Tasks involving output prediction, modification of extraction criteria, identification of normalization errors, and approval of AI-proposed workflows evaluate different facets of human comprehension.</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Accurate review is the primary human-outcome measure. The false-approval rate quantifies whether a readable surface notation induces unwarranted confidence. Let \(FP\) denote the number of incorrect workflows incorrectly approved and \(N_{</w:t>
        <w:tab/>
        <w:t>ext{incorrect}}\) the total number of incorrect workflows reviewed:</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FA</m:t>
            </m:r>
          </m:sub>
        </m:sSub>
      </m:oMath>
      <w:r w:rsidDel="00000000" w:rsidR="00000000" w:rsidRPr="00000000">
        <w:rPr>
          <w:rFonts w:ascii="Google Sans" w:cs="Google Sans" w:eastAsia="Google Sans" w:hAnsi="Google Sans"/>
          <w:color w:val="1f1f1f"/>
          <w:rtl w:val="0"/>
        </w:rPr>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I</m:t>
            </m:r>
          </m:sub>
        </m:sSub>
      </m:oMath>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FAR=</m:t>
        </m:r>
        <m:f>
          <m:fPr>
            <m:ctrlPr>
              <w:rPr>
                <w:rFonts w:ascii="Google Sans" w:cs="Google Sans" w:eastAsia="Google Sans" w:hAnsi="Google Sans"/>
                <w:color w:val="1f1f1f"/>
              </w:rPr>
            </m:ctrlPr>
          </m:fPr>
          <m:num>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FA</m:t>
                </m:r>
              </m:sub>
            </m:sSub>
          </m:num>
          <m:den>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I</m:t>
                </m:r>
              </m:sub>
            </m:sSub>
          </m:den>
        </m:f>
        <m:r>
          <w:rPr>
            <w:rFonts w:ascii="Google Sans" w:cs="Google Sans" w:eastAsia="Google Sans" w:hAnsi="Google Sans"/>
            <w:color w:val="1f1f1f"/>
          </w:rPr>
          <m:t xml:space="preserve">.(8)</m:t>
        </m:r>
      </m:oMath>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Lower values indicate fewer defective workflows accepted as correct. Completion time, cognitive workload, explanation quality, and qualitative interview data provide complementary evidence. Sample sizes should be determined through pilot-informed power and precision analyses that account for outcome variability and task heterogeneity.</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domain APIs, documentation, training materials, and task specifications must be provided across all experimental conditions. Statistical analysis must account for participant and task variation, prior language familiarity, English language proficiency, order effects, and uncertainty intervals. These rigorous controls directly address the distinctions among surface syntax, API design, and actual comprehension highlighted by prior usability research.</w:t>
      </w:r>
    </w:p>
    <w:p w:rsidR="00000000" w:rsidDel="00000000" w:rsidP="00000000" w:rsidRDefault="00000000" w:rsidRPr="00000000" w14:paraId="000001F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generation, performance, and ablation</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AI-generation protocol holds task specifications, documentation, library contracts, model versions, and automated repair budgets constant while varying the output representation language. Providing direct JavaScript with identical domain APIs isolates notation quality from underlying library power. A structured-schema condition can additionally distinguish general benefits of constrained program representations from benefits specific to DEAL syntax.</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End-to-end success requires successful parsing, compilation, runtime completion, and satisfaction of all task-specific output validations. For \(N\) evaluation tasks, functional success is defined as:</w:t>
      </w:r>
      <m:oMath>
        <m:r>
          <w:rPr>
            <w:rFonts w:ascii="Google Sans" w:cs="Google Sans" w:eastAsia="Google Sans" w:hAnsi="Google Sans"/>
            <w:color w:val="1f1f1f"/>
          </w:rPr>
          <m:t xml:space="preserve">N</m:t>
        </m:r>
      </m:oMath>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FS=</m:t>
        </m:r>
        <m:f>
          <m:fPr>
            <m:ctrlPr>
              <w:rPr>
                <w:rFonts w:ascii="Google Sans" w:cs="Google Sans" w:eastAsia="Google Sans" w:hAnsi="Google Sans"/>
                <w:color w:val="1f1f1f"/>
              </w:rPr>
            </m:ctrlPr>
          </m:fPr>
          <m:num>
            <m:r>
              <w:rPr>
                <w:rFonts w:ascii="Google Sans" w:cs="Google Sans" w:eastAsia="Google Sans" w:hAnsi="Google Sans"/>
                <w:color w:val="1f1f1f"/>
              </w:rPr>
              <m:t xml:space="preserve">1</m:t>
            </m:r>
          </m:num>
          <m:den>
            <m:r>
              <w:rPr>
                <w:rFonts w:ascii="Google Sans" w:cs="Google Sans" w:eastAsia="Google Sans" w:hAnsi="Google Sans"/>
                <w:color w:val="1f1f1f"/>
              </w:rPr>
              <m:t xml:space="preserve">N</m:t>
            </m:r>
          </m:den>
        </m:f>
        <m:nary>
          <m:naryPr>
            <m:chr m:val="∑"/>
            <m:ctrlPr>
              <w:rPr>
                <w:rFonts w:ascii="Google Sans" w:cs="Google Sans" w:eastAsia="Google Sans" w:hAnsi="Google Sans"/>
                <w:color w:val="1f1f1f"/>
              </w:rPr>
            </m:ctrlPr>
          </m:naryPr>
          <m:sub>
            <m:r>
              <w:rPr>
                <w:rFonts w:ascii="Google Sans" w:cs="Google Sans" w:eastAsia="Google Sans" w:hAnsi="Google Sans"/>
                <w:color w:val="1f1f1f"/>
              </w:rPr>
              <m:t xml:space="preserve">i=1</m:t>
            </m:r>
          </m:sub>
          <m:sup>
            <m:r>
              <w:rPr>
                <w:rFonts w:ascii="Google Sans" w:cs="Google Sans" w:eastAsia="Google Sans" w:hAnsi="Google Sans"/>
                <w:color w:val="1f1f1f"/>
              </w:rPr>
              <m:t xml:space="preserve">N</m:t>
            </m:r>
          </m:sup>
        </m:nary>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z</m:t>
            </m:r>
          </m:e>
          <m:sub>
            <m:r>
              <w:rPr>
                <w:rFonts w:ascii="Google Sans" w:cs="Google Sans" w:eastAsia="Google Sans" w:hAnsi="Google Sans"/>
                <w:color w:val="1f1f1f"/>
              </w:rPr>
              <m:t xml:space="preserve">i</m:t>
            </m:r>
          </m:sub>
        </m:sSub>
        <m:r>
          <w:rPr>
            <w:rFonts w:ascii="Google Sans" w:cs="Google Sans" w:eastAsia="Google Sans" w:hAnsi="Google Sans"/>
            <w:color w:val="1f1f1f"/>
          </w:rPr>
          <m:t xml:space="preserve">.(9)</m:t>
        </m:r>
      </m:oMath>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Here, \(x_i=1\) only when task \(i\) satisfies every mandatory verification check, and \(x_i=0\) otherwise. Malformed output and unresolved dependencies are scored as failures. First-attempt success and success within a fixed repair budget are reported separately, together with token consumption, latency, and human correction effort. Execution-based evaluation follows established code-generation assessment practice; grammar-constrained decoding improves syntactic validity but does not substitute for functional verification [5,26,27].</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z</m:t>
            </m:r>
          </m:e>
          <m:sub>
            <m:r>
              <w:rPr>
                <w:rFonts w:ascii="Google Sans" w:cs="Google Sans" w:eastAsia="Google Sans" w:hAnsi="Google Sans"/>
                <w:color w:val="1f1f1f"/>
              </w:rPr>
              <m:t xml:space="preserve">i</m:t>
            </m:r>
          </m:sub>
        </m:sSub>
        <m:r>
          <w:rPr>
            <w:rFonts w:ascii="Google Sans" w:cs="Google Sans" w:eastAsia="Google Sans" w:hAnsi="Google Sans"/>
            <w:color w:val="1f1f1f"/>
          </w:rPr>
          <m:t xml:space="preserve">=1</m:t>
        </m:r>
      </m:oMath>
      <w:r w:rsidDel="00000000" w:rsidR="00000000" w:rsidRPr="00000000">
        <w:rPr>
          <w:rFonts w:ascii="Google Sans" w:cs="Google Sans" w:eastAsia="Google Sans" w:hAnsi="Google Sans"/>
          <w:color w:val="1f1f1f"/>
          <w:rtl w:val="0"/>
        </w:rPr>
      </w:r>
      <m:oMath>
        <m:r>
          <w:rPr>
            <w:rFonts w:ascii="Google Sans" w:cs="Google Sans" w:eastAsia="Google Sans" w:hAnsi="Google Sans"/>
            <w:color w:val="1f1f1f"/>
          </w:rPr>
          <m:t xml:space="preserve">i</m:t>
        </m:r>
      </m:oMath>
      <w:r w:rsidDel="00000000" w:rsidR="00000000" w:rsidRPr="00000000">
        <w:rPr>
          <w:rFonts w:ascii="Google Sans" w:cs="Google Sans" w:eastAsia="Google Sans" w:hAnsi="Google Sans"/>
          <w:color w:val="1f1f1f"/>
          <w:rtl w:val="0"/>
        </w:rPr>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z</m:t>
            </m:r>
          </m:e>
          <m:sub>
            <m:r>
              <w:rPr>
                <w:rFonts w:ascii="Google Sans" w:cs="Google Sans" w:eastAsia="Google Sans" w:hAnsi="Google Sans"/>
                <w:color w:val="1f1f1f"/>
              </w:rPr>
              <m:t xml:space="preserve">i</m:t>
            </m:r>
          </m:sub>
        </m:sSub>
        <m:r>
          <w:rPr>
            <w:rFonts w:ascii="Google Sans" w:cs="Google Sans" w:eastAsia="Google Sans" w:hAnsi="Google Sans"/>
            <w:color w:val="1f1f1f"/>
          </w:rPr>
          <m:t xml:space="preserve">=0</m:t>
        </m:r>
      </m:oMath>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performance costs are decomposed into compiler execution time, module initialization overhead, browser/network latency, data processing duration, memory utilization, output size, and steady-state execution speed. Cold and warm runs are measured as distinct operational conditions. Ablation studies isolating vocabulary adaptation, document-like presentation, contextual handlers, and domain commands identify which specific architectural mechanisms drive observed performance effects rather than attributing every difference to the language as a whole.</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Locale studies must compare identical tasks featuring fixed identifiers and controlled vocabulary modules, rather than assuming translation benefits all participants equally. Backend studies must begin with a restricted portable subset and document any unsupported constructs transparently. These evaluations complete the bridge from theoretical language design to empirical evidence without treating a working implementation as proof of every intended advantage.</w:t>
      </w:r>
    </w:p>
    <w:p w:rsidR="00000000" w:rsidDel="00000000" w:rsidP="00000000" w:rsidRDefault="00000000" w:rsidRPr="00000000" w14:paraId="000002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analysis and case-validation results</w:t>
      </w:r>
    </w:p>
    <w:p w:rsidR="00000000" w:rsidDel="00000000" w:rsidP="00000000" w:rsidRDefault="00000000" w:rsidRPr="00000000" w14:paraId="0000020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 and extension boundaries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RQ1, our language model establishes a clean, explicit path from high-level domain commands and control structures down to generated JavaScript and host execution. By cleanly separating structural syntax, reusable operations, vocabulary modules, and contextual handlers, DEAL makes distinct extension decisions fully visible without requiring an entirely new language for every specialized domain. Our matched examples place DEAL within established programming traditions while highlighting its central focus on a common, reviewable workflow representation.</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RQ2, vocabulary equivalence is conditional upon identical canonical normalization and a fixed compilation context. The underlying logical argument is straightforward: substituting identically normalized inputs into the same deterministic compilation function produces identical generated artifacts; executing those artifacts within aligned environments yields identical specified observations. However, cross-backend equivalence requires an additional formal preservation relation and cannot be inferred simply from the existence of a single JavaScript implementation.</w:t>
      </w:r>
    </w:p>
    <w:p w:rsidR="00000000" w:rsidDel="00000000" w:rsidP="00000000" w:rsidRDefault="00000000" w:rsidRPr="00000000" w14:paraId="0000020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composition and functional validation</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RQ3, our worked application successfully composes data acquisition, field extraction, normalization, validation, derived-variable computation, and persistence while keeping exclusion criteria transparent. The DEAL orchestration layer coordinates these operations, domain functions define their rigorous data contracts, and the storage interface records their outputs. This separation enables researchers to inspect specific data processing decisions without conflating them with page selectors or storage backend implementations.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All 19 case-validation assertions execute successfully. The five-record fixture produces exactly two accepted records and three rejections: a duplicate identifier, a missing price, and an out-of-range discount. The assertions verify identifier and title normalization, discount arithmetic, valid zero values, rejection-reason logging, provenance metadata, schema-version tagging, JSONL round-trip serialization, in-memory persistence, and selector-to-field wiring through a document-shaped test double. The fixed timestamp is fixture data rather than a live acquisition measurement.</w:t>
      </w:r>
    </w:p>
    <w:p w:rsidR="00000000" w:rsidDel="00000000" w:rsidP="00000000" w:rsidRDefault="00000000" w:rsidRPr="00000000" w14:paraId="0000021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Interpretation of the evidence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These results validate the specified data-processing and persistence behavior for the synthetic inputs. They do not establish whole-language conformance, live-web extraction accuracy, localization equivalence, backend portability, or a human-performance advantage. The proposed conformance, extraction, human-review, and AI-generation protocols are designed to assess these outcomes separately.</w:t>
      </w:r>
    </w:p>
    <w:p w:rsidR="00000000" w:rsidDel="00000000" w:rsidP="00000000" w:rsidRDefault="00000000" w:rsidRPr="00000000" w14:paraId="000002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Discussion, limitations, and future directions</w:t>
      </w:r>
    </w:p>
    <w:p w:rsidR="00000000" w:rsidDel="00000000" w:rsidP="00000000" w:rsidRDefault="00000000" w:rsidRPr="00000000" w14:paraId="0000021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Implications for human–AI research programming</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conceptual implication of this work is a deliberate shift from exchanging prose descriptions of code to active human–AI collaboration centered on a shared, executable program. A domain researcher can review and revise an inclusion criterion at the exact level where it is discussed, an AI system can propose corresponding refinements, and conventional execution remains firmly anchored in generated JavaScript. This makes the language an effective human-to-machine communication mechanism without reducing execution semantics to unpredictable natural language.</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Abstraction quality remains paramount. A well-designed domain command exposes the exact aspects of an operation that influence scientific interpretation while encapsulating incidental mechanics. For instance, a normalization command should expose missing-value policies and duplicate handling for human audit, even when DOM traversal and serialization are handled elsewhere. Workflows remain inspectable only as long as users can effortlessly traverse between these levels of abstraction.</w:t>
      </w:r>
    </w:p>
    <w:p w:rsidR="00000000" w:rsidDel="00000000" w:rsidP="00000000" w:rsidRDefault="00000000" w:rsidRPr="00000000" w14:paraId="0000021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Threats to validity and limitations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construct-validity threat is equating surface readability with true comprehension. Our functional assertions do not measure human oversight capability, and self-reported usability ratings alone cannot establish accurate code review. The internal validity of our case experiment is bounded by shared assumptions between its helper functions and test assertions; independent oracles and mutation testing offer stronger safeguards against latent bugs. External validity is constrained by the synthetic catalog fixture, a single runtime engine, an in-memory storage connector, and a document-shaped test double.</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commands shift cognitive complexity rather than abolishing it. A concise command may conceal extensive underlying code, a localized synonym could inadvertently introduce ambiguity or ecosystem fragmentation, and contextual handlers might obscure underlying dependencies. Users must retain the ability to inspect underlying contracts and drill down to raw implementation when necessary; generated source code, test harnesses, and execution traces must remain accessible.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interoperability introduces a deliberate architectural tension. While it successfully supports existing libraries and incremental adoption, arbitrary embedded host code constrains static code analysis, security guarantees, and cross-backend portability. Readability can never substitute for robust permission boundaries, runtime isolation, or rigorous testing; nor can a correct computational pipeline guarantee that acquired data are representative or that a scientific interpretation is valid.</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completeness is distinct from empirical coverage. Our recorded experiments establish specified transformation and storage behaviors, whereas participant effects, AI-generation advantages, live-site extraction robustness, and cross-backend equivalence remain unmeasured. Our analytical contracts define formal preservation conditions rather than claiming machine-checked proofs for the entire compiler.</w:t>
      </w:r>
    </w:p>
    <w:p w:rsidR="00000000" w:rsidDel="00000000" w:rsidP="00000000" w:rsidRDefault="00000000" w:rsidRPr="00000000" w14:paraId="0000021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roadmap</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work will extend the completed language along several productive research directions. A formalized language standard and machine-checkable module contracts would strengthen independent implementations and formal conformance certification. Bidirectional tooling linking domain commands directly to generated JavaScript, exact dependency versions, and execution traces would greatly enhance multi-level review. The most valuable interfaces will highlight data exclusions and side effects rather than merely presenting attractive source text.</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third direction involves expanding beyond web scraping into new domains: bibliographic harvesting, software repository mining, text corpus preparation, simulation setup, and experimental data processing provide rich candidate workflows. Each new module must contribute reusable contracts, representative fixtures, and domain-review guidance. Introducing new vocabulary without a stable operational specification would weaken rather than strengthen the shared-language objective.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fourth direction encompasses optional multilingual developer tooling, including localized diagnostics and documentation alongside syntax aliases. A fifth direction focuses on defining a backend-neutral subset with explicit foreign-language escape boundaries and rigorous cross-implementation conformance tests. A sixth direction involves integrating grammar-aware AI code generation, leveraging the language's constrained structure while maintaining a strict focus on functional correctness over surface syntax alone.</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research use additionally demands permission-aware data acquisition, rate limiting, privacy protection, strict access controls, and transparent retention policies. Data provenance and standard serialization formats support scientific reuse, while institutional and legal regulations dictate whether a specific acquisition is permissible. These remain properties of the surrounding research ecosystem and institutional governance, rather than automatic benefits conferred by DEAL alone.</w:t>
      </w:r>
    </w:p>
    <w:p w:rsidR="00000000" w:rsidDel="00000000" w:rsidP="00000000" w:rsidRDefault="00000000" w:rsidRPr="00000000" w14:paraId="000002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DEAL provides a shared programming representation for human–AI research workflows. Structures express control flow, commands encapsulate domain operations, reserves adapt human vocabulary, and handlers expose computational context. DEAL.JS realizes these mechanisms through JavaScript interoperability and staged source-to-source compilation, thereby connecting readable research intent to an inspectable executable program.</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The contribution is a working integration of domain-oriented notation, JavaScript execution, modular operations, and adaptable vocabulary. The catalog workflow demonstrates acquisition, extraction, preprocessing, derived-variable computation, validation, deduplication, and storage within one representation. Its executed assertions establish the specified application data contract, while the formal account identifies conditions for deterministic translation, localized equivalence, and reuse across alternative implementations.</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DEAL therefore provides a language-engineering foundation for inspectable human–AI research programming. Its broader significance lies in decoupling human-facing terminology from computational operations without detaching either from executable evidence. Future research can determine when this representation improves accurate review, reduces repair effort, and supports reuse across scientific domains and linguistic communities.</w:t>
      </w:r>
    </w:p>
    <w:p w:rsidR="00000000" w:rsidDel="00000000" w:rsidP="00000000" w:rsidRDefault="00000000" w:rsidRPr="00000000" w14:paraId="000002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Glossary</w:t>
      </w:r>
    </w:p>
    <w:p w:rsidR="00000000" w:rsidDel="00000000" w:rsidP="00000000" w:rsidRDefault="00000000" w:rsidRPr="00000000" w14:paraId="0000022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DEAL:</w:t>
      </w:r>
      <w:r w:rsidDel="00000000" w:rsidR="00000000" w:rsidRPr="00000000">
        <w:rPr>
          <w:rFonts w:ascii="Google Sans" w:cs="Google Sans" w:eastAsia="Google Sans" w:hAnsi="Google Sans"/>
          <w:color w:val="1f1f1f"/>
          <w:rtl w:val="0"/>
        </w:rPr>
        <w:t xml:space="preserve"> Declarative and Extensible Abstract Language, the shared programming model examined in this article.</w:t>
      </w:r>
    </w:p>
    <w:p w:rsidR="00000000" w:rsidDel="00000000" w:rsidP="00000000" w:rsidRDefault="00000000" w:rsidRPr="00000000" w14:paraId="0000022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DEAL.JS:</w:t>
      </w:r>
      <w:r w:rsidDel="00000000" w:rsidR="00000000" w:rsidRPr="00000000">
        <w:rPr>
          <w:rFonts w:ascii="Google Sans" w:cs="Google Sans" w:eastAsia="Google Sans" w:hAnsi="Google Sans"/>
          <w:color w:val="1f1f1f"/>
          <w:rtl w:val="0"/>
        </w:rPr>
        <w:t xml:space="preserve"> The JavaScript-targeting realization of DEAL.</w:t>
      </w:r>
    </w:p>
    <w:p w:rsidR="00000000" w:rsidDel="00000000" w:rsidP="00000000" w:rsidRDefault="00000000" w:rsidRPr="00000000" w14:paraId="0000022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Reserve:</w:t>
      </w:r>
      <w:r w:rsidDel="00000000" w:rsidR="00000000" w:rsidRPr="00000000">
        <w:rPr>
          <w:rFonts w:ascii="Google Sans" w:cs="Google Sans" w:eastAsia="Google Sans" w:hAnsi="Google Sans"/>
          <w:color w:val="1f1f1f"/>
          <w:rtl w:val="0"/>
        </w:rPr>
        <w:t xml:space="preserve"> A declared vocabulary replacement or a permitted readability word.</w:t>
      </w:r>
    </w:p>
    <w:p w:rsidR="00000000" w:rsidDel="00000000" w:rsidP="00000000" w:rsidRDefault="00000000" w:rsidRPr="00000000" w14:paraId="0000022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Handler:</w:t>
      </w:r>
      <w:r w:rsidDel="00000000" w:rsidR="00000000" w:rsidRPr="00000000">
        <w:rPr>
          <w:rFonts w:ascii="Google Sans" w:cs="Google Sans" w:eastAsia="Google Sans" w:hAnsi="Google Sans"/>
          <w:color w:val="1f1f1f"/>
          <w:rtl w:val="0"/>
        </w:rPr>
        <w:t xml:space="preserve"> A contextual reference to a current workspace object or operation.</w:t>
      </w:r>
    </w:p>
    <w:p w:rsidR="00000000" w:rsidDel="00000000" w:rsidP="00000000" w:rsidRDefault="00000000" w:rsidRPr="00000000" w14:paraId="0000022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normalization:</w:t>
      </w:r>
      <w:r w:rsidDel="00000000" w:rsidR="00000000" w:rsidRPr="00000000">
        <w:rPr>
          <w:rFonts w:ascii="Google Sans" w:cs="Google Sans" w:eastAsia="Google Sans" w:hAnsi="Google Sans"/>
          <w:color w:val="1f1f1f"/>
          <w:rtl w:val="0"/>
        </w:rPr>
        <w:t xml:space="preserve"> The analytical mapping from a configured human vocabulary to a common structural representation.</w:t>
      </w:r>
    </w:p>
    <w:p w:rsidR="00000000" w:rsidDel="00000000" w:rsidP="00000000" w:rsidRDefault="00000000" w:rsidRPr="00000000" w14:paraId="0000022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Portable subset:</w:t>
      </w:r>
      <w:r w:rsidDel="00000000" w:rsidR="00000000" w:rsidRPr="00000000">
        <w:rPr>
          <w:rFonts w:ascii="Google Sans" w:cs="Google Sans" w:eastAsia="Google Sans" w:hAnsi="Google Sans"/>
          <w:color w:val="1f1f1f"/>
          <w:rtl w:val="0"/>
        </w:rPr>
        <w:t xml:space="preserve"> A declared set of language constructions whose operational behavior is formally specified across target backends.</w:t>
      </w:r>
    </w:p>
    <w:p w:rsidR="00000000" w:rsidDel="00000000" w:rsidP="00000000" w:rsidRDefault="00000000" w:rsidRPr="00000000" w14:paraId="000002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availability</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language implementation, generic compiler framework, and execution host are openly available through DEAL.JS, DEAL Engine, and DEAL Environment. Accompanying research materials contain the case-study program, domain functions, synthetic fixtures, validation test suites, recorded outputs, editable diagram sources, and reference metadata. No human participant or live-acquisition data were utilized in the case-validation experiment.</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The language implementation, compiler framework, execution host, case-study program, synthetic fixtures, validation suites, recorded outputs, and diagram sources are available through the DEAL.JS, DEAL Engine, and DEAL Environment repositories. A versioned archival identifier should be assigned to the final research package before journal submission; the current development source is available at https://github.com/DEAL-X/DEAL-JS [6].</w:t>
      </w:r>
    </w:p>
    <w:p w:rsidR="00000000" w:rsidDel="00000000" w:rsidP="00000000" w:rsidRDefault="00000000" w:rsidRPr="00000000" w14:paraId="000002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 authorship contribution statement</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Mohammad Fathi: conceptualization, methodology, software, validation, investigation, data curation, writing – original draft, writing – review and editing, visualization, supervision. Mehrdad CheshmeSohrabi: methodology, software, validation, investigation, writing – review and editing. Ahmad Shabani: methodology, investigation, writing – review and editing. Ali Mansouri: methodology, investigation, writing – review and editing. All authors have read and approved the final manuscript.</w:t>
      </w:r>
    </w:p>
    <w:p w:rsidR="00000000" w:rsidDel="00000000" w:rsidP="00000000" w:rsidRDefault="00000000" w:rsidRPr="00000000" w14:paraId="000002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Declaration of competing interests</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The authors declare that they have no known competing financial interests or personal relationships that could have appeared to influence the work reported in this article.</w:t>
      </w:r>
    </w:p>
    <w:p w:rsidR="00000000" w:rsidDel="00000000" w:rsidP="00000000" w:rsidRDefault="00000000" w:rsidRPr="00000000" w14:paraId="000002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Funding</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This research received no specific grant from funding agencies in the public, commercial, or not-for-profit sectors.</w:t>
      </w:r>
    </w:p>
    <w:p w:rsidR="00000000" w:rsidDel="00000000" w:rsidP="00000000" w:rsidRDefault="00000000" w:rsidRPr="00000000" w14:paraId="000002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Declaration of generative AI and AI-assisted technologies in the writing process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Perplexity Computer (GPT 6.1 Sol) assisted with literature discovery, manuscript drafting and revision, case-study code implementation, and SVG diagram preparation. Diagrams were rendered programmatically with Node.js 20.20.2 and sharp 0.35.4; they represent conceptual explanatory structures rather than generated experimental observations. The authors reviewed and verified all AI-assisted content, take full responsibility for the integrity of the work, and approve its publication.</w:t>
      </w:r>
      <w:r w:rsidDel="00000000" w:rsidR="00000000" w:rsidRPr="00000000">
        <w:rPr>
          <w:rFonts w:ascii="Google Sans" w:cs="Google Sans" w:eastAsia="Google Sans" w:hAnsi="Google Sans"/>
          <w:i w:val="1"/>
          <w:iCs w:val="1"/>
          <w:color w:val="1f1f1f"/>
          <w:rtl w:val="0"/>
        </w:rPr>
      </w:r>
    </w:p>
    <w:p w:rsidR="00000000" w:rsidDel="00000000" w:rsidP="00000000" w:rsidRDefault="00000000" w:rsidRPr="00000000" w14:paraId="000002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Acknowledgements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The authors thank the maintainers and contributors of the DEAL.JS, DEAL Engine, and DEAL Environment projects, as well as the developers of the open-source tools and datasets that supported this research.</w:t>
      </w:r>
    </w:p>
    <w:p w:rsidR="00000000" w:rsidDel="00000000" w:rsidP="00000000" w:rsidRDefault="00000000" w:rsidRPr="00000000" w14:paraId="000002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Ko, A. J.; Abraham, R.; Beckwith, L.; Blackwell, A.; Burnett, M.; Erwig, M.; Scaffidi, C.; Lawrance, J.; Lieberman, H.; Myers, B.; Rosson, M. B.; Rothermel, G.; Shaw, M.; and Wiedenbeck, S. (2011). The state of the art in end-user software engineering. </w:t>
      </w:r>
      <w:r w:rsidDel="00000000" w:rsidR="00000000" w:rsidRPr="00000000">
        <w:rPr>
          <w:rFonts w:ascii="Google Sans" w:cs="Google Sans" w:eastAsia="Google Sans" w:hAnsi="Google Sans"/>
          <w:i w:val="1"/>
          <w:iCs w:val="1"/>
          <w:color w:val="1f1f1f"/>
          <w:rtl w:val="0"/>
        </w:rPr>
        <w:t xml:space="preserve">ACM Computing Surveys</w:t>
      </w:r>
      <w:r w:rsidDel="00000000" w:rsidR="00000000" w:rsidRPr="00000000">
        <w:rPr>
          <w:rFonts w:ascii="Google Sans" w:cs="Google Sans" w:eastAsia="Google Sans" w:hAnsi="Google Sans"/>
          <w:color w:val="1f1f1f"/>
          <w:rtl w:val="0"/>
        </w:rPr>
        <w:t xml:space="preserve">, 43(3). DOI: 10.1145/1922649.1922658. Available at: </w:t>
      </w:r>
      <w:hyperlink r:id="rId6">
        <w:r w:rsidDel="00000000" w:rsidR="00000000" w:rsidRPr="00000000">
          <w:rPr>
            <w:rFonts w:ascii="Google Sans" w:cs="Google Sans" w:eastAsia="Google Sans" w:hAnsi="Google Sans"/>
            <w:color w:val="000000"/>
            <w:u w:val="single"/>
            <w:rtl w:val="0"/>
          </w:rPr>
          <w:t xml:space="preserve">https://researchdiscovery.drexel.edu/esploro/outputs/journalArticle/The-State-of-the-Art-in/991019167334204721</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Barricelli, B. R.; Cassano, F.; Fogli, D.; and Piccinno, A. (2019). End-user development, end-user programming and end-user software engineering: A systematic mapping study. </w:t>
      </w:r>
      <w:r w:rsidDel="00000000" w:rsidR="00000000" w:rsidRPr="00000000">
        <w:rPr>
          <w:rFonts w:ascii="Google Sans" w:cs="Google Sans" w:eastAsia="Google Sans" w:hAnsi="Google Sans"/>
          <w:i w:val="1"/>
          <w:iCs w:val="1"/>
          <w:color w:val="1f1f1f"/>
          <w:rtl w:val="0"/>
        </w:rPr>
        <w:t xml:space="preserve">Journal of Systems and Software</w:t>
      </w:r>
      <w:r w:rsidDel="00000000" w:rsidR="00000000" w:rsidRPr="00000000">
        <w:rPr>
          <w:rFonts w:ascii="Google Sans" w:cs="Google Sans" w:eastAsia="Google Sans" w:hAnsi="Google Sans"/>
          <w:color w:val="1f1f1f"/>
          <w:rtl w:val="0"/>
        </w:rPr>
        <w:t xml:space="preserve">, 149, pp. 101-137. DOI: 10.1016/j.jss.2018.11.041. Available at: </w:t>
      </w:r>
      <w:hyperlink r:id="rId7">
        <w:r w:rsidDel="00000000" w:rsidR="00000000" w:rsidRPr="00000000">
          <w:rPr>
            <w:rFonts w:ascii="Google Sans" w:cs="Google Sans" w:eastAsia="Google Sans" w:hAnsi="Google Sans"/>
            <w:color w:val="000000"/>
            <w:u w:val="single"/>
            <w:rtl w:val="0"/>
          </w:rPr>
          <w:t xml:space="preserve">https://expertise.unimi.it/resource/item/669695?language=en-US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Vaithilingam, P.; Zhang, T.; and Glassman, E. L. (2022). Expectation vs. Experience: Evaluating the usability of code generation tools powered by large language models. </w:t>
      </w:r>
      <w:r w:rsidDel="00000000" w:rsidR="00000000" w:rsidRPr="00000000">
        <w:rPr>
          <w:rFonts w:ascii="Google Sans" w:cs="Google Sans" w:eastAsia="Google Sans" w:hAnsi="Google Sans"/>
          <w:i w:val="1"/>
          <w:iCs w:val="1"/>
          <w:color w:val="1f1f1f"/>
          <w:rtl w:val="0"/>
        </w:rPr>
        <w:t xml:space="preserve">Extended abstracts of the 2022 CHI conference on human factors in computing systems</w:t>
      </w:r>
      <w:r w:rsidDel="00000000" w:rsidR="00000000" w:rsidRPr="00000000">
        <w:rPr>
          <w:rFonts w:ascii="Google Sans" w:cs="Google Sans" w:eastAsia="Google Sans" w:hAnsi="Google Sans"/>
          <w:color w:val="1f1f1f"/>
          <w:rtl w:val="0"/>
        </w:rPr>
        <w:t xml:space="preserve">, pp. 1-7. DOI: 10.1145/3491101.3519665. Available at: </w:t>
      </w:r>
      <w:hyperlink r:id="rId8">
        <w:r w:rsidDel="00000000" w:rsidR="00000000" w:rsidRPr="00000000">
          <w:rPr>
            <w:rFonts w:ascii="Google Sans" w:cs="Google Sans" w:eastAsia="Google Sans" w:hAnsi="Google Sans"/>
            <w:color w:val="000000"/>
            <w:u w:val="single"/>
            <w:rtl w:val="0"/>
          </w:rPr>
          <w:t xml:space="preserve">https://dl.acm.org/doi/pdf/10.1145/3491101.3519665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Chen, M., et al. (2021). Evaluating large language models trained on code. </w:t>
      </w:r>
      <w:r w:rsidDel="00000000" w:rsidR="00000000" w:rsidRPr="00000000">
        <w:rPr>
          <w:rFonts w:ascii="Google Sans" w:cs="Google Sans" w:eastAsia="Google Sans" w:hAnsi="Google Sans"/>
          <w:i w:val="1"/>
          <w:iCs w:val="1"/>
          <w:color w:val="1f1f1f"/>
          <w:rtl w:val="0"/>
        </w:rPr>
        <w:t xml:space="preserve">arXiv:2107.03374</w:t>
      </w:r>
      <w:r w:rsidDel="00000000" w:rsidR="00000000" w:rsidRPr="00000000">
        <w:rPr>
          <w:rFonts w:ascii="Google Sans" w:cs="Google Sans" w:eastAsia="Google Sans" w:hAnsi="Google Sans"/>
          <w:color w:val="1f1f1f"/>
          <w:rtl w:val="0"/>
        </w:rPr>
        <w:t xml:space="preserve">. Preprint. Available at: </w:t>
      </w:r>
      <w:hyperlink r:id="rId9">
        <w:r w:rsidDel="00000000" w:rsidR="00000000" w:rsidRPr="00000000">
          <w:rPr>
            <w:rFonts w:ascii="Google Sans" w:cs="Google Sans" w:eastAsia="Google Sans" w:hAnsi="Google Sans"/>
            <w:color w:val="000000"/>
            <w:u w:val="single"/>
            <w:rtl w:val="0"/>
          </w:rPr>
          <w:t xml:space="preserve">https://arxiv.org/abs/2107.03374</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Liu, J.; Xia, C. S.; Wang, Y.; and Zhang, L. (2023). Is your code generated by ChatGPT really correct? Rigorous evaluation of large language models for code generation. </w:t>
      </w:r>
      <w:r w:rsidDel="00000000" w:rsidR="00000000" w:rsidRPr="00000000">
        <w:rPr>
          <w:rFonts w:ascii="Google Sans" w:cs="Google Sans" w:eastAsia="Google Sans" w:hAnsi="Google Sans"/>
          <w:i w:val="1"/>
          <w:iCs w:val="1"/>
          <w:color w:val="1f1f1f"/>
          <w:rtl w:val="0"/>
        </w:rPr>
        <w:t xml:space="preserve">Advances in neural information processing systems</w:t>
      </w:r>
      <w:r w:rsidDel="00000000" w:rsidR="00000000" w:rsidRPr="00000000">
        <w:rPr>
          <w:rFonts w:ascii="Google Sans" w:cs="Google Sans" w:eastAsia="Google Sans" w:hAnsi="Google Sans"/>
          <w:color w:val="1f1f1f"/>
          <w:rtl w:val="0"/>
        </w:rPr>
        <w:t xml:space="preserve">, 36. Available at: </w:t>
      </w:r>
      <w:hyperlink r:id="rId10">
        <w:r w:rsidDel="00000000" w:rsidR="00000000" w:rsidRPr="00000000">
          <w:rPr>
            <w:rFonts w:ascii="Google Sans" w:cs="Google Sans" w:eastAsia="Google Sans" w:hAnsi="Google Sans"/>
            <w:color w:val="000000"/>
            <w:u w:val="single"/>
            <w:rtl w:val="0"/>
          </w:rPr>
          <w:t xml:space="preserve">https://proceedings.neurips.cc/paper_files/paper/2023/hash/43e9d647ccd3e4b7b5baab53f0368686-Abstract-Conference.html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DEAL-X (n.d.). DEAL.JS: Source code, README, libraries, and samples. Software. Version d76dcae3bf157e3969be0bd1f98ed2522defc2b9; accessed 19 October 2026. Available at: </w:t>
      </w:r>
      <w:hyperlink r:id="rId11">
        <w:r w:rsidDel="00000000" w:rsidR="00000000" w:rsidRPr="00000000">
          <w:rPr>
            <w:rFonts w:ascii="Google Sans" w:cs="Google Sans" w:eastAsia="Google Sans" w:hAnsi="Google Sans"/>
            <w:color w:val="000000"/>
            <w:u w:val="single"/>
            <w:rtl w:val="0"/>
          </w:rPr>
          <w:t xml:space="preserve">https://github.com/DEAL-X/DEAL-JS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Kuhn, T. (2014). A survey and classification of controlled natural languages. </w:t>
      </w:r>
      <w:r w:rsidDel="00000000" w:rsidR="00000000" w:rsidRPr="00000000">
        <w:rPr>
          <w:rFonts w:ascii="Google Sans" w:cs="Google Sans" w:eastAsia="Google Sans" w:hAnsi="Google Sans"/>
          <w:i w:val="1"/>
          <w:iCs w:val="1"/>
          <w:color w:val="1f1f1f"/>
          <w:rtl w:val="0"/>
        </w:rPr>
        <w:t xml:space="preserve">Computational Linguistics</w:t>
      </w:r>
      <w:r w:rsidDel="00000000" w:rsidR="00000000" w:rsidRPr="00000000">
        <w:rPr>
          <w:rFonts w:ascii="Google Sans" w:cs="Google Sans" w:eastAsia="Google Sans" w:hAnsi="Google Sans"/>
          <w:color w:val="1f1f1f"/>
          <w:rtl w:val="0"/>
        </w:rPr>
        <w:t xml:space="preserve">, 40(1), pp. 121-170. DOI: 10.1162/COLI_a_00168. Available at: </w:t>
      </w:r>
      <w:hyperlink r:id="rId12">
        <w:r w:rsidDel="00000000" w:rsidR="00000000" w:rsidRPr="00000000">
          <w:rPr>
            <w:rFonts w:ascii="Google Sans" w:cs="Google Sans" w:eastAsia="Google Sans" w:hAnsi="Google Sans"/>
            <w:color w:val="000000"/>
            <w:u w:val="single"/>
            <w:rtl w:val="0"/>
          </w:rPr>
          <w:t xml:space="preserve">https://aclanthology.org/J14-1005/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Spinellis, D. (2001). Notable design patterns for domain specific languages. </w:t>
      </w:r>
      <w:r w:rsidDel="00000000" w:rsidR="00000000" w:rsidRPr="00000000">
        <w:rPr>
          <w:rFonts w:ascii="Google Sans" w:cs="Google Sans" w:eastAsia="Google Sans" w:hAnsi="Google Sans"/>
          <w:i w:val="1"/>
          <w:iCs w:val="1"/>
          <w:color w:val="1f1f1f"/>
          <w:rtl w:val="0"/>
        </w:rPr>
        <w:t xml:space="preserve">Journal of Systems and Software</w:t>
      </w:r>
      <w:r w:rsidDel="00000000" w:rsidR="00000000" w:rsidRPr="00000000">
        <w:rPr>
          <w:rFonts w:ascii="Google Sans" w:cs="Google Sans" w:eastAsia="Google Sans" w:hAnsi="Google Sans"/>
          <w:color w:val="1f1f1f"/>
          <w:rtl w:val="0"/>
        </w:rPr>
        <w:t xml:space="preserve">, 56(1), pp. 91-99. DOI: 10.1016/S0164-1212(00)00089-3. Linked page is the author’s working-paper rendering, which identifies the preferred publication citation. Available at: </w:t>
      </w:r>
      <w:hyperlink r:id="rId13">
        <w:r w:rsidDel="00000000" w:rsidR="00000000" w:rsidRPr="00000000">
          <w:rPr>
            <w:rFonts w:ascii="Google Sans" w:cs="Google Sans" w:eastAsia="Google Sans" w:hAnsi="Google Sans"/>
            <w:color w:val="000000"/>
            <w:u w:val="single"/>
            <w:rtl w:val="0"/>
          </w:rPr>
          <w:t xml:space="preserve">https://www.spinellis.gr/pubs/jrnl/2000-JSS-DSLPatterns/html/dslpat.html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Lipton, Z. C. (2018). The mythos of model interpretability. </w:t>
      </w:r>
      <w:r w:rsidDel="00000000" w:rsidR="00000000" w:rsidRPr="00000000">
        <w:rPr>
          <w:rFonts w:ascii="Google Sans" w:cs="Google Sans" w:eastAsia="Google Sans" w:hAnsi="Google Sans"/>
          <w:i w:val="1"/>
          <w:iCs w:val="1"/>
          <w:color w:val="1f1f1f"/>
          <w:rtl w:val="0"/>
        </w:rPr>
        <w:t xml:space="preserve">Communications of the ACM</w:t>
      </w:r>
      <w:r w:rsidDel="00000000" w:rsidR="00000000" w:rsidRPr="00000000">
        <w:rPr>
          <w:rFonts w:ascii="Google Sans" w:cs="Google Sans" w:eastAsia="Google Sans" w:hAnsi="Google Sans"/>
          <w:color w:val="1f1f1f"/>
          <w:rtl w:val="0"/>
        </w:rPr>
        <w:t xml:space="preserve">, 61(10), pp. 36-43. DOI: 10.1145/3233231. Available at: </w:t>
      </w:r>
      <w:hyperlink r:id="rId14">
        <w:r w:rsidDel="00000000" w:rsidR="00000000" w:rsidRPr="00000000">
          <w:rPr>
            <w:rFonts w:ascii="Google Sans" w:cs="Google Sans" w:eastAsia="Google Sans" w:hAnsi="Google Sans"/>
            <w:color w:val="000000"/>
            <w:u w:val="single"/>
            <w:rtl w:val="0"/>
          </w:rPr>
          <w:t xml:space="preserve">https://vis.csail.mit.edu/classes/6.859/readings/pdfs/Lipton-TheMythosOfModelInterpretability.pdf</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Doshi-Velez, F.; and Kim, B. (2017). Towards a rigorous science of interpretable machine learning. </w:t>
      </w:r>
      <w:r w:rsidDel="00000000" w:rsidR="00000000" w:rsidRPr="00000000">
        <w:rPr>
          <w:rFonts w:ascii="Google Sans" w:cs="Google Sans" w:eastAsia="Google Sans" w:hAnsi="Google Sans"/>
          <w:i w:val="1"/>
          <w:iCs w:val="1"/>
          <w:color w:val="1f1f1f"/>
          <w:rtl w:val="0"/>
        </w:rPr>
        <w:t xml:space="preserve">arXiv:1702.08608</w:t>
      </w:r>
      <w:r w:rsidDel="00000000" w:rsidR="00000000" w:rsidRPr="00000000">
        <w:rPr>
          <w:rFonts w:ascii="Google Sans" w:cs="Google Sans" w:eastAsia="Google Sans" w:hAnsi="Google Sans"/>
          <w:color w:val="1f1f1f"/>
          <w:rtl w:val="0"/>
        </w:rPr>
        <w:t xml:space="preserve">. Position-paper preprint. Available at: </w:t>
      </w:r>
      <w:hyperlink r:id="rId15">
        <w:r w:rsidDel="00000000" w:rsidR="00000000" w:rsidRPr="00000000">
          <w:rPr>
            <w:rFonts w:ascii="Google Sans" w:cs="Google Sans" w:eastAsia="Google Sans" w:hAnsi="Google Sans"/>
            <w:color w:val="000000"/>
            <w:u w:val="single"/>
            <w:rtl w:val="0"/>
          </w:rPr>
          <w:t xml:space="preserve">https://arxiv.org/abs/1702.08608</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Rudin, C. (2019). Stop explaining black box machine learning models for high stakes decisions and use interpretable models instead. </w:t>
      </w:r>
      <w:r w:rsidDel="00000000" w:rsidR="00000000" w:rsidRPr="00000000">
        <w:rPr>
          <w:rFonts w:ascii="Google Sans" w:cs="Google Sans" w:eastAsia="Google Sans" w:hAnsi="Google Sans"/>
          <w:i w:val="1"/>
          <w:iCs w:val="1"/>
          <w:color w:val="1f1f1f"/>
          <w:rtl w:val="0"/>
        </w:rPr>
        <w:t xml:space="preserve">Nature Machine Intelligence</w:t>
      </w:r>
      <w:r w:rsidDel="00000000" w:rsidR="00000000" w:rsidRPr="00000000">
        <w:rPr>
          <w:rFonts w:ascii="Google Sans" w:cs="Google Sans" w:eastAsia="Google Sans" w:hAnsi="Google Sans"/>
          <w:color w:val="1f1f1f"/>
          <w:rtl w:val="0"/>
        </w:rPr>
        <w:t xml:space="preserve">, 1, pp. 206-215. DOI: 10.1038/s42256-019-0048-x. Available at: </w:t>
      </w:r>
      <w:hyperlink r:id="rId16">
        <w:r w:rsidDel="00000000" w:rsidR="00000000" w:rsidRPr="00000000">
          <w:rPr>
            <w:rFonts w:ascii="Google Sans" w:cs="Google Sans" w:eastAsia="Google Sans" w:hAnsi="Google Sans"/>
            <w:color w:val="000000"/>
            <w:u w:val="single"/>
            <w:rtl w:val="0"/>
          </w:rPr>
          <w:t xml:space="preserve">https://www.nature.com/articles/s42256-019-0048-x</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Sandve, G. K.; Nekrutenko, A.; Taylor, J.; and Hovig, E. (2013). Ten simple rules for reproducible computational research. </w:t>
      </w:r>
      <w:r w:rsidDel="00000000" w:rsidR="00000000" w:rsidRPr="00000000">
        <w:rPr>
          <w:rFonts w:ascii="Google Sans" w:cs="Google Sans" w:eastAsia="Google Sans" w:hAnsi="Google Sans"/>
          <w:i w:val="1"/>
          <w:iCs w:val="1"/>
          <w:color w:val="1f1f1f"/>
          <w:rtl w:val="0"/>
        </w:rPr>
        <w:t xml:space="preserve">PLOS Computational Biology</w:t>
      </w:r>
      <w:r w:rsidDel="00000000" w:rsidR="00000000" w:rsidRPr="00000000">
        <w:rPr>
          <w:rFonts w:ascii="Google Sans" w:cs="Google Sans" w:eastAsia="Google Sans" w:hAnsi="Google Sans"/>
          <w:color w:val="1f1f1f"/>
          <w:rtl w:val="0"/>
        </w:rPr>
        <w:t xml:space="preserve">, 9(10), Article e1003285. DOI: 10.1371/journal.pcbi.1003285. Available at: </w:t>
      </w:r>
      <w:hyperlink r:id="rId17">
        <w:r w:rsidDel="00000000" w:rsidR="00000000" w:rsidRPr="00000000">
          <w:rPr>
            <w:rFonts w:ascii="Google Sans" w:cs="Google Sans" w:eastAsia="Google Sans" w:hAnsi="Google Sans"/>
            <w:color w:val="000000"/>
            <w:u w:val="single"/>
            <w:rtl w:val="0"/>
          </w:rPr>
          <w:t xml:space="preserve">https://journals.plos.org/ploscompbiol/article?id=10.1371/journal.pcbi.1003285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Wilkinson, M. D., et al. (2016). The FAIR guiding principles for scientific data management and stewardship. </w:t>
      </w:r>
      <w:r w:rsidDel="00000000" w:rsidR="00000000" w:rsidRPr="00000000">
        <w:rPr>
          <w:rFonts w:ascii="Google Sans" w:cs="Google Sans" w:eastAsia="Google Sans" w:hAnsi="Google Sans"/>
          <w:i w:val="1"/>
          <w:iCs w:val="1"/>
          <w:color w:val="1f1f1f"/>
          <w:rtl w:val="0"/>
        </w:rPr>
        <w:t xml:space="preserve">Scientific Data</w:t>
      </w:r>
      <w:r w:rsidDel="00000000" w:rsidR="00000000" w:rsidRPr="00000000">
        <w:rPr>
          <w:rFonts w:ascii="Google Sans" w:cs="Google Sans" w:eastAsia="Google Sans" w:hAnsi="Google Sans"/>
          <w:color w:val="1f1f1f"/>
          <w:rtl w:val="0"/>
        </w:rPr>
        <w:t xml:space="preserve">, 3, Article 160018. DOI: 10.1038/sdata.2016.18. Available at: </w:t>
      </w:r>
      <w:hyperlink r:id="rId18">
        <w:r w:rsidDel="00000000" w:rsidR="00000000" w:rsidRPr="00000000">
          <w:rPr>
            <w:rFonts w:ascii="Google Sans" w:cs="Google Sans" w:eastAsia="Google Sans" w:hAnsi="Google Sans"/>
            <w:color w:val="000000"/>
            <w:u w:val="single"/>
            <w:rtl w:val="0"/>
          </w:rPr>
          <w:t xml:space="preserve">https://www.nature.com/articles/sdata201618</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Stefik, A.; and Siebert, S. (2013). An empirical investigation into programming language syntax. </w:t>
      </w:r>
      <w:r w:rsidDel="00000000" w:rsidR="00000000" w:rsidRPr="00000000">
        <w:rPr>
          <w:rFonts w:ascii="Google Sans" w:cs="Google Sans" w:eastAsia="Google Sans" w:hAnsi="Google Sans"/>
          <w:i w:val="1"/>
          <w:iCs w:val="1"/>
          <w:color w:val="1f1f1f"/>
          <w:rtl w:val="0"/>
        </w:rPr>
        <w:t xml:space="preserve">ACM Transactions on Computing Education</w:t>
      </w:r>
      <w:r w:rsidDel="00000000" w:rsidR="00000000" w:rsidRPr="00000000">
        <w:rPr>
          <w:rFonts w:ascii="Google Sans" w:cs="Google Sans" w:eastAsia="Google Sans" w:hAnsi="Google Sans"/>
          <w:color w:val="1f1f1f"/>
          <w:rtl w:val="0"/>
        </w:rPr>
        <w:t xml:space="preserve">, 13(4), pp. 19:1-19:40. DOI: 10.1145/2534973. Available at: </w:t>
      </w:r>
      <w:hyperlink r:id="rId19">
        <w:r w:rsidDel="00000000" w:rsidR="00000000" w:rsidRPr="00000000">
          <w:rPr>
            <w:rFonts w:ascii="Google Sans" w:cs="Google Sans" w:eastAsia="Google Sans" w:hAnsi="Google Sans"/>
            <w:color w:val="000000"/>
            <w:u w:val="single"/>
            <w:rtl w:val="0"/>
          </w:rPr>
          <w:t xml:space="preserve">https://eric.ed.gov/?id=EJ1042402</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Lappi, V.; Tirronen, V.; and Itkonen, J. (2023). A replication study on the intuitiveness of programming language syntax. </w:t>
      </w:r>
      <w:r w:rsidDel="00000000" w:rsidR="00000000" w:rsidRPr="00000000">
        <w:rPr>
          <w:rFonts w:ascii="Google Sans" w:cs="Google Sans" w:eastAsia="Google Sans" w:hAnsi="Google Sans"/>
          <w:i w:val="1"/>
          <w:iCs w:val="1"/>
          <w:color w:val="1f1f1f"/>
          <w:rtl w:val="0"/>
        </w:rPr>
        <w:t xml:space="preserve">Software Quality Journal</w:t>
      </w:r>
      <w:r w:rsidDel="00000000" w:rsidR="00000000" w:rsidRPr="00000000">
        <w:rPr>
          <w:rFonts w:ascii="Google Sans" w:cs="Google Sans" w:eastAsia="Google Sans" w:hAnsi="Google Sans"/>
          <w:color w:val="1f1f1f"/>
          <w:rtl w:val="0"/>
        </w:rPr>
        <w:t xml:space="preserve">, 31, pp. 1211-1240. DOI: 10.1007/s11219-023-09631-7. Available at: </w:t>
      </w:r>
      <w:hyperlink r:id="rId20">
        <w:r w:rsidDel="00000000" w:rsidR="00000000" w:rsidRPr="00000000">
          <w:rPr>
            <w:rFonts w:ascii="Google Sans" w:cs="Google Sans" w:eastAsia="Google Sans" w:hAnsi="Google Sans"/>
            <w:color w:val="000000"/>
            <w:u w:val="single"/>
            <w:rtl w:val="0"/>
          </w:rPr>
          <w:t xml:space="preserve">https://link.springer.com/article/10.1007/s11219-023-09631-7</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Green, T. R. G.; and Petre, M. (1996). Usability analysis of visual programming environments: A cognitive dimensions framework. </w:t>
      </w:r>
      <w:r w:rsidDel="00000000" w:rsidR="00000000" w:rsidRPr="00000000">
        <w:rPr>
          <w:rFonts w:ascii="Google Sans" w:cs="Google Sans" w:eastAsia="Google Sans" w:hAnsi="Google Sans"/>
          <w:i w:val="1"/>
          <w:iCs w:val="1"/>
          <w:color w:val="1f1f1f"/>
          <w:rtl w:val="0"/>
        </w:rPr>
        <w:t xml:space="preserve">Journal of Visual Languages and Computing</w:t>
      </w:r>
      <w:r w:rsidDel="00000000" w:rsidR="00000000" w:rsidRPr="00000000">
        <w:rPr>
          <w:rFonts w:ascii="Google Sans" w:cs="Google Sans" w:eastAsia="Google Sans" w:hAnsi="Google Sans"/>
          <w:color w:val="1f1f1f"/>
          <w:rtl w:val="0"/>
        </w:rPr>
        <w:t xml:space="preserve">, 7(2), pp. 131-174. DOI: 10.1006/jvlc.1996.0009. Linked text is the author manuscript. Available at: </w:t>
      </w:r>
      <w:hyperlink r:id="rId21">
        <w:r w:rsidDel="00000000" w:rsidR="00000000" w:rsidRPr="00000000">
          <w:rPr>
            <w:rFonts w:ascii="Google Sans" w:cs="Google Sans" w:eastAsia="Google Sans" w:hAnsi="Google Sans"/>
            <w:color w:val="000000"/>
            <w:u w:val="single"/>
            <w:rtl w:val="0"/>
          </w:rPr>
          <w:t xml:space="preserve">https://history.futureofcoding.org/history/msg_files/F6R/F6R1A64AF.pdf</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Heinonen, A.; Lehtelä, B.; Hellas, A.; and Fagerholm, F. (2023). Synthesizing research on programmers’ mental models of programs, tasks and concepts: A systematic literature review. </w:t>
      </w:r>
      <w:r w:rsidDel="00000000" w:rsidR="00000000" w:rsidRPr="00000000">
        <w:rPr>
          <w:rFonts w:ascii="Google Sans" w:cs="Google Sans" w:eastAsia="Google Sans" w:hAnsi="Google Sans"/>
          <w:i w:val="1"/>
          <w:iCs w:val="1"/>
          <w:color w:val="1f1f1f"/>
          <w:rtl w:val="0"/>
        </w:rPr>
        <w:t xml:space="preserve">Information and Software Technology</w:t>
      </w:r>
      <w:r w:rsidDel="00000000" w:rsidR="00000000" w:rsidRPr="00000000">
        <w:rPr>
          <w:rFonts w:ascii="Google Sans" w:cs="Google Sans" w:eastAsia="Google Sans" w:hAnsi="Google Sans"/>
          <w:color w:val="1f1f1f"/>
          <w:rtl w:val="0"/>
        </w:rPr>
        <w:t xml:space="preserve">, 164, Article 107300. DOI: 10.1016/j.infsof.2023.107300. Available at: </w:t>
      </w:r>
      <w:hyperlink r:id="rId22">
        <w:r w:rsidDel="00000000" w:rsidR="00000000" w:rsidRPr="00000000">
          <w:rPr>
            <w:rFonts w:ascii="Google Sans" w:cs="Google Sans" w:eastAsia="Google Sans" w:hAnsi="Google Sans"/>
            <w:color w:val="000000"/>
            <w:u w:val="single"/>
            <w:rtl w:val="0"/>
          </w:rPr>
          <w:t xml:space="preserve">https://www.sciencedirect.com/science/article/pii/S0950584923001544</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Keemps, R.; Farias, K.; Kunst, R.; Carbonera, C.; and Bolzan, W. (2025). SmellDSL: A domain-specific language to assist developers in specifying code smell patterns. </w:t>
      </w:r>
      <w:r w:rsidDel="00000000" w:rsidR="00000000" w:rsidRPr="00000000">
        <w:rPr>
          <w:rFonts w:ascii="Google Sans" w:cs="Google Sans" w:eastAsia="Google Sans" w:hAnsi="Google Sans"/>
          <w:i w:val="1"/>
          <w:iCs w:val="1"/>
          <w:color w:val="1f1f1f"/>
          <w:rtl w:val="0"/>
        </w:rPr>
        <w:t xml:space="preserve">Information and Software Technology</w:t>
      </w:r>
      <w:r w:rsidDel="00000000" w:rsidR="00000000" w:rsidRPr="00000000">
        <w:rPr>
          <w:rFonts w:ascii="Google Sans" w:cs="Google Sans" w:eastAsia="Google Sans" w:hAnsi="Google Sans"/>
          <w:color w:val="1f1f1f"/>
          <w:rtl w:val="0"/>
        </w:rPr>
        <w:t xml:space="preserve">, 184, Article 107760. DOI: 10.1016/j.infsof.2025.107760. Available at: </w:t>
      </w:r>
      <w:hyperlink r:id="rId23">
        <w:r w:rsidDel="00000000" w:rsidR="00000000" w:rsidRPr="00000000">
          <w:rPr>
            <w:rFonts w:ascii="Google Sans" w:cs="Google Sans" w:eastAsia="Google Sans" w:hAnsi="Google Sans"/>
            <w:color w:val="000000"/>
            <w:u w:val="single"/>
            <w:rtl w:val="0"/>
          </w:rPr>
          <w:t xml:space="preserve">https://www.sciencedirect.com/science/article/abs/pii/S0950584925000990</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_hyperscript project (n.d.). _hyperscript: Official language documentation. Online language documentation. Accessed 19 October 2026. Available at: </w:t>
      </w:r>
      <w:hyperlink r:id="rId24">
        <w:r w:rsidDel="00000000" w:rsidR="00000000" w:rsidRPr="00000000">
          <w:rPr>
            <w:rFonts w:ascii="Google Sans" w:cs="Google Sans" w:eastAsia="Google Sans" w:hAnsi="Google Sans"/>
            <w:color w:val="000000"/>
            <w:u w:val="single"/>
            <w:rtl w:val="0"/>
          </w:rPr>
          <w:t xml:space="preserve">https://hyperscript.org/</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_hyperscript project (n.d.). _hyperscript: Official reference. Online language documentation. Accessed 19 October 2026. Available at: </w:t>
      </w:r>
      <w:hyperlink r:id="rId25">
        <w:r w:rsidDel="00000000" w:rsidR="00000000" w:rsidRPr="00000000">
          <w:rPr>
            <w:rFonts w:ascii="Google Sans" w:cs="Google Sans" w:eastAsia="Google Sans" w:hAnsi="Google Sans"/>
            <w:color w:val="000000"/>
            <w:u w:val="single"/>
            <w:rtl w:val="0"/>
          </w:rPr>
          <w:t xml:space="preserve">https://hyperscript.org/reference/</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LiveCode (n.d.). LiveCode Script: Repeat control structure. Online language documentation. Accessed 19 October 2026. Available at: </w:t>
      </w:r>
      <w:hyperlink r:id="rId26">
        <w:r w:rsidDel="00000000" w:rsidR="00000000" w:rsidRPr="00000000">
          <w:rPr>
            <w:rFonts w:ascii="Google Sans" w:cs="Google Sans" w:eastAsia="Google Sans" w:hAnsi="Google Sans"/>
            <w:color w:val="000000"/>
            <w:u w:val="single"/>
            <w:rtl w:val="0"/>
          </w:rPr>
          <w:t xml:space="preserve">https://docs.livecode.com/docs/LiveCode%20Script/Control%20Structures/repeat/</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Erdweg, S.; Rendel, T.; Kästner, C.; and Ostermann, K. (2011). SugarJ: Library-based syntactic language extensibility. </w:t>
      </w:r>
      <w:r w:rsidDel="00000000" w:rsidR="00000000" w:rsidRPr="00000000">
        <w:rPr>
          <w:rFonts w:ascii="Google Sans" w:cs="Google Sans" w:eastAsia="Google Sans" w:hAnsi="Google Sans"/>
          <w:i w:val="1"/>
          <w:iCs w:val="1"/>
          <w:color w:val="1f1f1f"/>
          <w:rtl w:val="0"/>
        </w:rPr>
        <w:t xml:space="preserve">Proceedings of OOPSLA</w:t>
      </w:r>
      <w:r w:rsidDel="00000000" w:rsidR="00000000" w:rsidRPr="00000000">
        <w:rPr>
          <w:rFonts w:ascii="Google Sans" w:cs="Google Sans" w:eastAsia="Google Sans" w:hAnsi="Google Sans"/>
          <w:color w:val="1f1f1f"/>
          <w:rtl w:val="0"/>
        </w:rPr>
        <w:t xml:space="preserve">, pp. 391-406. Available at: </w:t>
      </w:r>
      <w:hyperlink r:id="rId27">
        <w:r w:rsidDel="00000000" w:rsidR="00000000" w:rsidRPr="00000000">
          <w:rPr>
            <w:rFonts w:ascii="Google Sans" w:cs="Google Sans" w:eastAsia="Google Sans" w:hAnsi="Google Sans"/>
            <w:color w:val="000000"/>
            <w:u w:val="single"/>
            <w:rtl w:val="0"/>
          </w:rPr>
          <w:t xml:space="preserve">https://www.pl.informatik.uni-mainz.de/files/2019/04/sugarj.pdf</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Kistler, T.; and Marais, H. (1998). WebL: A programming language for the web. </w:t>
      </w:r>
      <w:r w:rsidDel="00000000" w:rsidR="00000000" w:rsidRPr="00000000">
        <w:rPr>
          <w:rFonts w:ascii="Google Sans" w:cs="Google Sans" w:eastAsia="Google Sans" w:hAnsi="Google Sans"/>
          <w:i w:val="1"/>
          <w:iCs w:val="1"/>
          <w:color w:val="1f1f1f"/>
          <w:rtl w:val="0"/>
        </w:rPr>
        <w:t xml:space="preserve">Computer Networks and ISDN Systems</w:t>
      </w:r>
      <w:r w:rsidDel="00000000" w:rsidR="00000000" w:rsidRPr="00000000">
        <w:rPr>
          <w:rFonts w:ascii="Google Sans" w:cs="Google Sans" w:eastAsia="Google Sans" w:hAnsi="Google Sans"/>
          <w:color w:val="1f1f1f"/>
          <w:rtl w:val="0"/>
        </w:rPr>
        <w:t xml:space="preserve">, 30(1–7), pp. 259-270. DOI: 10.1016/S0169-7552(98)00018-X. Available at: </w:t>
      </w:r>
      <w:hyperlink r:id="rId28">
        <w:r w:rsidDel="00000000" w:rsidR="00000000" w:rsidRPr="00000000">
          <w:rPr>
            <w:rFonts w:ascii="Google Sans" w:cs="Google Sans" w:eastAsia="Google Sans" w:hAnsi="Google Sans"/>
            <w:color w:val="000000"/>
            <w:u w:val="single"/>
            <w:rtl w:val="0"/>
          </w:rPr>
          <w:t xml:space="preserve">https://www.ra.ethz.ch/cdstore/www7/1832/com1832.htm</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Ferrara, E.; De Meo, P.; Fiumara, G.; and Baumgartner, R. (2014). Web data extraction, applications and techniques: A survey. </w:t>
      </w:r>
      <w:r w:rsidDel="00000000" w:rsidR="00000000" w:rsidRPr="00000000">
        <w:rPr>
          <w:rFonts w:ascii="Google Sans" w:cs="Google Sans" w:eastAsia="Google Sans" w:hAnsi="Google Sans"/>
          <w:i w:val="1"/>
          <w:iCs w:val="1"/>
          <w:color w:val="1f1f1f"/>
          <w:rtl w:val="0"/>
        </w:rPr>
        <w:t xml:space="preserve">Knowledge-Based Systems</w:t>
      </w:r>
      <w:r w:rsidDel="00000000" w:rsidR="00000000" w:rsidRPr="00000000">
        <w:rPr>
          <w:rFonts w:ascii="Google Sans" w:cs="Google Sans" w:eastAsia="Google Sans" w:hAnsi="Google Sans"/>
          <w:color w:val="1f1f1f"/>
          <w:rtl w:val="0"/>
        </w:rPr>
        <w:t xml:space="preserve">, 70, pp. 301-323. DOI: 10.1016/j.knosys.2014.07.007. Linked record provides an author preprint and the published journal citation. Available at: </w:t>
      </w:r>
      <w:hyperlink r:id="rId29">
        <w:r w:rsidDel="00000000" w:rsidR="00000000" w:rsidRPr="00000000">
          <w:rPr>
            <w:rFonts w:ascii="Google Sans" w:cs="Google Sans" w:eastAsia="Google Sans" w:hAnsi="Google Sans"/>
            <w:color w:val="000000"/>
            <w:u w:val="single"/>
            <w:rtl w:val="0"/>
          </w:rPr>
          <w:t xml:space="preserve">https://arxiv.org/abs/1207.0246</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Gao, L.; Madaan, A.; Zhou, S.; Alon, U.; Liu, P.; Yang, Y.; Callan, J.; and Neubig, G. (2023). PAL: Program-aided language models. </w:t>
      </w:r>
      <w:r w:rsidDel="00000000" w:rsidR="00000000" w:rsidRPr="00000000">
        <w:rPr>
          <w:rFonts w:ascii="Google Sans" w:cs="Google Sans" w:eastAsia="Google Sans" w:hAnsi="Google Sans"/>
          <w:i w:val="1"/>
          <w:iCs w:val="1"/>
          <w:color w:val="1f1f1f"/>
          <w:rtl w:val="0"/>
        </w:rPr>
        <w:t xml:space="preserve">Proceedings of the 40th international conference on machine learning</w:t>
      </w:r>
      <w:r w:rsidDel="00000000" w:rsidR="00000000" w:rsidRPr="00000000">
        <w:rPr>
          <w:rFonts w:ascii="Google Sans" w:cs="Google Sans" w:eastAsia="Google Sans" w:hAnsi="Google Sans"/>
          <w:color w:val="1f1f1f"/>
          <w:rtl w:val="0"/>
        </w:rPr>
        <w:t xml:space="preserve">, 202, pp. 10764-10799. Available at: </w:t>
      </w:r>
      <w:hyperlink r:id="rId30">
        <w:r w:rsidDel="00000000" w:rsidR="00000000" w:rsidRPr="00000000">
          <w:rPr>
            <w:rFonts w:ascii="Google Sans" w:cs="Google Sans" w:eastAsia="Google Sans" w:hAnsi="Google Sans"/>
            <w:color w:val="000000"/>
            <w:u w:val="single"/>
            <w:rtl w:val="0"/>
          </w:rPr>
          <w:t xml:space="preserve">https://proceedings.mlr.press/v202/gao23f.html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Scholak, T.; Schucher, N.; and Bahdanau, D. (2021). PICARD: Parsing incrementally for constrained auto-regressive decoding from language models. </w:t>
      </w:r>
      <w:r w:rsidDel="00000000" w:rsidR="00000000" w:rsidRPr="00000000">
        <w:rPr>
          <w:rFonts w:ascii="Google Sans" w:cs="Google Sans" w:eastAsia="Google Sans" w:hAnsi="Google Sans"/>
          <w:i w:val="1"/>
          <w:iCs w:val="1"/>
          <w:color w:val="1f1f1f"/>
          <w:rtl w:val="0"/>
        </w:rPr>
        <w:t xml:space="preserve">Proceedings of the 2021 conference on empirical methods in natural language processing</w:t>
      </w:r>
      <w:r w:rsidDel="00000000" w:rsidR="00000000" w:rsidRPr="00000000">
        <w:rPr>
          <w:rFonts w:ascii="Google Sans" w:cs="Google Sans" w:eastAsia="Google Sans" w:hAnsi="Google Sans"/>
          <w:color w:val="1f1f1f"/>
          <w:rtl w:val="0"/>
        </w:rPr>
        <w:t xml:space="preserve">, pp. 9895-9901. DOI: 10.18653/v1/2021.emnlp-main.779. Available at: </w:t>
      </w:r>
      <w:hyperlink r:id="rId31">
        <w:r w:rsidDel="00000000" w:rsidR="00000000" w:rsidRPr="00000000">
          <w:rPr>
            <w:rFonts w:ascii="Google Sans" w:cs="Google Sans" w:eastAsia="Google Sans" w:hAnsi="Google Sans"/>
            <w:color w:val="000000"/>
            <w:u w:val="single"/>
            <w:rtl w:val="0"/>
          </w:rPr>
          <w:t xml:space="preserve">https://aclanthology.org/2021.emnlp-main.779/</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Geng, S.; Josifoski, M.; Peyrard, M.; and West, R. (2023). Grammar-constrained decoding for structured NLP tasks without finetuning. </w:t>
      </w:r>
      <w:r w:rsidDel="00000000" w:rsidR="00000000" w:rsidRPr="00000000">
        <w:rPr>
          <w:rFonts w:ascii="Google Sans" w:cs="Google Sans" w:eastAsia="Google Sans" w:hAnsi="Google Sans"/>
          <w:i w:val="1"/>
          <w:iCs w:val="1"/>
          <w:color w:val="1f1f1f"/>
          <w:rtl w:val="0"/>
        </w:rPr>
        <w:t xml:space="preserve">Proceedings of the 2023 conference on empirical methods in natural language processing</w:t>
      </w:r>
      <w:r w:rsidDel="00000000" w:rsidR="00000000" w:rsidRPr="00000000">
        <w:rPr>
          <w:rFonts w:ascii="Google Sans" w:cs="Google Sans" w:eastAsia="Google Sans" w:hAnsi="Google Sans"/>
          <w:color w:val="1f1f1f"/>
          <w:rtl w:val="0"/>
        </w:rPr>
        <w:t xml:space="preserve">, pp. 10932-10952. Available at: </w:t>
      </w:r>
      <w:hyperlink r:id="rId32">
        <w:r w:rsidDel="00000000" w:rsidR="00000000" w:rsidRPr="00000000">
          <w:rPr>
            <w:rFonts w:ascii="Google Sans" w:cs="Google Sans" w:eastAsia="Google Sans" w:hAnsi="Google Sans"/>
            <w:color w:val="000000"/>
            <w:u w:val="single"/>
            <w:rtl w:val="0"/>
          </w:rPr>
          <w:t xml:space="preserve">https://aclanthology.org/2023.emnlp-main.674/</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Ferris, L.; and Bonilla, S. (2026). A case study in assuring AI-written software. </w:t>
      </w:r>
      <w:r w:rsidDel="00000000" w:rsidR="00000000" w:rsidRPr="00000000">
        <w:rPr>
          <w:rFonts w:ascii="Google Sans" w:cs="Google Sans" w:eastAsia="Google Sans" w:hAnsi="Google Sans"/>
          <w:i w:val="1"/>
          <w:iCs w:val="1"/>
          <w:color w:val="1f1f1f"/>
          <w:rtl w:val="0"/>
        </w:rPr>
        <w:t xml:space="preserve">arXiv:2610.08651v1</w:t>
      </w:r>
      <w:r w:rsidDel="00000000" w:rsidR="00000000" w:rsidRPr="00000000">
        <w:rPr>
          <w:rFonts w:ascii="Google Sans" w:cs="Google Sans" w:eastAsia="Google Sans" w:hAnsi="Google Sans"/>
          <w:color w:val="1f1f1f"/>
          <w:rtl w:val="0"/>
        </w:rPr>
        <w:t xml:space="preserve">. Preprint. arXiv version 1; preprint, not used as established general evidence. Available at: </w:t>
      </w:r>
      <w:hyperlink r:id="rId33">
        <w:r w:rsidDel="00000000" w:rsidR="00000000" w:rsidRPr="00000000">
          <w:rPr>
            <w:rFonts w:ascii="Google Sans" w:cs="Google Sans" w:eastAsia="Google Sans" w:hAnsi="Google Sans"/>
            <w:color w:val="000000"/>
            <w:u w:val="single"/>
            <w:rtl w:val="0"/>
          </w:rPr>
          <w:t xml:space="preserve">https://arxiv.org/html/2610.08651v1</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Python Software Foundation (n.d.). Python tutorial: More control flow tools. Online language documentation. accessed 19 October 2026. Available at: </w:t>
      </w:r>
      <w:hyperlink r:id="rId34">
        <w:r w:rsidDel="00000000" w:rsidR="00000000" w:rsidRPr="00000000">
          <w:rPr>
            <w:rFonts w:ascii="Google Sans" w:cs="Google Sans" w:eastAsia="Google Sans" w:hAnsi="Google Sans"/>
            <w:color w:val="000000"/>
            <w:u w:val="single"/>
            <w:rtl w:val="0"/>
          </w:rPr>
          <w:t xml:space="preserve">https://docs.python.org/3/tutorial/controlflow.html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Hevner, A. R.; March, S. T.; Park, J.; and Ram, S. (2004). Design science in information systems research. </w:t>
      </w:r>
      <w:r w:rsidDel="00000000" w:rsidR="00000000" w:rsidRPr="00000000">
        <w:rPr>
          <w:rFonts w:ascii="Google Sans" w:cs="Google Sans" w:eastAsia="Google Sans" w:hAnsi="Google Sans"/>
          <w:i w:val="1"/>
          <w:iCs w:val="1"/>
          <w:color w:val="1f1f1f"/>
          <w:rtl w:val="0"/>
        </w:rPr>
        <w:t xml:space="preserve">MIS Quarterly</w:t>
      </w:r>
      <w:r w:rsidDel="00000000" w:rsidR="00000000" w:rsidRPr="00000000">
        <w:rPr>
          <w:rFonts w:ascii="Google Sans" w:cs="Google Sans" w:eastAsia="Google Sans" w:hAnsi="Google Sans"/>
          <w:color w:val="1f1f1f"/>
          <w:rtl w:val="0"/>
        </w:rPr>
        <w:t xml:space="preserve">, 28(1), pp. 75-105. Available at: </w:t>
      </w:r>
      <w:hyperlink r:id="rId35">
        <w:r w:rsidDel="00000000" w:rsidR="00000000" w:rsidRPr="00000000">
          <w:rPr>
            <w:rFonts w:ascii="Google Sans" w:cs="Google Sans" w:eastAsia="Google Sans" w:hAnsi="Google Sans"/>
            <w:color w:val="000000"/>
            <w:u w:val="single"/>
            <w:rtl w:val="0"/>
          </w:rPr>
          <w:t xml:space="preserve">https://aisel.aisnet.org/misq/vol28/iss1/6/</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DEAL-X (n.d.). DEAL.JS: Engine configuration and native JavaScript passthrough. Software. Engine.cs, commit d76dcae3bf157e3969be0bd1f98ed2522defc2b9; accessed 19 October 2026. Available at: </w:t>
      </w:r>
      <w:hyperlink r:id="rId36">
        <w:r w:rsidDel="00000000" w:rsidR="00000000" w:rsidRPr="00000000">
          <w:rPr>
            <w:rFonts w:ascii="Google Sans" w:cs="Google Sans" w:eastAsia="Google Sans" w:hAnsi="Google Sans"/>
            <w:color w:val="000000"/>
            <w:u w:val="single"/>
            <w:rtl w:val="0"/>
          </w:rPr>
          <w:t xml:space="preserve">https://github.com/DEAL-X/DEAL-JS/blob/d76dcae3bf157e3969be0bd1f98ed2522defc2b9/DEAL.JS/Engine.cs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DEAL-X (n.d.). DEAL Engine: Generic compiler framework. Software. Version 8800695b1bbe6274f71f581473943ff7943d5036; accessed 19 October 2026. Available at: </w:t>
      </w:r>
      <w:hyperlink r:id="rId37">
        <w:r w:rsidDel="00000000" w:rsidR="00000000" w:rsidRPr="00000000">
          <w:rPr>
            <w:rFonts w:ascii="Google Sans" w:cs="Google Sans" w:eastAsia="Google Sans" w:hAnsi="Google Sans"/>
            <w:color w:val="000000"/>
            <w:u w:val="single"/>
            <w:rtl w:val="0"/>
          </w:rPr>
          <w:t xml:space="preserve">https://github.com/DEAL-X/Engine</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DEAL-X (n.d.). DEAL.JS: Tokenizer implementation. Software. Tokenizer.cs, commit d76dcae3bf157e3969be0bd1f98ed2522defc2b9; accessed 19 October 2026. Available at: </w:t>
      </w:r>
      <w:hyperlink r:id="rId38">
        <w:r w:rsidDel="00000000" w:rsidR="00000000" w:rsidRPr="00000000">
          <w:rPr>
            <w:rFonts w:ascii="Google Sans" w:cs="Google Sans" w:eastAsia="Google Sans" w:hAnsi="Google Sans"/>
            <w:color w:val="000000"/>
            <w:u w:val="single"/>
            <w:rtl w:val="0"/>
          </w:rPr>
          <w:t xml:space="preserve">https://github.com/DEAL-X/DEAL-JS/blob/d76dcae3bf157e3969be0bd1f98ed2522defc2b9/DEAL.JS/Tokenizer.cs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DEAL-X (n.d.). DEAL Engine: Generic engine implementation. Software. Engine.cs, commit 8800695b1bbe6274f71f581473943ff7943d5036; accessed 19 October 2026. Available at: </w:t>
      </w:r>
      <w:hyperlink r:id="rId39">
        <w:r w:rsidDel="00000000" w:rsidR="00000000" w:rsidRPr="00000000">
          <w:rPr>
            <w:rFonts w:ascii="Google Sans" w:cs="Google Sans" w:eastAsia="Google Sans" w:hAnsi="Google Sans"/>
            <w:color w:val="000000"/>
            <w:u w:val="single"/>
            <w:rtl w:val="0"/>
          </w:rPr>
          <w:t xml:space="preserve">https://github.com/DEAL-X/Engine/blob/8800695b1bbe6274f71f581473943ff7943d5036/Engine/Engine.cs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DEAL-X (n.d.). DEAL Environment: JavaScript execution host. Software. Version 9ef64b9ae94e1017273f9780a4466973b4d5747d; accessed 19 October 2026. Available at: </w:t>
      </w:r>
      <w:hyperlink r:id="rId40">
        <w:r w:rsidDel="00000000" w:rsidR="00000000" w:rsidRPr="00000000">
          <w:rPr>
            <w:rFonts w:ascii="Google Sans" w:cs="Google Sans" w:eastAsia="Google Sans" w:hAnsi="Google Sans"/>
            <w:color w:val="000000"/>
            <w:u w:val="single"/>
            <w:rtl w:val="0"/>
          </w:rPr>
          <w:t xml:space="preserve">https://github.com/DEAL-X/Environment</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DEAL-X (n.d.). DEAL.JS: Local resource commands. Software. local.djs, commit d76dcae3bf157e3969be0bd1f98ed2522defc2b9; accessed 19 October 2026. Available at: </w:t>
      </w:r>
      <w:hyperlink r:id="rId41">
        <w:r w:rsidDel="00000000" w:rsidR="00000000" w:rsidRPr="00000000">
          <w:rPr>
            <w:rFonts w:ascii="Google Sans" w:cs="Google Sans" w:eastAsia="Google Sans" w:hAnsi="Google Sans"/>
            <w:color w:val="000000"/>
            <w:u w:val="single"/>
            <w:rtl w:val="0"/>
          </w:rPr>
          <w:t xml:space="preserve">https://github.com/DEAL-X/DEAL-JS/blob/d76dcae3bf157e3969be0bd1f98ed2522defc2b9/Library/deal/data/local.djs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MDN contributors (n.d.). JavaScript guide: Using promises. Online technical documentation. Technical documentation; accessed 19 October 2026. Available at: </w:t>
      </w:r>
      <w:hyperlink r:id="rId42">
        <w:r w:rsidDel="00000000" w:rsidR="00000000" w:rsidRPr="00000000">
          <w:rPr>
            <w:rFonts w:ascii="Google Sans" w:cs="Google Sans" w:eastAsia="Google Sans" w:hAnsi="Google Sans"/>
            <w:color w:val="000000"/>
            <w:u w:val="single"/>
            <w:rtl w:val="0"/>
          </w:rPr>
          <w:t xml:space="preserve">https://developer.mozilla.org/en-US/docs/Web/JavaScript/Guide/Using_promises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DEAL-X (n.d.). DEAL.JS: Assembler implementation. Software. Assembler.cs, commit d76dcae3bf157e3969be0bd1f98ed2522defc2b9; accessed 19 October 2026. Available at: </w:t>
      </w:r>
      <w:hyperlink r:id="rId43">
        <w:r w:rsidDel="00000000" w:rsidR="00000000" w:rsidRPr="00000000">
          <w:rPr>
            <w:rFonts w:ascii="Google Sans" w:cs="Google Sans" w:eastAsia="Google Sans" w:hAnsi="Google Sans"/>
            <w:color w:val="000000"/>
            <w:u w:val="single"/>
            <w:rtl w:val="0"/>
          </w:rPr>
          <w:t xml:space="preserve">https://github.com/DEAL-X/DEAL-JS/blob/d76dcae3bf157e3969be0bd1f98ed2522defc2b9/DEAL.JS/Assembler.cs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 Guo, P. J. (2018). Non-native english speakers learning computer programming: Barriers, desires, and design opportunities. Proceedings of the 2018 CHI conference on human factors in computing systems, pp. 396:1-396:14. DOI: 10.1145/3173574.3173970. Available at: </w:t>
      </w:r>
      <w:hyperlink r:id="rId44">
        <w:r w:rsidDel="00000000" w:rsidR="00000000" w:rsidRPr="00000000">
          <w:rPr>
            <w:rFonts w:ascii="Google Sans" w:cs="Google Sans" w:eastAsia="Google Sans" w:hAnsi="Google Sans"/>
            <w:color w:val="000000"/>
            <w:u w:val="single"/>
            <w:rtl w:val="0"/>
          </w:rPr>
          <w:t xml:space="preserve">https://pg.ucsd.edu/publications/non-native-english-speakers-learning-programming_CHI-2018.pdf</w:t>
        </w:r>
      </w:hyperlink>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q=https://github.com/DEAL-X/Environment" TargetMode="External"/><Relationship Id="rId20" Type="http://schemas.openxmlformats.org/officeDocument/2006/relationships/hyperlink" Target="https://link.springer.com/article/10.1007/s11219-023-09631-7" TargetMode="External"/><Relationship Id="rId42" Type="http://schemas.openxmlformats.org/officeDocument/2006/relationships/hyperlink" Target="https://developer.mozilla.org/en-US/docs/Web/JavaScript/Guide/Using_promises" TargetMode="External"/><Relationship Id="rId41" Type="http://schemas.openxmlformats.org/officeDocument/2006/relationships/hyperlink" Target="https://www.google.com/search?q=https://github.com/DEAL-X/DEAL-JS/blob/d76dcae3bf157e3969be0bd1f98ed2522defc2b9/Library/deal/data/local.djs" TargetMode="External"/><Relationship Id="rId22" Type="http://schemas.openxmlformats.org/officeDocument/2006/relationships/hyperlink" Target="https://www.sciencedirect.com/science/article/pii/S0950584923001544" TargetMode="External"/><Relationship Id="rId44" Type="http://schemas.openxmlformats.org/officeDocument/2006/relationships/hyperlink" Target="https://www.google.com/search?q=https://pg.ucsd.edu/publications/non-native-english-speakers-learning-programming_CHI-2018.pdf" TargetMode="External"/><Relationship Id="rId21" Type="http://schemas.openxmlformats.org/officeDocument/2006/relationships/hyperlink" Target="https://history.futureofcoding.org/history/msg_files/F6R/F6R1A64AF.pdf" TargetMode="External"/><Relationship Id="rId43" Type="http://schemas.openxmlformats.org/officeDocument/2006/relationships/hyperlink" Target="https://www.google.com/search?q=https://github.com/DEAL-X/DEAL-JS/blob/d76dcae3bf157e3969be0bd1f98ed2522defc2b9/DEAL.JS/Assembler.cs" TargetMode="External"/><Relationship Id="rId24" Type="http://schemas.openxmlformats.org/officeDocument/2006/relationships/hyperlink" Target="https://hyperscript.org/" TargetMode="External"/><Relationship Id="rId23" Type="http://schemas.openxmlformats.org/officeDocument/2006/relationships/hyperlink" Target="https://www.sciencedirect.com/science/article/abs/pii/S09505849250009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107.03374" TargetMode="External"/><Relationship Id="rId26" Type="http://schemas.openxmlformats.org/officeDocument/2006/relationships/hyperlink" Target="https://docs.livecode.com/docs/LiveCode%20Script/Control%20Structures/repeat/" TargetMode="External"/><Relationship Id="rId25" Type="http://schemas.openxmlformats.org/officeDocument/2006/relationships/hyperlink" Target="https://hyperscript.org/reference/" TargetMode="External"/><Relationship Id="rId28" Type="http://schemas.openxmlformats.org/officeDocument/2006/relationships/hyperlink" Target="https://www.ra.ethz.ch/cdstore/www7/1832/com1832.htm" TargetMode="External"/><Relationship Id="rId27" Type="http://schemas.openxmlformats.org/officeDocument/2006/relationships/hyperlink" Target="https://www.google.com/search?q=https://www.pl.informatik.uni-mainz.de/files/2019/04/sugarj.pdf" TargetMode="External"/><Relationship Id="rId5" Type="http://schemas.openxmlformats.org/officeDocument/2006/relationships/styles" Target="styles.xml"/><Relationship Id="rId6" Type="http://schemas.openxmlformats.org/officeDocument/2006/relationships/hyperlink" Target="https://researchdiscovery.drexel.edu/esploro/outputs/journalArticle/The-State-of-the-Art-in/991019167334204721" TargetMode="External"/><Relationship Id="rId29" Type="http://schemas.openxmlformats.org/officeDocument/2006/relationships/hyperlink" Target="https://arxiv.org/abs/1207.0246" TargetMode="External"/><Relationship Id="rId7" Type="http://schemas.openxmlformats.org/officeDocument/2006/relationships/hyperlink" Target="https://www.google.com/search?q=https://expertise.unimi.it/resource/item/669695?language%3Den-US" TargetMode="External"/><Relationship Id="rId8" Type="http://schemas.openxmlformats.org/officeDocument/2006/relationships/hyperlink" Target="https://dl.acm.org/doi/pdf/10.1145/3491101.3519665" TargetMode="External"/><Relationship Id="rId31" Type="http://schemas.openxmlformats.org/officeDocument/2006/relationships/hyperlink" Target="https://aclanthology.org/2021.emnlp-main.779/" TargetMode="External"/><Relationship Id="rId30" Type="http://schemas.openxmlformats.org/officeDocument/2006/relationships/hyperlink" Target="https://proceedings.mlr.press/v202/gao23f.html" TargetMode="External"/><Relationship Id="rId11" Type="http://schemas.openxmlformats.org/officeDocument/2006/relationships/hyperlink" Target="https://www.google.com/search?q=https://github.com/DEAL-X/DEAL-JS" TargetMode="External"/><Relationship Id="rId33" Type="http://schemas.openxmlformats.org/officeDocument/2006/relationships/hyperlink" Target="https://arxiv.org/html/2610.08651v1" TargetMode="External"/><Relationship Id="rId10" Type="http://schemas.openxmlformats.org/officeDocument/2006/relationships/hyperlink" Target="https://proceedings.neurips.cc/paper_files/paper/2023/hash/43e9d647ccd3e4b7b5baab53f0368686-Abstract-Conference.html" TargetMode="External"/><Relationship Id="rId32" Type="http://schemas.openxmlformats.org/officeDocument/2006/relationships/hyperlink" Target="https://aclanthology.org/2023.emnlp-main.674/" TargetMode="External"/><Relationship Id="rId13" Type="http://schemas.openxmlformats.org/officeDocument/2006/relationships/hyperlink" Target="https://www.spinellis.gr/pubs/jrnl/2000-JSS-DSLPatterns/html/dslpat.html" TargetMode="External"/><Relationship Id="rId35" Type="http://schemas.openxmlformats.org/officeDocument/2006/relationships/hyperlink" Target="https://aisel.aisnet.org/misq/vol28/iss1/6/" TargetMode="External"/><Relationship Id="rId12" Type="http://schemas.openxmlformats.org/officeDocument/2006/relationships/hyperlink" Target="https://aclanthology.org/J14-1005/" TargetMode="External"/><Relationship Id="rId34" Type="http://schemas.openxmlformats.org/officeDocument/2006/relationships/hyperlink" Target="https://docs.python.org/3/tutorial/controlflow.html" TargetMode="External"/><Relationship Id="rId15" Type="http://schemas.openxmlformats.org/officeDocument/2006/relationships/hyperlink" Target="https://arxiv.org/abs/1702.08608" TargetMode="External"/><Relationship Id="rId37" Type="http://schemas.openxmlformats.org/officeDocument/2006/relationships/hyperlink" Target="https://www.google.com/search?q=https://github.com/DEAL-X/Engine" TargetMode="External"/><Relationship Id="rId14" Type="http://schemas.openxmlformats.org/officeDocument/2006/relationships/hyperlink" Target="https://vis.csail.mit.edu/classes/6.859/readings/pdfs/Lipton-TheMythosOfModelInterpretability.pdf" TargetMode="External"/><Relationship Id="rId36" Type="http://schemas.openxmlformats.org/officeDocument/2006/relationships/hyperlink" Target="https://www.google.com/search?q=https://github.com/DEAL-X/DEAL-JS/blob/d76dcae3bf157e3969be0bd1f98ed2522defc2b9/DEAL.JS/Engine.cs" TargetMode="External"/><Relationship Id="rId17" Type="http://schemas.openxmlformats.org/officeDocument/2006/relationships/hyperlink" Target="https://journals.plos.org/ploscompbiol/article?id=10.1371/journal.pcbi.1003285" TargetMode="External"/><Relationship Id="rId39" Type="http://schemas.openxmlformats.org/officeDocument/2006/relationships/hyperlink" Target="https://www.google.com/search?q=https://github.com/DEAL-X/Engine/blob/8800695b1bbe6274f71f581473943ff7943d5036/Engine/Engine.cs" TargetMode="External"/><Relationship Id="rId16" Type="http://schemas.openxmlformats.org/officeDocument/2006/relationships/hyperlink" Target="https://www.nature.com/articles/s42256-019-0048-x" TargetMode="External"/><Relationship Id="rId38" Type="http://schemas.openxmlformats.org/officeDocument/2006/relationships/hyperlink" Target="https://www.google.com/search?q=https://github.com/DEAL-X/DEAL-JS/blob/d76dcae3bf157e3969be0bd1f98ed2522defc2b9/DEAL.JS/Tokenizer.cs" TargetMode="External"/><Relationship Id="rId19" Type="http://schemas.openxmlformats.org/officeDocument/2006/relationships/hyperlink" Target="https://eric.ed.gov/?id=EJ1042402" TargetMode="External"/><Relationship Id="rId18" Type="http://schemas.openxmlformats.org/officeDocument/2006/relationships/hyperlink" Target="https://www.nature.com/articles/sdata2016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