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 w:type="textWrapping"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Q-Q Plot will help us know if the data are normally distributed.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 w:type="textWrapping"/>
            </w:r>
            <w:r>
              <w:br w:type="textWrapping"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 w:type="textWrapping"/>
            </w:r>
            <w:r>
              <w:t xml:space="preserve">b. The sample size for non-certified cars is large, so we can assume that it is</w:t>
            </w:r>
            <w:r>
              <w:t xml:space="preserve"> </w:t>
            </w:r>
            <w:r>
              <w:t xml:space="preserve">normally distributed. With a sample size of n = 24 for certified cars, it is</w:t>
            </w:r>
            <w:r>
              <w:t xml:space="preserve"> </w:t>
            </w:r>
            <w:r>
              <w:t xml:space="preserve">likely large enough to assume a normal distribution, but a Q-Q Plot will help us</w:t>
            </w:r>
            <w:r>
              <w:t xml:space="preserve"> </w:t>
            </w:r>
            <w:r>
              <w:t xml:space="preserve">know more confidently.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 w:type="textWrapping"/>
            </w:r>
            <w:r>
              <w:br w:type="textWrapping"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26207.208</m:t>
              </m:r>
            </m:oMath>
            <w:r>
              <w:br w:type="textWrapping"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1957.552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24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24984.05</m:t>
              </m:r>
            </m:oMath>
            <w:r>
              <w:br w:type="textWrapping"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2169.061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2.507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0.008</m:t>
              </m:r>
              <m:r>
                <m:t>&lt;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br w:type="textWrapping"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t>=</m:t>
              </m:r>
              <m:r>
                <m:t>−</m:t>
              </m:r>
              <m:r>
                <m:t>0.15</m:t>
              </m:r>
            </m:oMath>
            <w:r>
              <w:t xml:space="preserve">)</w:t>
            </w:r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0.88</m:t>
              </m:r>
              <m:r>
                <m:t>&gt;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br w:type="textWrapping"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2021-02-18T21:33:20Z</dcterms:created>
  <dcterms:modified xsi:type="dcterms:W3CDTF">2021-02-18T21:33:20Z</dcterms:modified>
</cp:coreProperties>
</file>