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bookmarkStart w:id="25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88"/>
        <w:gridCol w:w="1515"/>
        <w:gridCol w:w="571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 Side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074208"/>
                  <wp:effectExtent b="0" l="0" r="0" t="0"/>
                  <wp:docPr descr="Truth Tabl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ruthTable_ke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7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level of significance is a number to determine if the P-value is small</w:t>
            </w:r>
            <w:r>
              <w:t xml:space="preserve"> </w:t>
            </w:r>
            <w:r>
              <w:t xml:space="preserve">enough to reject the null hypothesis. It is denoted with the Greek letter alpha</w:t>
            </w:r>
            <w:r>
              <w:t xml:space="preserve"> </w:t>
            </w:r>
            <w:r>
              <w:t xml:space="preserve">(</w:t>
            </w:r>
            <m:oMath>
              <m:r>
                <m:t>α</m:t>
              </m:r>
            </m:oMath>
            <w:r>
              <w:t xml:space="preserve">). It is the probability of making a Type I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is the probability that you will observe the sample test statistic you</w:t>
            </w:r>
            <w:r>
              <w:t xml:space="preserve"> </w:t>
            </w:r>
            <w:r>
              <w:t xml:space="preserve">did or one more extreme assuming the null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the alternative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529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</m:oMath>
            <w:r>
              <w:t xml:space="preserve"> </w:t>
            </w:r>
            <w:r>
              <w:t xml:space="preserve">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Type I error was committed.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There was about a 1 in 100 or 1% chance that there would be a Type 1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Increase the level of significance.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collects data from the population of second home buyers. It says</w:t>
            </w:r>
            <w:r>
              <w:t xml:space="preserve"> </w:t>
            </w:r>
            <w:r>
              <w:t xml:space="preserve">that he randomly selects his sample from his own clients. His research question</w:t>
            </w:r>
            <w:r>
              <w:t xml:space="preserve"> </w:t>
            </w:r>
            <w:r>
              <w:t xml:space="preserve">is,</w:t>
            </w:r>
            <w:r>
              <w:t xml:space="preserve">‘</w:t>
            </w:r>
            <w:r>
              <w:t xml:space="preserve">Is the average age of the people buying a second investment property in my</w:t>
            </w:r>
            <w:r>
              <w:t xml:space="preserve"> </w:t>
            </w:r>
            <w:r>
              <w:t xml:space="preserve">area different than the national average?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Collect the data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2225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53340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summar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63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d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-Inference II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47 years old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</m:oMath>
            <w:r>
              <w:t xml:space="preserve"> </w:t>
            </w:r>
            <w:r>
              <w:t xml:space="preserve">47 years 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 III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Inference-IV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  <w:r>
              <w:t xml:space="preserve">; z=-0.207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</w:t>
            </w:r>
          </w:p>
        </w:tc>
        <w:tc>
          <w:p>
            <w:pPr>
              <w:pStyle w:val="Compact"/>
              <w:jc w:val="left"/>
            </w:pPr>
            <w:r>
              <w:t xml:space="preserve">P-value = 0.836</w:t>
            </w:r>
            <w:r>
              <w:br/>
            </w:r>
            <w:r>
              <w:drawing>
                <wp:inline>
                  <wp:extent cx="4445000" cy="3302000"/>
                  <wp:effectExtent b="0" l="0" r="0" t="0"/>
                  <wp:docPr descr="key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Prep_QdV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</w:t>
            </w:r>
          </w:p>
        </w:tc>
        <w:tc>
          <w:p>
            <w:pPr>
              <w:pStyle w:val="Compact"/>
              <w:jc w:val="left"/>
            </w:pPr>
            <w:r>
              <w:t xml:space="preserve">P-value is &gt; level of significance ; 0.836 &gt; 0.05 so we fail to reject the null</w:t>
            </w:r>
            <w:r>
              <w:t xml:space="preserve"> </w:t>
            </w:r>
            <w:r>
              <w:t xml:space="preserve">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Inference-VII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people buying a</w:t>
            </w:r>
            <w:r>
              <w:t xml:space="preserve"> </w:t>
            </w:r>
            <w:r>
              <w:t xml:space="preserve">second home is different in this area, than that of the national average of 47 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Take Action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 One could would suggest that the realtor keeps targeting that</w:t>
            </w:r>
            <w:r>
              <w:t xml:space="preserve"> </w:t>
            </w:r>
            <w:r>
              <w:t xml:space="preserve">population of middle aged people as second home buyers.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Mean; Sigma Known (Hypothesis Test)</dc:title>
  <dc:creator>Preparation</dc:creator>
  <cp:keywords/>
  <dcterms:created xsi:type="dcterms:W3CDTF">2021-11-02T22:13:14Z</dcterms:created>
  <dcterms:modified xsi:type="dcterms:W3CDTF">2021-11-02T22:13:14Z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