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2_Anger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Religiosity and frequency of anger are 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Religiosity and frequency of anger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23.474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religiosity and frequency of anger</w:t>
            </w:r>
            <w:r>
              <w:t xml:space="preserve"> </w:t>
            </w:r>
            <w:r>
              <w:t xml:space="preserve">at something beyond one’s control are not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9_College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Family structure and whether a girl goes to college are
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Family structure and whether a girl goes to college are not
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10.357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family structure and whether a girl</w:t>
            </w:r>
            <w:r>
              <w:t xml:space="preserve"> </w:t>
            </w:r>
            <w:r>
              <w:t xml:space="preserve">goes to college are not independent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16_Status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Gender and PhD status are 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Gender and PhD status are not independent.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1.932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0.381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a student’s gender and status in</w:t>
            </w:r>
            <w:r>
              <w:t xml:space="preserve"> </w:t>
            </w:r>
            <w:r>
              <w:t xml:space="preserve">a PhD program are not independent.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Homework</dc:creator>
  <cp:keywords/>
  <dcterms:created xsi:type="dcterms:W3CDTF">2022-01-27T21:26:48Z</dcterms:created>
  <dcterms:modified xsi:type="dcterms:W3CDTF">2022-01-27T21:26:48Z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