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4 and 5. The graph below illustrates typical student hourly wages for BYU-Idaho.</w:t>
      </w:r>
    </w:p>
    <w:p>
      <w:pPr>
        <w:pStyle w:val="BodyText"/>
      </w:pPr>
      <w:r>
        <w:drawing>
          <wp:inline>
            <wp:extent cx="5334000" cy="2000249"/>
            <wp:effectExtent b="0" l="0" r="0" t="0"/>
            <wp:docPr descr="" title="" id="1" name="Picture"/>
            <a:graphic>
              <a:graphicData uri="http://schemas.openxmlformats.org/drawingml/2006/picture">
                <pic:pic>
                  <pic:nvPicPr>
                    <pic:cNvPr descr="../images/L03_wages.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4. Approximately, how many students are in this survey?</w:t>
      </w:r>
    </w:p>
    <w:p>
      <w:pPr>
        <w:numPr>
          <w:ilvl w:val="0"/>
          <w:numId w:val="1003"/>
        </w:numPr>
      </w:pPr>
      <w:r>
        <w:t xml:space="preserve">How would you describe the shape of the distribution of wages?</w:t>
      </w:r>
    </w:p>
    <w:p>
      <w:pPr>
        <w:numPr>
          <w:ilvl w:val="0"/>
          <w:numId w:val="1003"/>
        </w:numPr>
      </w:pPr>
      <w:r>
        <w:t xml:space="preserve">Match each graph below to the description of its shape.</w:t>
      </w:r>
      <w:r>
        <w:t xml:space="preserve"> </w:t>
      </w: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FirstParagraph"/>
      </w:pPr>
      <w:r>
        <w:drawing>
          <wp:inline>
            <wp:extent cx="5334000" cy="2000249"/>
            <wp:effectExtent b="0" l="0" r="0" t="0"/>
            <wp:docPr descr="" title="" id="1" name="Picture"/>
            <a:graphic>
              <a:graphicData uri="http://schemas.openxmlformats.org/drawingml/2006/picture">
                <pic:pic>
                  <pic:nvPicPr>
                    <pic:cNvPr descr="../images/L03_pa.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b.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c.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d.png" id="0" name="Picture"/>
                    <pic:cNvPicPr>
                      <a:picLocks noChangeArrowheads="1" noChangeAspect="1"/>
                    </pic:cNvPicPr>
                  </pic:nvPicPr>
                  <pic:blipFill>
                    <a:blip r:embed="rId25"/>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6"/>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7. 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2021-03-24T15:19:00Z</dcterms:created>
  <dcterms:modified xsi:type="dcterms:W3CDTF">2021-03-24T15:19:00Z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