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numPr>
          <w:numId w:val="1001"/>
          <w:ilvl w:val="0"/>
        </w:numPr>
      </w:pPr>
      <w:r>
        <w:t xml:space="preserve">Compare the t-score to the z-score. What is the primary difference between the two scores?</w:t>
      </w:r>
    </w:p>
    <w:p>
      <w:pPr>
        <w:numPr>
          <w:numId w:val="1001"/>
          <w:ilvl w:val="0"/>
        </w:numPr>
      </w:pPr>
      <w:r>
        <w:t xml:space="preserve">The null hypothesis is</w:t>
      </w:r>
      <w:r>
        <w:t xml:space="preserve"> </w:t>
      </w:r>
      <m:oMath>
        <m:sSub>
          <m:e>
            <m:r>
              <m:t>H</m:t>
            </m:r>
          </m:e>
          <m:sub>
            <m:r>
              <m:t>o</m:t>
            </m:r>
          </m:sub>
        </m:sSub>
        <m:r>
          <m:t>:</m:t>
        </m:r>
        <m:r>
          <m:t>μ</m:t>
        </m:r>
        <m:r>
          <m:t>=</m:t>
        </m:r>
      </m:oMath>
      <w:r>
        <w:t xml:space="preserve"> </w:t>
      </w:r>
      <w:r>
        <w:t xml:space="preserve">24 and the alternative hypothesis is</w:t>
      </w:r>
      <w:r>
        <w:t xml:space="preserve"> </w:t>
      </w:r>
      <m:oMath>
        <m:sSub>
          <m:e>
            <m:r>
              <m:t>H</m:t>
            </m:r>
          </m:e>
          <m:sub>
            <m:r>
              <m:t>a</m:t>
            </m:r>
          </m:sub>
        </m:sSub>
        <m: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bar>
          <m:barPr>
            <m:pos m:val="top"/>
          </m:barPr>
          <m:e>
            <m:r>
              <m:t>x</m:t>
            </m:r>
          </m:e>
        </m:bar>
        <m: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0"/>
        <w:tblLook w:firstRow="1"/>
      </w:tblPr>
      <w:tblGrid>
        <w:gridCol w:w="880"/>
        <w:gridCol w:w="308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left"/>
            </w:pPr>
            <w:r>
              <w:t xml:space="preserve">Description</w:t>
            </w:r>
          </w:p>
        </w:tc>
      </w:tr>
      <w:tr>
        <w:tc>
          <w:p>
            <w:pPr>
              <w:pStyle w:val="Compact"/>
              <w:jc w:val="center"/>
            </w:pPr>
            <w:r>
              <w:t xml:space="preserve">1</w:t>
            </w:r>
          </w:p>
        </w:tc>
        <w:tc>
          <w:p>
            <w:pPr>
              <w:pStyle w:val="Compact"/>
              <w:jc w:val="left"/>
            </w:pPr>
            <w:r>
              <w:t xml:space="preserve">Random guess (no clue)</w:t>
            </w:r>
          </w:p>
        </w:tc>
      </w:tr>
      <w:tr>
        <w:tc>
          <w:p>
            <w:pPr>
              <w:pStyle w:val="Compact"/>
              <w:jc w:val="center"/>
            </w:pPr>
            <w:r>
              <w:t xml:space="preserve">2</w:t>
            </w:r>
          </w:p>
        </w:tc>
        <w:tc>
          <w:p>
            <w:pPr>
              <w:pStyle w:val="Compact"/>
              <w:jc w:val="left"/>
            </w:pPr>
            <w:r>
              <w:t xml:space="preserve">Very unsure</w:t>
            </w:r>
          </w:p>
        </w:tc>
      </w:tr>
      <w:tr>
        <w:tc>
          <w:p>
            <w:pPr>
              <w:pStyle w:val="Compact"/>
              <w:jc w:val="center"/>
            </w:pPr>
            <w:r>
              <w:t xml:space="preserve">3</w:t>
            </w:r>
          </w:p>
        </w:tc>
        <w:tc>
          <w:p>
            <w:pPr>
              <w:pStyle w:val="Compact"/>
              <w:jc w:val="left"/>
            </w:pPr>
            <w:r>
              <w:t xml:space="preserve">Somewhat unsure</w:t>
            </w:r>
          </w:p>
        </w:tc>
      </w:tr>
      <w:tr>
        <w:tc>
          <w:p>
            <w:pPr>
              <w:pStyle w:val="Compact"/>
              <w:jc w:val="center"/>
            </w:pPr>
            <w:r>
              <w:t xml:space="preserve">4</w:t>
            </w:r>
          </w:p>
        </w:tc>
        <w:tc>
          <w:p>
            <w:pPr>
              <w:pStyle w:val="Compact"/>
              <w:jc w:val="left"/>
            </w:pPr>
            <w:r>
              <w:t xml:space="preserve">Somewhat sure</w:t>
            </w:r>
          </w:p>
        </w:tc>
      </w:tr>
      <w:tr>
        <w:tc>
          <w:p>
            <w:pPr>
              <w:pStyle w:val="Compact"/>
              <w:jc w:val="center"/>
            </w:pPr>
            <w:r>
              <w:t xml:space="preserve">5</w:t>
            </w:r>
          </w:p>
        </w:tc>
        <w:tc>
          <w:p>
            <w:pPr>
              <w:pStyle w:val="Compact"/>
              <w:jc w:val="left"/>
            </w:pPr>
            <w:r>
              <w:t xml:space="preserve">Very Sure</w:t>
            </w:r>
          </w:p>
        </w:tc>
      </w:tr>
      <w:tr>
        <w:tc>
          <w:p>
            <w:pPr>
              <w:pStyle w:val="Compact"/>
              <w:jc w:val="center"/>
            </w:pPr>
            <w:r>
              <w:t xml:space="preserve">6</w:t>
            </w:r>
          </w:p>
        </w:tc>
        <w:tc>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1">
        <w:r>
          <w:rPr>
            <w:rStyle w:val="Hyperlink"/>
          </w:rPr>
          <w:t xml:space="preserve">MathSelfEfficacy</w:t>
        </w:r>
      </w:hyperlink>
      <w:r>
        <w:t xml:space="preserve">. Use this information to answer questions 3 through 5.</w:t>
      </w:r>
    </w:p>
    <w:p>
      <w:pPr>
        <w:numPr>
          <w:numId w:val="1002"/>
          <w:ilvl w:val="0"/>
        </w:numPr>
      </w:pPr>
      <w:r>
        <w:t xml:space="preserve">What is the mean score on the exam earned by the n = 139 students in the sample?</w:t>
      </w:r>
    </w:p>
    <w:p>
      <w:pPr>
        <w:numPr>
          <w:numId w:val="1002"/>
          <w:ilvl w:val="0"/>
        </w:numPr>
      </w:pPr>
      <w:r>
        <w:t xml:space="preserve">Find and interpret a 95% confidence interval for the true mean score on this Intermediate Algebra exam.</w:t>
      </w:r>
    </w:p>
    <w:p>
      <w:pPr>
        <w:numPr>
          <w:numId w:val="1002"/>
          <w:ilvl w:val="0"/>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numId w:val="1003"/>
          <w:ilvl w:val="0"/>
        </w:numPr>
      </w:pPr>
      <w:r>
        <w:t xml:space="preserve">What are the requirements that should be met to conduct this hypothesis test? Are they met?</w:t>
      </w:r>
    </w:p>
    <w:p>
      <w:pPr>
        <w:numPr>
          <w:numId w:val="1003"/>
          <w:ilvl w:val="0"/>
        </w:numPr>
      </w:pPr>
      <w:r>
        <w:t xml:space="preserve">State the null and alternative hypotheses.</w:t>
      </w:r>
    </w:p>
    <w:p>
      <w:pPr>
        <w:numPr>
          <w:numId w:val="1003"/>
          <w:ilvl w:val="0"/>
        </w:numPr>
      </w:pPr>
      <w:r>
        <w:t xml:space="preserve">Compute the sample test statistic.</w:t>
      </w:r>
    </w:p>
    <w:p>
      <w:pPr>
        <w:numPr>
          <w:numId w:val="1003"/>
          <w:ilvl w:val="0"/>
        </w:numPr>
      </w:pPr>
      <w:r>
        <w:t xml:space="preserve">State the degrees of freedom.</w:t>
      </w:r>
    </w:p>
    <w:p>
      <w:pPr>
        <w:numPr>
          <w:numId w:val="1003"/>
          <w:ilvl w:val="0"/>
        </w:numPr>
      </w:pPr>
      <w:r>
        <w:t xml:space="preserve">Find the P-value and compare it to the level of significance. Sketch the t-distribution using the t-distribution applet.</w:t>
      </w:r>
    </w:p>
    <w:p>
      <w:pPr>
        <w:numPr>
          <w:numId w:val="1003"/>
          <w:ilvl w:val="0"/>
        </w:numPr>
      </w:pPr>
      <w:r>
        <w:t xml:space="preserve">State your decision. Do we reject the null hypothesis or fail to reject it?</w:t>
      </w:r>
    </w:p>
    <w:p>
      <w:pPr>
        <w:numPr>
          <w:numId w:val="1003"/>
          <w:ilvl w:val="0"/>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2">
        <w:r>
          <w:rPr>
            <w:rStyle w:val="Hyperlink"/>
          </w:rPr>
          <w:t xml:space="preserve">OreoDoubleStuf</w:t>
        </w:r>
      </w:hyperlink>
      <w:r>
        <w:t xml:space="preserve">. Use this information to answer questions 13 through 15.</w:t>
      </w:r>
    </w:p>
    <w:p>
      <w:pPr>
        <w:numPr>
          <w:numId w:val="1004"/>
          <w:ilvl w:val="0"/>
        </w:numPr>
      </w:pPr>
      <w:r>
        <w:t xml:space="preserve">Find and interpret a 90% confidence interval, after calculating the margin of error, for the true mean weight of the filling in traditional Oreo cookies.</w:t>
      </w:r>
    </w:p>
    <w:p>
      <w:pPr>
        <w:numPr>
          <w:numId w:val="1004"/>
          <w:ilvl w:val="0"/>
        </w:numPr>
      </w:pPr>
      <w:r>
        <w:t xml:space="preserve">Find and interpret a 90% confidence interval, after calculating the margin of error, for the true mean weight of the filling in DoubleStuf Oreo cookies.</w:t>
      </w:r>
    </w:p>
    <w:p>
      <w:pPr>
        <w:numPr>
          <w:numId w:val="1004"/>
          <w:ilvl w:val="0"/>
        </w:numPr>
      </w:pPr>
      <w:r>
        <w:t xml:space="preserve">Based on your observations in this exercise, would you say that DoubleStuf Oreo cookies actually contain double the filling compared to traditional Oreo cookies? Justify your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MathSelfEfficacy" TargetMode="External" /><Relationship Type="http://schemas.openxmlformats.org/officeDocument/2006/relationships/hyperlink" Id="rId22" Target="http://statistics.byuimath.com/index.php?title=Data#OreoDoubleStuf"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MathSelfEfficacy" TargetMode="External" /><Relationship Type="http://schemas.openxmlformats.org/officeDocument/2006/relationships/hyperlink" Id="rId22" Target="http://statistics.byuimath.com/index.php?title=Data#OreoDoubleStu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2021-02-18T21:30:01Z</dcterms:created>
  <dcterms:modified xsi:type="dcterms:W3CDTF">2021-02-18T21:30:01Z</dcterms:modified>
</cp:coreProperties>
</file>