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12: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Two</w:t>
      </w:r>
      <w:r>
        <w:t xml:space="preserve"> </w:t>
      </w:r>
      <w:r>
        <w:t xml:space="preserve">Means;</w:t>
      </w:r>
      <w:r>
        <w:t xml:space="preserve"> </w:t>
      </w:r>
      <w:r>
        <w:t xml:space="preserve">Paired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difference between these tests is that when using paired data we are testing</w:t>
            </w:r>
            <w:r>
              <w:t xml:space="preserve"> </w:t>
            </w:r>
            <w:r>
              <w:t xml:space="preserve">the mean of the</w:t>
            </w:r>
            <w:r>
              <w:t xml:space="preserve"> </w:t>
            </w:r>
            <w:r>
              <w:rPr>
                <w:i/>
              </w:rPr>
              <w:t xml:space="preserve">difference</w:t>
            </w:r>
            <w:r>
              <w:t xml:space="preserve"> </w:t>
            </w:r>
            <w:r>
              <w:t xml:space="preserve">of the paired data, not the individual datasets.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an example of paired data because knowing the subject of the first</w:t>
            </w:r>
            <w:r>
              <w:t xml:space="preserve"> </w:t>
            </w:r>
            <w:r>
              <w:t xml:space="preserve">experiment (the flint and steel) determines the subject of the second experiment</w:t>
            </w:r>
            <w:r>
              <w:t xml:space="preserve"> </w:t>
            </w:r>
            <w:r>
              <w:t xml:space="preserve">(the battery and steel wool).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are two possible correct solutions, depending on the order of subtraction:</w:t>
            </w:r>
            <w:r>
              <w:t xml:space="preserve"> </w:t>
            </w:r>
            <w:r>
              <w:t xml:space="preserve">(-138.171,146.504) or (-146.504,138.171). We are 95% confident that the true</w:t>
            </w:r>
            <w:r>
              <w:t xml:space="preserve"> </w:t>
            </w:r>
            <w:r>
              <w:t xml:space="preserve">mean difference in time is between -138.171 and 146.504 (or, if you subtracted</w:t>
            </w:r>
            <w:r>
              <w:t xml:space="preserve"> </w:t>
            </w:r>
            <w:r>
              <w:t xml:space="preserve">the opposite way, -146.504 and 138.171).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inconclusive evidence that there is a difference between these methods</w:t>
            </w:r>
            <w:r>
              <w:t xml:space="preserve"> </w:t>
            </w:r>
            <w:r>
              <w:t xml:space="preserve">since zero is contained in the confidence interval.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(-2.692,0.025) We are 95% confident that the true mean difference of the before</w:t>
            </w:r>
            <w:r>
              <w:t xml:space="preserve"> </w:t>
            </w:r>
            <w:r>
              <w:t xml:space="preserve">and after stress levels is between -2.692 and 0.025.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Yes. Since the confidence interval contains 0, it is plausible that the true</w:t>
            </w:r>
            <w:r>
              <w:t xml:space="preserve"> </w:t>
            </w:r>
            <w:r>
              <w:t xml:space="preserve">mean</w:t>
            </w:r>
            <w:r>
              <w:t xml:space="preserve"> </w:t>
            </w:r>
            <w:r>
              <w:t xml:space="preserve">difference is 0, meaning that the class could have no effect on stress levels.</w:t>
            </w:r>
            <w:r>
              <w:t xml:space="preserve"> </w:t>
            </w:r>
            <w:r>
              <w:t xml:space="preserve">There is inconclusive evidence that there is a difference.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  <m:r>
                <m:t>0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sSub>
                <m:e>
                  <m:r>
                    <m:t>μ</m:t>
                  </m:r>
                </m:e>
                <m:sub>
                  <m:r>
                    <m:t>d</m:t>
                  </m:r>
                </m:sub>
              </m:sSub>
              <m:r>
                <m:t>≠</m:t>
              </m:r>
              <m:r>
                <m:t>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0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assume that the data were collected using a simple random sample (SRS)</w:t>
            </w:r>
            <w:r>
              <w:br w:type="textWrapping"/>
            </w:r>
            <w:r>
              <w:t xml:space="preserve">b. We have a large sample (n = 36), so we can conclude that the distribution of</w:t>
            </w:r>
            <w:r>
              <w:t xml:space="preserve"> </w:t>
            </w:r>
            <w:r>
              <w:t xml:space="preserve">sample mean is normal.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bar>
                <m:barPr>
                  <m:pos m:val="top"/>
                </m:barPr>
                <m:e>
                  <m:r>
                    <m:t>d</m:t>
                  </m:r>
                </m:e>
              </m:bar>
              <m:r>
                <m:t>=</m:t>
              </m:r>
              <m:r>
                <m:t>−</m:t>
              </m:r>
              <m:r>
                <m:t>1.333</m:t>
              </m:r>
            </m:oMath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  <m:r>
                <m:t>4.014</m:t>
              </m:r>
            </m:oMath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36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−</m:t>
              </m:r>
              <m:r>
                <m:t>1.993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2925096"/>
                  <wp:effectExtent b="0" l="0" r="0" t="0"/>
                  <wp:docPr descr="Solution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tdistribution_L12_Q1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25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=</m:t>
              </m:r>
              <m:r>
                <m:t>0.054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=</m:t>
              </m:r>
              <m:r>
                <m:t>0.054</m:t>
              </m:r>
              <m:r>
                <m:t>&gt;</m:t>
              </m:r>
              <m:r>
                <m:t>0.05</m:t>
              </m:r>
              <m:r>
                <m:t>=</m:t>
              </m:r>
              <m:r>
                <m:t>α</m:t>
              </m:r>
            </m:oMath>
            <w:r>
              <w:t xml:space="preserve">, fail to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suggest that the mean Zung SAS scores changed</w:t>
            </w:r>
            <w:r>
              <w:t xml:space="preserve"> </w:t>
            </w:r>
            <w:r>
              <w:t xml:space="preserve">as a result of this course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conclusions are the same when we do a 95% confidence interval and a</w:t>
            </w:r>
            <w:r>
              <w:t xml:space="preserve"> </w:t>
            </w:r>
            <w:r>
              <w:t xml:space="preserve">two-sided hypothesis test with a level of significance = 0.05.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o</m:t>
                    </m:r>
                  </m:sub>
                </m:sSub>
                <m: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t>=</m:t>
                </m:r>
                <m:r>
                  <m:t>0</m:t>
                </m:r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sSub>
                  <m:e>
                    <m:r>
                      <m:t>H</m:t>
                    </m:r>
                  </m:e>
                  <m:sub>
                    <m:r>
                      <m:t>a</m:t>
                    </m:r>
                  </m:sub>
                </m:sSub>
                <m:r>
                  <m:t>:</m:t>
                </m:r>
                <m:sSub>
                  <m:e>
                    <m:r>
                      <m:t>μ</m:t>
                    </m:r>
                  </m:e>
                  <m:sub>
                    <m:r>
                      <m:t>d</m:t>
                    </m:r>
                  </m:sub>
                </m:sSub>
                <m:r>
                  <m:t>&lt;</m:t>
                </m:r>
                <m:r>
                  <m:t>0</m:t>
                </m:r>
              </m:oMath>
            </m:oMathPara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4364181"/>
                  <wp:effectExtent b="0" l="0" r="0" t="0"/>
                  <wp:docPr descr="His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8_histogram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Note: This histogram should be of the differences, not the individual data</w:t>
            </w:r>
            <w:r>
              <w:t xml:space="preserve"> </w:t>
            </w:r>
            <w:r>
              <w:t xml:space="preserve">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We are told that the data were collected using a simple random sample (SRS)</w:t>
            </w:r>
            <w:r>
              <w:br w:type="textWrapping"/>
            </w:r>
            <w:r>
              <w:t xml:space="preserve">b. We have a small sample (n = 20), so we need to create a Q-Q plot to be sure</w:t>
            </w:r>
            <w:r>
              <w:t xml:space="preserve"> </w:t>
            </w:r>
            <w:r>
              <w:t xml:space="preserve">the distribution of sample means is normal:</w:t>
            </w:r>
            <w:r>
              <w:br w:type="textWrapping"/>
            </w:r>
            <w:r>
              <w:drawing>
                <wp:inline>
                  <wp:extent cx="5334000" cy="4364181"/>
                  <wp:effectExtent b="0" l="0" r="0" t="0"/>
                  <wp:docPr descr="qqplo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2_Homework_Q19_QQp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64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data appear to be normal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m:oMath>
              <m:bar>
                <m:barPr>
                  <m:pos m:val="top"/>
                </m:barPr>
                <m:e>
                  <m:r>
                    <m:t>d</m:t>
                  </m:r>
                </m:e>
              </m:bar>
              <m:r>
                <m:t>=</m:t>
              </m:r>
              <m:r>
                <m:t>−</m:t>
              </m:r>
              <m:r>
                <m:t>1.45</m:t>
              </m:r>
            </m:oMath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sSub>
                <m:e>
                  <m:r>
                    <m:t>s</m:t>
                  </m:r>
                </m:e>
                <m:sub>
                  <m:r>
                    <m:t>d</m:t>
                  </m:r>
                </m:sub>
              </m:sSub>
              <m:r>
                <m:t>=</m:t>
              </m:r>
              <m:r>
                <m:t>3.203</m:t>
              </m:r>
            </m:oMath>
            <w:r>
              <w:br w:type="textWrapping"/>
            </w:r>
            <w:r>
              <w:t xml:space="preserve">-</w:t>
            </w:r>
            <w:r>
              <w:t xml:space="preserve"> </w:t>
            </w:r>
            <m:oMath>
              <m:r>
                <m:t>n</m:t>
              </m:r>
              <m:r>
                <m:t>=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t</m:t>
              </m:r>
              <m:r>
                <m:t>=</m:t>
              </m:r>
              <m:r>
                <m:t>−</m:t>
              </m:r>
              <m:r>
                <m:t>2.024</m:t>
              </m:r>
            </m:oMath>
            <w:r>
              <w:t xml:space="preserve"> </w:t>
            </w:r>
            <m:oMath>
              <m:r>
                <m:t>d</m:t>
              </m:r>
              <m:r>
                <m:t>f</m:t>
              </m:r>
              <m:r>
                <m:t>=</m:t>
              </m:r>
              <m:r>
                <m:t>19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=</m:t>
              </m:r>
              <m:r>
                <m:t>0.029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=</m:t>
              </m:r>
              <m:r>
                <m:t>0.029</m:t>
              </m:r>
              <m:r>
                <m:t>&lt;</m:t>
              </m:r>
              <m:r>
                <m:t>0.05</m:t>
              </m:r>
              <m:r>
                <m:t>=</m:t>
              </m:r>
              <m:r>
                <m:t>α</m:t>
              </m:r>
            </m:oMath>
            <w:r>
              <w:t xml:space="preserve">, reject the null hypothesis.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there is a decrease in retention</w:t>
            </w:r>
            <w:r>
              <w:t xml:space="preserve"> </w:t>
            </w:r>
            <w:r>
              <w:t xml:space="preserve">immediately following language learning instruction and one week after language</w:t>
            </w:r>
            <w:r>
              <w:t xml:space="preserve"> </w:t>
            </w:r>
            <w:r>
              <w:t xml:space="preserve">learning instruction.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12: Inference for Two Means; Paired Data</dc:title>
  <dc:creator>Homework</dc:creator>
  <cp:keywords/>
  <dcterms:created xsi:type="dcterms:W3CDTF">2021-02-18T21:32:03Z</dcterms:created>
  <dcterms:modified xsi:type="dcterms:W3CDTF">2021-02-18T21:32:03Z</dcterms:modified>
</cp:coreProperties>
</file>