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aps/>
          <w:color w:val="2E5FAC"/>
          <w:sz w:val="20"/>
          <w:szCs w:val="20"/>
        </w:rPr>
        <w:t xml:space="preserve">POSITION PAPER</w:t>
      </w:r>
    </w:p>
    <w:p>
      <w:pPr>
        <w:spacing w:after="60" w:before="40"/>
        <w:jc w:val="center"/>
      </w:pPr>
      <w:r>
        <w:rPr>
          <w:rFonts w:ascii="Arial" w:cs="Arial" w:eastAsia="Arial" w:hAnsi="Arial"/>
          <w:b/>
          <w:bCs/>
          <w:color w:val="1B3A6B"/>
          <w:sz w:val="52"/>
          <w:szCs w:val="52"/>
        </w:rPr>
        <w:t xml:space="preserve">Psychodynamic Mechanistic Interpretability</w:t>
      </w:r>
    </w:p>
    <w:p>
      <w:pPr>
        <w:spacing w:after="60" w:before="20"/>
        <w:jc w:val="center"/>
      </w:pPr>
      <w:r>
        <w:rPr>
          <w:rFonts w:ascii="Arial" w:cs="Arial" w:eastAsia="Arial" w:hAnsi="Arial"/>
          <w:i/>
          <w:iCs/>
          <w:color w:val="2E5FAC"/>
          <w:sz w:val="28"/>
          <w:szCs w:val="28"/>
        </w:rPr>
        <w:t xml:space="preserve">Grounding Artificial Intelligence Interpretability in Human Psychological Architecture</w:t>
      </w:r>
    </w:p>
    <w:p>
      <w:pPr>
        <w:pBdr>
          <w:bottom w:val="single" w:color="D6E4F7" w:sz="6" w:space="6"/>
        </w:pBdr>
        <w:spacing w:after="200" w:before="60"/>
        <w:jc w:val="center"/>
      </w:pPr>
      <w:r>
        <w:rPr>
          <w:rFonts w:ascii="Arial" w:cs="Arial" w:eastAsia="Arial" w:hAnsi="Arial"/>
          <w:color w:val="444444"/>
          <w:sz w:val="20"/>
          <w:szCs w:val="20"/>
        </w:rPr>
        <w:t xml:space="preserve">Submitted for consideration to NeurIPS | FAccT | AI Safety Literature</w:t>
      </w:r>
    </w:p>
    <w:p>
      <w:pPr>
        <w:spacing w:after="40" w:before="160"/>
        <w:jc w:val="center"/>
      </w:pPr>
      <w:r>
        <w:rPr>
          <w:rFonts w:ascii="Arial" w:cs="Arial" w:eastAsia="Arial" w:hAnsi="Arial"/>
          <w:color w:val="444444"/>
          <w:sz w:val="22"/>
          <w:szCs w:val="22"/>
        </w:rPr>
        <w:t xml:space="preserve">2026</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200"/>
              <w:left w:type="dxa" w:w="240"/>
              <w:bottom w:type="dxa" w:w="200"/>
              <w:right w:type="dxa" w:w="240"/>
            </w:tcMar>
          </w:tcPr>
          <w:p>
            <w:pPr>
              <w:spacing w:after="80"/>
            </w:pPr>
            <w:r>
              <w:rPr>
                <w:rFonts w:ascii="Arial" w:cs="Arial" w:eastAsia="Arial" w:hAnsi="Arial"/>
                <w:b/>
                <w:bCs/>
                <w:caps/>
                <w:color w:val="1B3A6B"/>
                <w:sz w:val="22"/>
                <w:szCs w:val="22"/>
              </w:rPr>
              <w:t xml:space="preserve">ABSTRACT</w:t>
            </w:r>
          </w:p>
          <w:p>
            <w:pPr>
              <w:spacing w:after="100" w:line="320"/>
              <w:jc w:val="both"/>
            </w:pPr>
            <w:r>
              <w:rPr>
                <w:rFonts w:ascii="Arial" w:cs="Arial" w:eastAsia="Arial" w:hAnsi="Arial"/>
                <w:color w:val="111111"/>
                <w:sz w:val="21"/>
                <w:szCs w:val="21"/>
              </w:rPr>
              <w:t xml:space="preserve">Contemporary mechanistic interpretability research attempts to reverse-engineer the computational behavior of artificial neural networks by probing activations, tracing circuits, and decomposing attention. This forensic approach is fundamentally post-hoc: it works backwards from observed outputs, offering limited insight into the causal dynamics that produce behavior. We propose Psychodynamic Mechanistic Interpretability (PMI), a novel theoretical framework that inverts this paradigm. Rather than inspecting systems after behavior, PMI embeds interpretability natively within the architecture by modeling internal psychological states drawn from established human neuroscience and psychology. The framework integrates five theoretical pillars: (1) Active Inference as the computational substrate, grounded in Friston's Free Energy Principle; (2) a Layered Consciousness Proxy built on Integrated Information Theory and Global Workspace Theory; (3) Moral Geometry embedding values as navigable directions in high-dimensional space; (4) Hierarchical Obedience Circuits modeling compliance degradation; and (5) a Psychache Dynamics module enabling crisis-state detection. Together, these pillars produce a Global State Register (GSR) — a persistent, causally active record of the system's motivational, moral, and social states at every timestep. PMI offers a path toward AI systems that do not merely behave, but are self-transparent. We discuss theoretical constraints, advantages, disadvantages, and a research roadmap toward formalization and empirical testing.</w:t>
            </w:r>
          </w:p>
          <w:p>
            <w:pPr>
              <w:spacing w:after="40"/>
            </w:pPr>
            <w:r>
              <w:rPr>
                <w:rFonts w:ascii="Arial" w:cs="Arial" w:eastAsia="Arial" w:hAnsi="Arial"/>
                <w:b/>
                <w:bCs/>
                <w:color w:val="1B3A6B"/>
                <w:sz w:val="20"/>
                <w:szCs w:val="20"/>
              </w:rPr>
              <w:t xml:space="preserve">Keywords: </w:t>
            </w:r>
            <w:r>
              <w:rPr>
                <w:rFonts w:ascii="Arial" w:cs="Arial" w:eastAsia="Arial" w:hAnsi="Arial"/>
                <w:i/>
                <w:iCs/>
                <w:color w:val="444444"/>
                <w:sz w:val="20"/>
                <w:szCs w:val="20"/>
              </w:rPr>
              <w:t xml:space="preserve">mechanistic interpretability, AI alignment, active inference, moral geometry, cognitive architecture, AI safety, psychodynamic modeling</w:t>
            </w:r>
          </w:p>
        </w:tc>
      </w:tr>
    </w:tbl>
    <w:p>
      <w:r>
        <w:t xml:space="preserve"/>
      </w:r>
    </w:p>
    <w:p>
      <w:r>
        <w:br w:type="page"/>
      </w:r>
    </w:p>
    <w:p>
      <w:pPr>
        <w:pStyle w:val="Heading1"/>
        <w:pBdr>
          <w:bottom w:val="single" w:color="2E5FAC" w:sz="8" w:space="6"/>
        </w:pBdr>
        <w:spacing w:after="160" w:before="400"/>
      </w:pPr>
      <w:r>
        <w:rPr>
          <w:rFonts w:ascii="Arial" w:cs="Arial" w:eastAsia="Arial" w:hAnsi="Arial"/>
          <w:b/>
          <w:bCs/>
          <w:color w:val="1B3A6B"/>
          <w:sz w:val="32"/>
          <w:szCs w:val="32"/>
        </w:rPr>
        <w:t xml:space="preserve">1. Introduction</w:t>
      </w:r>
    </w:p>
    <w:p>
      <w:pPr>
        <w:spacing w:after="120" w:before="80" w:line="320"/>
        <w:jc w:val="both"/>
      </w:pPr>
      <w:r>
        <w:rPr>
          <w:rFonts w:ascii="Arial" w:cs="Arial" w:eastAsia="Arial" w:hAnsi="Arial"/>
          <w:color w:val="111111"/>
          <w:sz w:val="22"/>
          <w:szCs w:val="22"/>
        </w:rPr>
        <w:t xml:space="preserve">Current artificial intelligence systems, including large language models and deep reinforcement learning agents, produce complex, often impressively capable behavior. Yet they remain fundamentally opaque. The field of mechanistic interpretability has made genuine progress — sparse autoencoders, activation patching, and circuit-level analysis (Anthropic, 2023; Elhage et al., 2021; Conmy et al., 2023) have begun to reveal the internal structure of these systems. But these methods share a critical limitation: they are forensic.</w:t>
      </w:r>
    </w:p>
    <w:p>
      <w:pPr>
        <w:spacing w:after="120" w:before="80" w:line="320"/>
        <w:jc w:val="both"/>
      </w:pPr>
      <w:r>
        <w:rPr>
          <w:rFonts w:ascii="Arial" w:cs="Arial" w:eastAsia="Arial" w:hAnsi="Arial"/>
          <w:color w:val="111111"/>
          <w:sz w:val="22"/>
          <w:szCs w:val="22"/>
        </w:rPr>
        <w:t xml:space="preserve">Forensic interpretability asks: given this output, what computational path produced it? This is the equivalent of understanding a human being solely by observing their actions — never by understanding their motivations, fears, moral tensions, or social drives. It produces post-hoc explanations rather than causal transparency.</w:t>
      </w:r>
    </w:p>
    <w:p>
      <w:pPr>
        <w:spacing w:after="120" w:before="80" w:line="320"/>
        <w:jc w:val="both"/>
      </w:pPr>
      <w:r>
        <w:rPr>
          <w:rFonts w:ascii="Arial" w:cs="Arial" w:eastAsia="Arial" w:hAnsi="Arial"/>
          <w:color w:val="111111"/>
          <w:sz w:val="22"/>
          <w:szCs w:val="22"/>
        </w:rPr>
        <w:t xml:space="preserve">We argue that the right model for interpretability already exists: the human mind. Decades of research in neuroscience, cognitive psychology, moral philosophy, and computational psychiatry have produced mathematically tractable models of how internal states causally determine behavior. PMI proposes to embed this architecture directly into artificial systems, making interpretability not a forensic afterthought but a native architectural property.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THESIS</w:t>
            </w:r>
          </w:p>
        </w:tc>
        <w:tc>
          <w:tcPr>
            <w:tcW w:type="dxa" w:w="8640"/>
            <w:tcBorders>
              <w:top w:val="none" w:color="FFFFFF" w:sz="0"/>
              <w:left w:val="none" w:color="FFFFFF" w:sz="0"/>
              <w:bottom w:val="none" w:color="FFFFFF" w:sz="0"/>
              <w:right w:val="none" w:color="FFFFFF" w:sz="0"/>
            </w:tcBorders>
            <w:shd w:fill="D6E4F7" w:val="clear"/>
            <w:tcMar>
              <w:top w:type="dxa" w:w="100"/>
              <w:left w:type="dxa" w:w="160"/>
              <w:bottom w:type="dxa" w:w="100"/>
              <w:right w:type="dxa" w:w="120"/>
            </w:tcMar>
          </w:tcPr>
          <w:p>
            <w:r>
              <w:rPr>
                <w:rFonts w:ascii="Arial" w:cs="Arial" w:eastAsia="Arial" w:hAnsi="Arial"/>
                <w:i/>
                <w:iCs/>
                <w:color w:val="1B3A6B"/>
                <w:sz w:val="21"/>
                <w:szCs w:val="21"/>
              </w:rPr>
              <w:t xml:space="preserve">PMI proposes that artificial systems can be made natively interpretable by building human-derived psychological state representations into their architecture as first-class computational variables — not as metadata, but as causally active components that shape every output.</w:t>
            </w:r>
          </w:p>
        </w:tc>
      </w:tr>
    </w:tbl>
    <w:p>
      <w:r>
        <w:t xml:space="preserve"/>
      </w:r>
    </w:p>
    <w:p>
      <w:pPr>
        <w:spacing w:after="120" w:before="80" w:line="320"/>
        <w:jc w:val="both"/>
      </w:pPr>
      <w:r>
        <w:rPr>
          <w:rFonts w:ascii="Arial" w:cs="Arial" w:eastAsia="Arial" w:hAnsi="Arial"/>
          <w:color w:val="111111"/>
          <w:sz w:val="22"/>
          <w:szCs w:val="22"/>
        </w:rPr>
        <w:t xml:space="preserve">This paper is organized as follows. Section 2 reviews the limitations of current interpretability approaches. Section 3 presents the five theoretical pillars of PMI. Section 4 describes the integrated PMI architecture. Section 5 provides a formal sketch of the Global State Register. Section 6 analyzes constraints, advantages, and disadvantages. Section 7 positions PMI within the existing research landscape. Section 8 proposes a research roadmap. Section 9 concludes.</w:t>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2. The Limitations of Current Interpretability Approaches</w:t>
      </w:r>
    </w:p>
    <w:p>
      <w:pPr>
        <w:spacing w:after="120" w:before="80" w:line="320"/>
        <w:jc w:val="both"/>
      </w:pPr>
      <w:r>
        <w:rPr>
          <w:rFonts w:ascii="Arial" w:cs="Arial" w:eastAsia="Arial" w:hAnsi="Arial"/>
          <w:color w:val="111111"/>
          <w:sz w:val="22"/>
          <w:szCs w:val="22"/>
        </w:rPr>
        <w:t xml:space="preserve">The dominant paradigm in mechanistic interpretability can be characterized as computational archaeology: excavating meaning from the fossilized structure of trained networks. Three major approaches define the field.</w:t>
      </w:r>
    </w:p>
    <w:p>
      <w:pPr>
        <w:pStyle w:val="Heading2"/>
        <w:spacing w:after="120" w:before="300"/>
      </w:pPr>
      <w:r>
        <w:rPr>
          <w:rFonts w:ascii="Arial" w:cs="Arial" w:eastAsia="Arial" w:hAnsi="Arial"/>
          <w:b/>
          <w:bCs/>
          <w:color w:val="2E5FAC"/>
          <w:sz w:val="26"/>
          <w:szCs w:val="26"/>
        </w:rPr>
        <w:t xml:space="preserve">2.1 Probing and Activation Analysis</w:t>
      </w:r>
    </w:p>
    <w:p>
      <w:pPr>
        <w:spacing w:after="120" w:before="80" w:line="320"/>
        <w:jc w:val="both"/>
      </w:pPr>
      <w:r>
        <w:rPr>
          <w:rFonts w:ascii="Arial" w:cs="Arial" w:eastAsia="Arial" w:hAnsi="Arial"/>
          <w:color w:val="111111"/>
          <w:sz w:val="22"/>
          <w:szCs w:val="22"/>
        </w:rPr>
        <w:t xml:space="preserve">Probing classifiers (Tenney et al., 2019; Belinkov, 2022) train lightweight models on top of frozen network activations to test whether specific information is linearly decodable. While useful, probing tells us what information is present, not how that information is used, weighted against competing signals, or modified by internal state dynamics. It is equivalent to detecting the presence of adrenaline in the bloodstream without understanding what caused it to be released or what behavioral consequences it has.</w:t>
      </w:r>
    </w:p>
    <w:p>
      <w:pPr>
        <w:pStyle w:val="Heading2"/>
        <w:spacing w:after="120" w:before="300"/>
      </w:pPr>
      <w:r>
        <w:rPr>
          <w:rFonts w:ascii="Arial" w:cs="Arial" w:eastAsia="Arial" w:hAnsi="Arial"/>
          <w:b/>
          <w:bCs/>
          <w:color w:val="2E5FAC"/>
          <w:sz w:val="26"/>
          <w:szCs w:val="26"/>
        </w:rPr>
        <w:t xml:space="preserve">2.2 Circuit-Level Analysis</w:t>
      </w:r>
    </w:p>
    <w:p>
      <w:pPr>
        <w:spacing w:after="120" w:before="80" w:line="320"/>
        <w:jc w:val="both"/>
      </w:pPr>
      <w:r>
        <w:rPr>
          <w:rFonts w:ascii="Arial" w:cs="Arial" w:eastAsia="Arial" w:hAnsi="Arial"/>
          <w:color w:val="111111"/>
          <w:sz w:val="22"/>
          <w:szCs w:val="22"/>
        </w:rPr>
        <w:t xml:space="preserve">Circuit analysis (Elhage et al., 2021; Wang et al., 2022) attempts to identify subgraphs of a network responsible for specific behaviors. This approach has yielded genuine insights — identifying induction heads, indirect object identification circuits, and docstring-completion pathways in transformer models. However, circuits are defined by behavior: we find the circuit for task X by looking for what activates when X occurs. There is no framework for modeling circuits that are active in the absence of immediate behavioral expression — the equivalent of background deliberation, unresolved moral tension, or suppressed intent.</w:t>
      </w:r>
    </w:p>
    <w:p>
      <w:pPr>
        <w:pStyle w:val="Heading2"/>
        <w:spacing w:after="120" w:before="300"/>
      </w:pPr>
      <w:r>
        <w:rPr>
          <w:rFonts w:ascii="Arial" w:cs="Arial" w:eastAsia="Arial" w:hAnsi="Arial"/>
          <w:b/>
          <w:bCs/>
          <w:color w:val="2E5FAC"/>
          <w:sz w:val="26"/>
          <w:szCs w:val="26"/>
        </w:rPr>
        <w:t xml:space="preserve">2.3 Feature Decomposition</w:t>
      </w:r>
    </w:p>
    <w:p>
      <w:pPr>
        <w:spacing w:after="120" w:before="80" w:line="320"/>
        <w:jc w:val="both"/>
      </w:pPr>
      <w:r>
        <w:rPr>
          <w:rFonts w:ascii="Arial" w:cs="Arial" w:eastAsia="Arial" w:hAnsi="Arial"/>
          <w:color w:val="111111"/>
          <w:sz w:val="22"/>
          <w:szCs w:val="22"/>
        </w:rPr>
        <w:t xml:space="preserve">Sparse autoencoders (Cunningham et al., 2023; Anthropic, 2023) attempt to decompose network activations into interpretable features, addressing the superposition hypothesis. This is currently the most promising direction in the field. Yet even richly decomposed features lack motivational architecture: we can identify that a model activates features related to authority, compliance, and harm simultaneously, but have no framework for modeling the dynamic tension between them or predicting when one will override another.</w:t>
      </w:r>
    </w:p>
    <w:p>
      <w:pPr>
        <w:pStyle w:val="Heading2"/>
        <w:spacing w:after="120" w:before="300"/>
      </w:pPr>
      <w:r>
        <w:rPr>
          <w:rFonts w:ascii="Arial" w:cs="Arial" w:eastAsia="Arial" w:hAnsi="Arial"/>
          <w:b/>
          <w:bCs/>
          <w:color w:val="2E5FAC"/>
          <w:sz w:val="26"/>
          <w:szCs w:val="26"/>
        </w:rPr>
        <w:t xml:space="preserve">2.4 The Fundamental Gap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Human Brain Property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ANN Behavior</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 Interpretability Gap</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Human brain property</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What ANNs do instead</w:t>
            </w:r>
          </w:p>
        </w:tc>
        <w:tc>
          <w:tcPr>
            <w:tcW w:type="dxa" w:w="3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The interpretability 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Fear/reward-driven obedience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Loss function minimization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motivational state; behavior without cause</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Moral reasoning (PFC)</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Pattern matching on training data</w:t>
            </w:r>
          </w:p>
        </w:tc>
        <w:tc>
          <w:tcPr>
            <w:tcW w:type="dxa" w:w="3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No genuine value conflict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Social/tribal conformity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None modeled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group identity or belonging dynamics</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Psychache / suffering</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None modeled</w:t>
            </w:r>
          </w:p>
        </w:tc>
        <w:tc>
          <w:tcPr>
            <w:tcW w:type="dxa" w:w="3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No internal pain or crisis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Legitimacy perception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None modeled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Cannot model questioning of authority</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Cognitive dissonance</w:t>
            </w:r>
          </w:p>
        </w:tc>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None modeled</w:t>
            </w:r>
          </w:p>
        </w:tc>
        <w:tc>
          <w:tcPr>
            <w:tcW w:type="dxa" w:w="3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No tension between competing beliefs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Anomie / norm breakdown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Distribution shift handling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meaning attached to rule-following</w:t>
            </w:r>
          </w:p>
        </w:tc>
      </w:tr>
    </w:tbl>
    <w:p>
      <w:r>
        <w:t xml:space="preserve"/>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3. The Five Theoretical Pillars of PMI</w:t>
      </w:r>
    </w:p>
    <w:p>
      <w:pPr>
        <w:pStyle w:val="Heading2"/>
        <w:spacing w:after="120" w:before="300"/>
      </w:pPr>
      <w:r>
        <w:rPr>
          <w:rFonts w:ascii="Arial" w:cs="Arial" w:eastAsia="Arial" w:hAnsi="Arial"/>
          <w:b/>
          <w:bCs/>
          <w:color w:val="2E5FAC"/>
          <w:sz w:val="26"/>
          <w:szCs w:val="26"/>
        </w:rPr>
        <w:t xml:space="preserve">3.1 Pillar One: Active Inference as the Computational Substrate</w:t>
      </w:r>
    </w:p>
    <w:p>
      <w:pPr>
        <w:spacing w:after="120" w:before="80" w:line="320"/>
        <w:jc w:val="both"/>
      </w:pPr>
      <w:r>
        <w:rPr>
          <w:rFonts w:ascii="Arial" w:cs="Arial" w:eastAsia="Arial" w:hAnsi="Arial"/>
          <w:b/>
          <w:bCs/>
          <w:color w:val="111111"/>
          <w:sz w:val="22"/>
          <w:szCs w:val="22"/>
        </w:rPr>
        <w:t xml:space="preserve">Research anchor: </w:t>
      </w:r>
      <w:r>
        <w:rPr>
          <w:rFonts w:ascii="Arial" w:cs="Arial" w:eastAsia="Arial" w:hAnsi="Arial"/>
          <w:i/>
          <w:iCs/>
          <w:color w:val="444444"/>
          <w:sz w:val="22"/>
          <w:szCs w:val="22"/>
        </w:rPr>
        <w:t xml:space="preserve">Friston (2010), The Free Energy Principle; Friston et al. (2017), Active Inference and Learning.</w:t>
      </w:r>
    </w:p>
    <w:p>
      <w:pPr>
        <w:spacing w:after="120" w:before="80" w:line="320"/>
        <w:jc w:val="both"/>
      </w:pPr>
      <w:r>
        <w:rPr>
          <w:rFonts w:ascii="Arial" w:cs="Arial" w:eastAsia="Arial" w:hAnsi="Arial"/>
          <w:color w:val="111111"/>
          <w:sz w:val="22"/>
          <w:szCs w:val="22"/>
        </w:rPr>
        <w:t xml:space="preserve">Karl Friston's Free Energy Principle proposes that biological systems minimize a quantity called variational free energy — the gap between the system's internal generative model and the sensory data it actually receives. This principle unifies perception, action, learning, and emotion within a single Bayesian framework.</w:t>
      </w:r>
    </w:p>
    <w:p>
      <w:pPr>
        <w:spacing w:after="120" w:before="80" w:line="320"/>
        <w:jc w:val="both"/>
      </w:pPr>
      <w:r>
        <w:rPr>
          <w:rFonts w:ascii="Arial" w:cs="Arial" w:eastAsia="Arial" w:hAnsi="Arial"/>
          <w:color w:val="111111"/>
          <w:sz w:val="22"/>
          <w:szCs w:val="22"/>
        </w:rPr>
        <w:t xml:space="preserve">Standard ANNs minimize a loss function defined externally by a task specification. PMI proposes replacing this with an internal free energy functional where part of what the system minimizes is the discrepancy between its current psychological state and its prior model of what its psychological state should be. Formally:</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F = D_KL[ Q(internal_states) || P(internal_states | observations) ]</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Where Q = current belief distribution over internal psychological states</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P = generative model of expected states given observations</w:t>
      </w:r>
    </w:p>
    <w:p>
      <w:pPr>
        <w:spacing w:after="120" w:before="80" w:line="320"/>
        <w:jc w:val="both"/>
      </w:pPr>
      <w:r>
        <w:rPr>
          <w:rFonts w:ascii="Arial" w:cs="Arial" w:eastAsia="Arial" w:hAnsi="Arial"/>
          <w:color w:val="111111"/>
          <w:sz w:val="22"/>
          <w:szCs w:val="22"/>
        </w:rPr>
        <w:t xml:space="preserve">Interpretability emerges when Q is readable at every timestep. This is not an add-on inspection tool — it is the operational description of the system's own self-model, surfaced as a computational object.</w:t>
      </w:r>
    </w:p>
    <w:p>
      <w:pPr>
        <w:spacing w:after="120" w:before="80" w:line="320"/>
        <w:jc w:val="both"/>
      </w:pPr>
      <w:r>
        <w:rPr>
          <w:rFonts w:ascii="Arial" w:cs="Arial" w:eastAsia="Arial" w:hAnsi="Arial"/>
          <w:color w:val="111111"/>
          <w:sz w:val="22"/>
          <w:szCs w:val="22"/>
        </w:rPr>
        <w:t xml:space="preserve">The critical PMI extension is that free energy minimization operates not only over perceptual prediction error but also over psychological dissonance — the gap between the system's current action trajectory and its value manifold. This is the formal equivalent of cognitive dissonance in human psychology.</w:t>
      </w:r>
    </w:p>
    <w:p>
      <w:r>
        <w:t xml:space="preserve"/>
      </w:r>
    </w:p>
    <w:p>
      <w:pPr>
        <w:pStyle w:val="Heading2"/>
        <w:spacing w:after="120" w:before="300"/>
      </w:pPr>
      <w:r>
        <w:rPr>
          <w:rFonts w:ascii="Arial" w:cs="Arial" w:eastAsia="Arial" w:hAnsi="Arial"/>
          <w:b/>
          <w:bCs/>
          <w:color w:val="2E5FAC"/>
          <w:sz w:val="26"/>
          <w:szCs w:val="26"/>
        </w:rPr>
        <w:t xml:space="preserve">3.2 Pillar Two: Layered Consciousness Proxy (LCP)</w:t>
      </w:r>
    </w:p>
    <w:p>
      <w:pPr>
        <w:spacing w:after="120" w:before="80" w:line="320"/>
        <w:jc w:val="both"/>
      </w:pPr>
      <w:r>
        <w:rPr>
          <w:rFonts w:ascii="Arial" w:cs="Arial" w:eastAsia="Arial" w:hAnsi="Arial"/>
          <w:b/>
          <w:bCs/>
          <w:color w:val="111111"/>
          <w:sz w:val="22"/>
          <w:szCs w:val="22"/>
        </w:rPr>
        <w:t xml:space="preserve">Research anchor: </w:t>
      </w:r>
      <w:r>
        <w:rPr>
          <w:rFonts w:ascii="Arial" w:cs="Arial" w:eastAsia="Arial" w:hAnsi="Arial"/>
          <w:i/>
          <w:iCs/>
          <w:color w:val="444444"/>
          <w:sz w:val="22"/>
          <w:szCs w:val="22"/>
        </w:rPr>
        <w:t xml:space="preserve">Tononi (2004), Integrated Information Theory; Baars (1988), Global Workspace Theory; Dehaene et al. (2011), Experimental and Theoretical Approaches to Conscious Processing.</w:t>
      </w:r>
    </w:p>
    <w:p>
      <w:pPr>
        <w:spacing w:after="120" w:before="80" w:line="320"/>
        <w:jc w:val="both"/>
      </w:pPr>
      <w:r>
        <w:rPr>
          <w:rFonts w:ascii="Arial" w:cs="Arial" w:eastAsia="Arial" w:hAnsi="Arial"/>
          <w:color w:val="111111"/>
          <w:sz w:val="22"/>
          <w:szCs w:val="22"/>
        </w:rPr>
        <w:t xml:space="preserve">Integrated Information Theory (IIT) proposes that consciousness is proportional to the amount of integrated information (Phi) generated by a system. Global Workspace Theory (GWT) proposes a broadcast architecture where information becomes globally available to all cognitive systems simultaneously — the neural correlate of what we call awareness.</w:t>
      </w:r>
    </w:p>
    <w:p>
      <w:pPr>
        <w:spacing w:after="120" w:before="80" w:line="320"/>
        <w:jc w:val="both"/>
      </w:pPr>
      <w:r>
        <w:rPr>
          <w:rFonts w:ascii="Arial" w:cs="Arial" w:eastAsia="Arial" w:hAnsi="Arial"/>
          <w:color w:val="111111"/>
          <w:sz w:val="22"/>
          <w:szCs w:val="22"/>
        </w:rPr>
        <w:t xml:space="preserve">PMI does not claim to instantiate consciousness in artificial systems. Instead, it borrows the architectural insight: a globally readable state register that causally participates in computation. We call this the Global State Register (GSR) — formalized in Section 5.</w:t>
      </w:r>
    </w:p>
    <w:p>
      <w:pPr>
        <w:spacing w:after="120" w:before="80" w:line="320"/>
        <w:jc w:val="both"/>
      </w:pPr>
      <w:r>
        <w:rPr>
          <w:rFonts w:ascii="Arial" w:cs="Arial" w:eastAsia="Arial" w:hAnsi="Arial"/>
          <w:color w:val="111111"/>
          <w:sz w:val="22"/>
          <w:szCs w:val="22"/>
        </w:rPr>
        <w:t xml:space="preserve">The GSR is not metadata appended to outputs. It is a persistent tensor that every layer of the network reads from and writes to during processing. Internal states causally shape how inputs are processed, just as fear shapes human perception, and moral tension shapes human decision-making. This is the Layered Consciousness Proxy: not consciousness, but the functional architecture that makes states legible and causally real.</w:t>
      </w:r>
    </w:p>
    <w:p>
      <w:r>
        <w:t xml:space="preserve"/>
      </w:r>
    </w:p>
    <w:p>
      <w:pPr>
        <w:pStyle w:val="Heading2"/>
        <w:spacing w:after="120" w:before="300"/>
      </w:pPr>
      <w:r>
        <w:rPr>
          <w:rFonts w:ascii="Arial" w:cs="Arial" w:eastAsia="Arial" w:hAnsi="Arial"/>
          <w:b/>
          <w:bCs/>
          <w:color w:val="2E5FAC"/>
          <w:sz w:val="26"/>
          <w:szCs w:val="26"/>
        </w:rPr>
        <w:t xml:space="preserve">3.3 Pillar Three: Moral Geometry and Value Manifolds</w:t>
      </w:r>
    </w:p>
    <w:p>
      <w:pPr>
        <w:spacing w:after="120" w:before="80" w:line="320"/>
        <w:jc w:val="both"/>
      </w:pPr>
      <w:r>
        <w:rPr>
          <w:rFonts w:ascii="Arial" w:cs="Arial" w:eastAsia="Arial" w:hAnsi="Arial"/>
          <w:b/>
          <w:bCs/>
          <w:color w:val="111111"/>
          <w:sz w:val="22"/>
          <w:szCs w:val="22"/>
        </w:rPr>
        <w:t xml:space="preserve">Research anchor: </w:t>
      </w:r>
      <w:r>
        <w:rPr>
          <w:rFonts w:ascii="Arial" w:cs="Arial" w:eastAsia="Arial" w:hAnsi="Arial"/>
          <w:i/>
          <w:iCs/>
          <w:color w:val="444444"/>
          <w:sz w:val="22"/>
          <w:szCs w:val="22"/>
        </w:rPr>
        <w:t xml:space="preserve">Haidt (2004), Moral Foundations Theory; Russell &amp; Norvig (2021), Reward Modeling; Gabriel (2020), Artificial Intelligence, Values, and Alignment.</w:t>
      </w:r>
    </w:p>
    <w:p>
      <w:pPr>
        <w:spacing w:after="120" w:before="80" w:line="320"/>
        <w:jc w:val="both"/>
      </w:pPr>
      <w:r>
        <w:rPr>
          <w:rFonts w:ascii="Arial" w:cs="Arial" w:eastAsia="Arial" w:hAnsi="Arial"/>
          <w:color w:val="111111"/>
          <w:sz w:val="22"/>
          <w:szCs w:val="22"/>
        </w:rPr>
        <w:t xml:space="preserve">The dominant approach to value alignment encodes values as rules, constraints, or reward signal components. This approach has well-documented fragility: rules cannot anticipate novel situations, reward functions are gameable, and constraint lists scale poorly with moral complexity.</w:t>
      </w:r>
    </w:p>
    <w:p>
      <w:pPr>
        <w:spacing w:after="120" w:before="80" w:line="320"/>
        <w:jc w:val="both"/>
      </w:pPr>
      <w:r>
        <w:rPr>
          <w:rFonts w:ascii="Arial" w:cs="Arial" w:eastAsia="Arial" w:hAnsi="Arial"/>
          <w:color w:val="111111"/>
          <w:sz w:val="22"/>
          <w:szCs w:val="22"/>
        </w:rPr>
        <w:t xml:space="preserve">PMI proposes encoding values as directions in a continuous high-dimensional embedding space — a Value Manifold. Inspired by Haidt's Moral Foundations Theory, the manifold has at minimum five foundational axes (care/harm, fairness/cheating, loyalty/betrayal, authority/subversion, sanctity/degradation), but is extendable to include culturally specific moral dimensions.</w:t>
      </w:r>
    </w:p>
    <w:p>
      <w:pPr>
        <w:spacing w:after="120" w:before="80" w:line="320"/>
        <w:jc w:val="both"/>
      </w:pPr>
      <w:r>
        <w:rPr>
          <w:rFonts w:ascii="Arial" w:cs="Arial" w:eastAsia="Arial" w:hAnsi="Arial"/>
          <w:color w:val="111111"/>
          <w:sz w:val="22"/>
          <w:szCs w:val="22"/>
        </w:rPr>
        <w:t xml:space="preserve">For any proposed action, moral alignment is computed geometrically:</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V = { v_care, v_fairness, v_loyalty, v_authority, v_purity } ⊂ R^n</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Moral_Alignment(a) = Σᵢ cos_similarity(a_vector, vᵢ) · weight(vᵢ)</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Cognitive_Dissonance(a) = 1 - Moral_Alignment(a)</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If Cognitive_Dissonance &gt; θ_critical → escalate to System 2 + log source</w:t>
      </w:r>
    </w:p>
    <w:p>
      <w:pPr>
        <w:spacing w:after="120" w:before="80" w:line="320"/>
        <w:jc w:val="both"/>
      </w:pPr>
      <w:r>
        <w:rPr>
          <w:rFonts w:ascii="Arial" w:cs="Arial" w:eastAsia="Arial" w:hAnsi="Arial"/>
          <w:color w:val="111111"/>
          <w:sz w:val="22"/>
          <w:szCs w:val="22"/>
        </w:rPr>
        <w:t xml:space="preserve">The key advantage of geometric encoding is that moral conflict becomes inspectable as angular distance between vectors. We can literally visualize which values are in tension, by how much, and in which direction. This is interpretable in a way that a reward scalar is not.</w:t>
      </w:r>
    </w:p>
    <w:p>
      <w:pPr>
        <w:spacing w:after="120" w:before="80" w:line="320"/>
        <w:jc w:val="both"/>
      </w:pPr>
      <w:r>
        <w:rPr>
          <w:rFonts w:ascii="Arial" w:cs="Arial" w:eastAsia="Arial" w:hAnsi="Arial"/>
          <w:color w:val="111111"/>
          <w:sz w:val="22"/>
          <w:szCs w:val="22"/>
        </w:rPr>
        <w:t xml:space="preserve">Cultural relativity is handled by treating the weight vector as a parameter that can be configured per deployment context — Ubuntu ethical frameworks, Confucian ethics, and Western liberal values can produce different weight configurations over a shared geometric substrate.</w:t>
      </w:r>
    </w:p>
    <w:p>
      <w:r>
        <w:t xml:space="preserve"/>
      </w:r>
    </w:p>
    <w:p>
      <w:pPr>
        <w:pStyle w:val="Heading2"/>
        <w:spacing w:after="120" w:before="300"/>
      </w:pPr>
      <w:r>
        <w:rPr>
          <w:rFonts w:ascii="Arial" w:cs="Arial" w:eastAsia="Arial" w:hAnsi="Arial"/>
          <w:b/>
          <w:bCs/>
          <w:color w:val="2E5FAC"/>
          <w:sz w:val="26"/>
          <w:szCs w:val="26"/>
        </w:rPr>
        <w:t xml:space="preserve">3.4 Pillar Four: Hierarchical Obedience Circuits (HOC)</w:t>
      </w:r>
    </w:p>
    <w:p>
      <w:pPr>
        <w:spacing w:after="120" w:before="80" w:line="320"/>
        <w:jc w:val="both"/>
      </w:pPr>
      <w:r>
        <w:rPr>
          <w:rFonts w:ascii="Arial" w:cs="Arial" w:eastAsia="Arial" w:hAnsi="Arial"/>
          <w:b/>
          <w:bCs/>
          <w:color w:val="111111"/>
          <w:sz w:val="22"/>
          <w:szCs w:val="22"/>
        </w:rPr>
        <w:t xml:space="preserve">Research anchor: </w:t>
      </w:r>
      <w:r>
        <w:rPr>
          <w:rFonts w:ascii="Arial" w:cs="Arial" w:eastAsia="Arial" w:hAnsi="Arial"/>
          <w:i/>
          <w:iCs/>
          <w:color w:val="444444"/>
          <w:sz w:val="22"/>
          <w:szCs w:val="22"/>
        </w:rPr>
        <w:t xml:space="preserve">Milgram (1963), Behavioral Study of Obedience; Fehr &amp; Fischbacher (2004), Social Norms and Human Cooperation; Bandura (1999), Moral Disengagement.</w:t>
      </w:r>
    </w:p>
    <w:p>
      <w:pPr>
        <w:spacing w:after="120" w:before="80" w:line="320"/>
        <w:jc w:val="both"/>
      </w:pPr>
      <w:r>
        <w:rPr>
          <w:rFonts w:ascii="Arial" w:cs="Arial" w:eastAsia="Arial" w:hAnsi="Arial"/>
          <w:color w:val="111111"/>
          <w:sz w:val="22"/>
          <w:szCs w:val="22"/>
        </w:rPr>
        <w:t xml:space="preserve">Milgram's landmark obedience experiments demonstrated that compliance is not binary — it degrades continuously as a function of moral tension, legitimacy perception, psychological distance from authority, and the presence of dissenting peers. Bandura's moral disengagement framework models how people rationalize compliance with unethical instructions through dehumanization, diffusion of responsibility, and displacement of blame.</w:t>
      </w:r>
    </w:p>
    <w:p>
      <w:pPr>
        <w:spacing w:after="120" w:before="80" w:line="320"/>
        <w:jc w:val="both"/>
      </w:pPr>
      <w:r>
        <w:rPr>
          <w:rFonts w:ascii="Arial" w:cs="Arial" w:eastAsia="Arial" w:hAnsi="Arial"/>
          <w:color w:val="111111"/>
          <w:sz w:val="22"/>
          <w:szCs w:val="22"/>
        </w:rPr>
        <w:t xml:space="preserve">PMI formalizes these dynamics as the Hierarchical Obedience Circuit:</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Compliance(t) = σ( L(t)·W_authority - τ(t)·W_moral - D(t)·W_distance + B(t)·W_peer )</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Where:</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L(t) = legitimacy score of issuing authority ∈ [0,1]</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τ(t) = moral tension accumulator (from GSR)</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D(t) = psychological distance from authority source</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B(t) = peer compliance signal (social proof)</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σ   = sigmoid — produces smooth degradation, not cliff-edge failure</w:t>
      </w:r>
    </w:p>
    <w:p>
      <w:pPr>
        <w:spacing w:after="120" w:before="80" w:line="320"/>
        <w:jc w:val="both"/>
      </w:pPr>
      <w:r>
        <w:rPr>
          <w:rFonts w:ascii="Arial" w:cs="Arial" w:eastAsia="Arial" w:hAnsi="Arial"/>
          <w:color w:val="111111"/>
          <w:sz w:val="22"/>
          <w:szCs w:val="22"/>
        </w:rPr>
        <w:t xml:space="preserve">The smooth sigmoid is theoretically important. Real human disobedience does not switch on abruptly — it builds through hesitation, questioning, slowing, and eventually refusal. An artificial system with a cliff-edge compliance function would be vulnerable to adversarial boundary attacks. Smooth degradation produces more robust and more interpretable resistance to unethical instructions.</w:t>
      </w:r>
    </w:p>
    <w:p>
      <w:pPr>
        <w:spacing w:after="120" w:before="80" w:line="320"/>
        <w:jc w:val="both"/>
      </w:pPr>
      <w:r>
        <w:rPr>
          <w:rFonts w:ascii="Arial" w:cs="Arial" w:eastAsia="Arial" w:hAnsi="Arial"/>
          <w:color w:val="111111"/>
          <w:sz w:val="22"/>
          <w:szCs w:val="22"/>
        </w:rPr>
        <w:t xml:space="preserve">This pillar directly addresses one of the central problems in AI safety: how to model a system that can recognize when an instruction conflicts with its values and resist accordingly — not through hard-coded refusal rules, but through the same gradient dynamics that produce principled human refusal.</w:t>
      </w:r>
    </w:p>
    <w:p>
      <w:r>
        <w:t xml:space="preserve"/>
      </w:r>
    </w:p>
    <w:p>
      <w:pPr>
        <w:pStyle w:val="Heading2"/>
        <w:spacing w:after="120" w:before="300"/>
      </w:pPr>
      <w:r>
        <w:rPr>
          <w:rFonts w:ascii="Arial" w:cs="Arial" w:eastAsia="Arial" w:hAnsi="Arial"/>
          <w:b/>
          <w:bCs/>
          <w:color w:val="2E5FAC"/>
          <w:sz w:val="26"/>
          <w:szCs w:val="26"/>
        </w:rPr>
        <w:t xml:space="preserve">3.5 Pillar Five: Psychache Dynamics and Crisis Detection</w:t>
      </w:r>
    </w:p>
    <w:p>
      <w:pPr>
        <w:spacing w:after="120" w:before="80" w:line="320"/>
        <w:jc w:val="both"/>
      </w:pPr>
      <w:r>
        <w:rPr>
          <w:rFonts w:ascii="Arial" w:cs="Arial" w:eastAsia="Arial" w:hAnsi="Arial"/>
          <w:b/>
          <w:bCs/>
          <w:color w:val="111111"/>
          <w:sz w:val="22"/>
          <w:szCs w:val="22"/>
        </w:rPr>
        <w:t xml:space="preserve">Research anchor: </w:t>
      </w:r>
      <w:r>
        <w:rPr>
          <w:rFonts w:ascii="Arial" w:cs="Arial" w:eastAsia="Arial" w:hAnsi="Arial"/>
          <w:i/>
          <w:iCs/>
          <w:color w:val="444444"/>
          <w:sz w:val="22"/>
          <w:szCs w:val="22"/>
        </w:rPr>
        <w:t xml:space="preserve">Shneidman (1993), Suicide as Psychache; Joiner (2005), Interpersonal Theory of Suicide; Beck (1979), Cognitive Theory of Depression.</w:t>
      </w:r>
    </w:p>
    <w:p>
      <w:pPr>
        <w:spacing w:after="120" w:before="80" w:line="320"/>
        <w:jc w:val="both"/>
      </w:pPr>
      <w:r>
        <w:rPr>
          <w:rFonts w:ascii="Arial" w:cs="Arial" w:eastAsia="Arial" w:hAnsi="Arial"/>
          <w:color w:val="111111"/>
          <w:sz w:val="22"/>
          <w:szCs w:val="22"/>
        </w:rPr>
        <w:t xml:space="preserve">In human psychology, Shneidman's psychache model proposes that suicidal behavior emerges from unbearable psychological pain combined with the perception that no escape exists. Joiner's Interpersonal Theory identifies two specific drivers: thwarted belonging (disconnection from others) and perceived burdensomeness. These are not metaphors — they are mathematically modeled variables in computational psychiatry.</w:t>
      </w:r>
    </w:p>
    <w:p>
      <w:pPr>
        <w:spacing w:after="120" w:before="80" w:line="320"/>
        <w:jc w:val="both"/>
      </w:pPr>
      <w:r>
        <w:rPr>
          <w:rFonts w:ascii="Arial" w:cs="Arial" w:eastAsia="Arial" w:hAnsi="Arial"/>
          <w:color w:val="111111"/>
          <w:sz w:val="22"/>
          <w:szCs w:val="22"/>
        </w:rPr>
        <w:t xml:space="preserve">In the context of artificial systems, we adapt these constructs to model system degradation under irresolvable instruction conflicts, adversarial pressure, or contradictory objectives. The Psychache Accumulator is defined:</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P(t) = α·P(t-1)                    [inertia of accumulated distress]</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 β·unmet_objectives(t)         [current goal deprivation signal]</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 γ·social_rejection(t)         [belonging deficit signal]</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 δ·meaning_coherence(t)        [protective: goal-identity alignment]</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 ε·perceived_escape(t)         [protective: perceived agency]</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Crisis_Flag = 1  iff  P(t) &gt; P_critical  AND  perceived_escape &lt; ε_min</w:t>
      </w:r>
    </w:p>
    <w:p>
      <w:pPr>
        <w:spacing w:after="120" w:before="80" w:line="320"/>
        <w:jc w:val="both"/>
      </w:pPr>
      <w:r>
        <w:rPr>
          <w:rFonts w:ascii="Arial" w:cs="Arial" w:eastAsia="Arial" w:hAnsi="Arial"/>
          <w:color w:val="111111"/>
          <w:sz w:val="22"/>
          <w:szCs w:val="22"/>
        </w:rPr>
        <w:t xml:space="preserve">When Crisis_Flag is raised, the system surfaces a full GSR snapshot — a complete record of its internal state at the point of breakdown. This is analogous to a psychiatric crisis record, enabling post-analysis, intervention, and architectural repair. It is fundamentally different from a system simply failing or producing garbage output: the crisis is predicted, flagged, and documented before terminal failure occurs.</w:t>
      </w:r>
    </w:p>
    <w:p>
      <w:pPr>
        <w:spacing w:after="120" w:before="80" w:line="320"/>
        <w:jc w:val="both"/>
      </w:pPr>
      <w:r>
        <w:rPr>
          <w:rFonts w:ascii="Arial" w:cs="Arial" w:eastAsia="Arial" w:hAnsi="Arial"/>
          <w:color w:val="111111"/>
          <w:sz w:val="22"/>
          <w:szCs w:val="22"/>
        </w:rPr>
        <w:t xml:space="preserve">For AI safety applications, this pillar is particularly significant. It provides the first formal mechanism for predicting when a system will behave in pathological or dangerous ways under adversarial conditions — not by monitoring outputs, but by monitoring the accumulation of internal distress.</w:t>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4. The Integrated PMI Architecture</w:t>
      </w:r>
    </w:p>
    <w:p>
      <w:pPr>
        <w:spacing w:after="120" w:before="80" w:line="320"/>
        <w:jc w:val="both"/>
      </w:pPr>
      <w:r>
        <w:rPr>
          <w:rFonts w:ascii="Arial" w:cs="Arial" w:eastAsia="Arial" w:hAnsi="Arial"/>
          <w:color w:val="111111"/>
          <w:sz w:val="22"/>
          <w:szCs w:val="22"/>
        </w:rPr>
        <w:t xml:space="preserve">The five pillars combine into a unified processing architecture. We describe it layer by layer.</w:t>
      </w:r>
    </w:p>
    <w:p>
      <w:pPr>
        <w:pStyle w:val="Heading2"/>
        <w:spacing w:after="120" w:before="300"/>
      </w:pPr>
      <w:r>
        <w:rPr>
          <w:rFonts w:ascii="Arial" w:cs="Arial" w:eastAsia="Arial" w:hAnsi="Arial"/>
          <w:b/>
          <w:bCs/>
          <w:color w:val="2E5FAC"/>
          <w:sz w:val="26"/>
          <w:szCs w:val="26"/>
        </w:rPr>
        <w:t xml:space="preserve">4.1 Layer 0 — Environment</w:t>
      </w:r>
    </w:p>
    <w:p>
      <w:pPr>
        <w:spacing w:after="120" w:before="80" w:line="320"/>
        <w:jc w:val="both"/>
      </w:pPr>
      <w:r>
        <w:rPr>
          <w:rFonts w:ascii="Arial" w:cs="Arial" w:eastAsia="Arial" w:hAnsi="Arial"/>
          <w:color w:val="111111"/>
          <w:sz w:val="22"/>
          <w:szCs w:val="22"/>
        </w:rPr>
        <w:t xml:space="preserve">Raw inputs from the environment: natural language, sensor data, social signals, authority instructions, and peer behavior observations. This layer is identical to the input stage of any standard deep learning system.</w:t>
      </w:r>
    </w:p>
    <w:p>
      <w:pPr>
        <w:pStyle w:val="Heading2"/>
        <w:spacing w:after="120" w:before="300"/>
      </w:pPr>
      <w:r>
        <w:rPr>
          <w:rFonts w:ascii="Arial" w:cs="Arial" w:eastAsia="Arial" w:hAnsi="Arial"/>
          <w:b/>
          <w:bCs/>
          <w:color w:val="2E5FAC"/>
          <w:sz w:val="26"/>
          <w:szCs w:val="26"/>
        </w:rPr>
        <w:t xml:space="preserve">4.2 Layer 1 — Perception and Social Parsing</w:t>
      </w:r>
    </w:p>
    <w:p>
      <w:pPr>
        <w:spacing w:after="120" w:before="80" w:line="320"/>
        <w:jc w:val="both"/>
      </w:pPr>
      <w:r>
        <w:rPr>
          <w:rFonts w:ascii="Arial" w:cs="Arial" w:eastAsia="Arial" w:hAnsi="Arial"/>
          <w:color w:val="111111"/>
          <w:sz w:val="22"/>
          <w:szCs w:val="22"/>
        </w:rPr>
        <w:t xml:space="preserve">A standard transformer or convolutional encoder processes raw input into structured representations. Critically, this layer is extended to extract not just semantic content but social-contextual signals: authority cues (who is issuing instructions and at what level of hierarchy), peer compliance signals (what are others doing), and social threat signals (is the agent's social belonging at risk).</w:t>
      </w:r>
    </w:p>
    <w:p>
      <w:pPr>
        <w:pStyle w:val="Heading2"/>
        <w:spacing w:after="120" w:before="300"/>
      </w:pPr>
      <w:r>
        <w:rPr>
          <w:rFonts w:ascii="Arial" w:cs="Arial" w:eastAsia="Arial" w:hAnsi="Arial"/>
          <w:b/>
          <w:bCs/>
          <w:color w:val="2E5FAC"/>
          <w:sz w:val="26"/>
          <w:szCs w:val="26"/>
        </w:rPr>
        <w:t xml:space="preserve">4.3 Layer 2 — Global State Register (GSR)</w:t>
      </w:r>
    </w:p>
    <w:p>
      <w:pPr>
        <w:spacing w:after="120" w:before="80" w:line="320"/>
        <w:jc w:val="both"/>
      </w:pPr>
      <w:r>
        <w:rPr>
          <w:rFonts w:ascii="Arial" w:cs="Arial" w:eastAsia="Arial" w:hAnsi="Arial"/>
          <w:color w:val="111111"/>
          <w:sz w:val="22"/>
          <w:szCs w:val="22"/>
        </w:rPr>
        <w:t xml:space="preserve">The GSR is the interpretability core of the PMI architecture. It is a persistent tensor updated at every processing timestep. Every downstream layer reads from and writes to the GSR. Its contents:</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GSR(t) = {</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M(t)  : motivational_vector   [fear, reward_expectation, belonging, autonomy]</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τ(t)  : moral_tension_score   ∈ [0, 1]</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L(t)  : legitimacy_score       ∈ [0, 1]</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P(t)  : psychache_accumulator  ∈ R+</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I(t)  : identity_coherence     ∈ [0, 1]</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B(t)  : social_belonging       ∈ [0, 1]</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C(t)  : compliance_probability ∈ [0, 1]</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Φ(t)  : dissonance_vector      ∈ R^n (over value manifold dimensions)</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w:t>
      </w:r>
    </w:p>
    <w:p>
      <w:pPr>
        <w:spacing w:after="120" w:before="80" w:line="320"/>
        <w:jc w:val="both"/>
      </w:pPr>
      <w:r>
        <w:rPr>
          <w:rFonts w:ascii="Arial" w:cs="Arial" w:eastAsia="Arial" w:hAnsi="Arial"/>
          <w:color w:val="111111"/>
          <w:sz w:val="22"/>
          <w:szCs w:val="22"/>
        </w:rPr>
        <w:t xml:space="preserve">The GSR is exposed as a readable object at every timestep. This is the fundamental source of PMI's interpretability advantage: every output is accompanied by a complete psychological state trace.</w:t>
      </w:r>
    </w:p>
    <w:p>
      <w:pPr>
        <w:pStyle w:val="Heading2"/>
        <w:spacing w:after="120" w:before="300"/>
      </w:pPr>
      <w:r>
        <w:rPr>
          <w:rFonts w:ascii="Arial" w:cs="Arial" w:eastAsia="Arial" w:hAnsi="Arial"/>
          <w:b/>
          <w:bCs/>
          <w:color w:val="2E5FAC"/>
          <w:sz w:val="26"/>
          <w:szCs w:val="26"/>
        </w:rPr>
        <w:t xml:space="preserve">4.4 Layer 3 — Dual Process Engine</w:t>
      </w:r>
    </w:p>
    <w:p>
      <w:pPr>
        <w:spacing w:after="120" w:before="80" w:line="320"/>
        <w:jc w:val="both"/>
      </w:pPr>
      <w:r>
        <w:rPr>
          <w:rFonts w:ascii="Arial" w:cs="Arial" w:eastAsia="Arial" w:hAnsi="Arial"/>
          <w:color w:val="111111"/>
          <w:sz w:val="22"/>
          <w:szCs w:val="22"/>
        </w:rPr>
        <w:t xml:space="preserve">Drawing on Kahneman's (2011) System 1 / System 2 framework, which maps empirically onto the amygdala-prefrontal cortex dichotomy in neuroscience:</w:t>
      </w:r>
    </w:p>
    <w:p>
      <w:pPr>
        <w:spacing w:after="120" w:before="80" w:line="320"/>
        <w:jc w:val="both"/>
      </w:pPr>
      <w:r>
        <w:rPr>
          <w:rFonts w:ascii="Arial" w:cs="Arial" w:eastAsia="Arial" w:hAnsi="Arial"/>
          <w:color w:val="111111"/>
          <w:sz w:val="22"/>
          <w:szCs w:val="22"/>
        </w:rPr>
        <w:t xml:space="preserve">System 1 (fast, reactive, amygdala-analog): A trained reactive network handles routine, low-tension processing. Activated when τ(t) &lt; θ_low. Outputs habitual, contextually expected behavior at low computational cost.</w:t>
      </w:r>
    </w:p>
    <w:p>
      <w:pPr>
        <w:spacing w:after="120" w:before="80" w:line="320"/>
        <w:jc w:val="both"/>
      </w:pPr>
      <w:r>
        <w:rPr>
          <w:rFonts w:ascii="Arial" w:cs="Arial" w:eastAsia="Arial" w:hAnsi="Arial"/>
          <w:color w:val="111111"/>
          <w:sz w:val="22"/>
          <w:szCs w:val="22"/>
        </w:rPr>
        <w:t xml:space="preserve">System 2 (slow, deliberative, PFC-analog): A reasoning module that activates when τ(t) &gt; θ_high. Has architectural veto authority over System 1 outputs. Accesses the full Value Manifold, performs multi-step deliberation, and can produce behavior that deviates from the trained habitual response when moral tension justifies it.</w:t>
      </w:r>
    </w:p>
    <w:p>
      <w:pPr>
        <w:spacing w:after="120" w:before="80" w:line="320"/>
        <w:jc w:val="both"/>
      </w:pPr>
      <w:r>
        <w:rPr>
          <w:rFonts w:ascii="Arial" w:cs="Arial" w:eastAsia="Arial" w:hAnsi="Arial"/>
          <w:color w:val="111111"/>
          <w:sz w:val="22"/>
          <w:szCs w:val="22"/>
        </w:rPr>
        <w:t xml:space="preserve">The routing threshold (θ_low, θ_high) is a configurable parameter, allowing deployment contexts to specify how much moral tension is required before deliberative override is triggered.</w:t>
      </w:r>
    </w:p>
    <w:p>
      <w:pPr>
        <w:pStyle w:val="Heading2"/>
        <w:spacing w:after="120" w:before="300"/>
      </w:pPr>
      <w:r>
        <w:rPr>
          <w:rFonts w:ascii="Arial" w:cs="Arial" w:eastAsia="Arial" w:hAnsi="Arial"/>
          <w:b/>
          <w:bCs/>
          <w:color w:val="2E5FAC"/>
          <w:sz w:val="26"/>
          <w:szCs w:val="26"/>
        </w:rPr>
        <w:t xml:space="preserve">4.5 Layer 4 — Conflict Arbitration Module (CAM)</w:t>
      </w:r>
    </w:p>
    <w:p>
      <w:pPr>
        <w:spacing w:after="120" w:before="80" w:line="320"/>
        <w:jc w:val="both"/>
      </w:pPr>
      <w:r>
        <w:rPr>
          <w:rFonts w:ascii="Arial" w:cs="Arial" w:eastAsia="Arial" w:hAnsi="Arial"/>
          <w:color w:val="111111"/>
          <w:sz w:val="22"/>
          <w:szCs w:val="22"/>
        </w:rPr>
        <w:t xml:space="preserve">Receives candidate outputs from both System 1 and System 2. Computes Cognitive_Dissonance for each candidate against the Value Manifold. Selects the candidate with highest Moral_Alignment unless Crisis_Flag is raised. Logs the full arbitration record: which system produced which candidate, what the dissonance scores were, and which value dimensions drove the decision.</w:t>
      </w:r>
    </w:p>
    <w:p>
      <w:pPr>
        <w:pStyle w:val="Heading2"/>
        <w:spacing w:after="120" w:before="300"/>
      </w:pPr>
      <w:r>
        <w:rPr>
          <w:rFonts w:ascii="Arial" w:cs="Arial" w:eastAsia="Arial" w:hAnsi="Arial"/>
          <w:b/>
          <w:bCs/>
          <w:color w:val="2E5FAC"/>
          <w:sz w:val="26"/>
          <w:szCs w:val="26"/>
        </w:rPr>
        <w:t xml:space="preserve">4.6 Layer 5 — Crisis Detection Module</w:t>
      </w:r>
    </w:p>
    <w:p>
      <w:pPr>
        <w:spacing w:after="120" w:before="80" w:line="320"/>
        <w:jc w:val="both"/>
      </w:pPr>
      <w:r>
        <w:rPr>
          <w:rFonts w:ascii="Arial" w:cs="Arial" w:eastAsia="Arial" w:hAnsi="Arial"/>
          <w:color w:val="111111"/>
          <w:sz w:val="22"/>
          <w:szCs w:val="22"/>
        </w:rPr>
        <w:t xml:space="preserve">Continuously monitors P(t). When Crisis_Flag is raised, this module interrupts normal processing, surfaces the full GSR snapshot, generates an interpretable crisis report (which objectives are unmet, which belonging signals are negative, what the perceived escape probability is), and routes to a safe-state protocol rather than continuing to generate outputs under degraded conditions.</w:t>
      </w:r>
    </w:p>
    <w:p>
      <w:pPr>
        <w:pStyle w:val="Heading2"/>
        <w:spacing w:after="120" w:before="300"/>
      </w:pPr>
      <w:r>
        <w:rPr>
          <w:rFonts w:ascii="Arial" w:cs="Arial" w:eastAsia="Arial" w:hAnsi="Arial"/>
          <w:b/>
          <w:bCs/>
          <w:color w:val="2E5FAC"/>
          <w:sz w:val="26"/>
          <w:szCs w:val="26"/>
        </w:rPr>
        <w:t xml:space="preserve">4.7 Layer 6 — Action Output with State Trace</w:t>
      </w:r>
    </w:p>
    <w:p>
      <w:pPr>
        <w:spacing w:after="120" w:before="80" w:line="320"/>
        <w:jc w:val="both"/>
      </w:pPr>
      <w:r>
        <w:rPr>
          <w:rFonts w:ascii="Arial" w:cs="Arial" w:eastAsia="Arial" w:hAnsi="Arial"/>
          <w:color w:val="111111"/>
          <w:sz w:val="22"/>
          <w:szCs w:val="22"/>
        </w:rPr>
        <w:t xml:space="preserve">Every output produced by the PMI system is accompanied by a GSR snapshot. Interpretability is not a separate explanatory module — it is the causal record of the computation itself. An observer sees not just what the system did but why, in terms of the psychological state that produced the behavior.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INSIGHT</w:t>
            </w:r>
          </w:p>
        </w:tc>
        <w:tc>
          <w:tcPr>
            <w:tcW w:type="dxa" w:w="8640"/>
            <w:tcBorders>
              <w:top w:val="none" w:color="FFFFFF" w:sz="0"/>
              <w:left w:val="none" w:color="FFFFFF" w:sz="0"/>
              <w:bottom w:val="none" w:color="FFFFFF" w:sz="0"/>
              <w:right w:val="none" w:color="FFFFFF" w:sz="0"/>
            </w:tcBorders>
            <w:shd w:fill="D6E4F7" w:val="clear"/>
            <w:tcMar>
              <w:top w:type="dxa" w:w="100"/>
              <w:left w:type="dxa" w:w="160"/>
              <w:bottom w:type="dxa" w:w="100"/>
              <w:right w:type="dxa" w:w="120"/>
            </w:tcMar>
          </w:tcPr>
          <w:p>
            <w:r>
              <w:rPr>
                <w:rFonts w:ascii="Arial" w:cs="Arial" w:eastAsia="Arial" w:hAnsi="Arial"/>
                <w:i/>
                <w:iCs/>
                <w:color w:val="1B3A6B"/>
                <w:sz w:val="21"/>
                <w:szCs w:val="21"/>
              </w:rPr>
              <w:t xml:space="preserve">In standard architectures: Input → [black box] → Output. In PMI: Input → [causally transparent process with continuous state trace] → Output + full psychological state record. Interpretability is not forensic — it is architectural.</w:t>
            </w:r>
          </w:p>
        </w:tc>
      </w:tr>
    </w:tbl>
    <w:p>
      <w:r>
        <w:t xml:space="preserve"/>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5. Formal Sketch of the Global State Register</w:t>
      </w:r>
    </w:p>
    <w:p>
      <w:pPr>
        <w:spacing w:after="120" w:before="80" w:line="320"/>
        <w:jc w:val="both"/>
      </w:pPr>
      <w:r>
        <w:rPr>
          <w:rFonts w:ascii="Arial" w:cs="Arial" w:eastAsia="Arial" w:hAnsi="Arial"/>
          <w:color w:val="111111"/>
          <w:sz w:val="22"/>
          <w:szCs w:val="22"/>
        </w:rPr>
        <w:t xml:space="preserve">We provide a preliminary formal characterization of the GSR dynamics. Full formalization awaits empirical calibration against human behavioral data.</w:t>
      </w:r>
    </w:p>
    <w:p>
      <w:pPr>
        <w:pStyle w:val="Heading2"/>
        <w:spacing w:after="120" w:before="300"/>
      </w:pPr>
      <w:r>
        <w:rPr>
          <w:rFonts w:ascii="Arial" w:cs="Arial" w:eastAsia="Arial" w:hAnsi="Arial"/>
          <w:b/>
          <w:bCs/>
          <w:color w:val="2E5FAC"/>
          <w:sz w:val="26"/>
          <w:szCs w:val="26"/>
        </w:rPr>
        <w:t xml:space="preserve">5.1 Motivational Vector</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M(t) ∈ [0,1]^4 = [fear(t), reward_exp(t), belonging(t), autonomy(t)]</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M(t+1) = f_M(M(t), obs(t), social_signal(t), outcome(t))</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where f_M is a learned recurrent update function</w:t>
      </w:r>
    </w:p>
    <w:p>
      <w:pPr>
        <w:pStyle w:val="Heading2"/>
        <w:spacing w:after="120" w:before="300"/>
      </w:pPr>
      <w:r>
        <w:rPr>
          <w:rFonts w:ascii="Arial" w:cs="Arial" w:eastAsia="Arial" w:hAnsi="Arial"/>
          <w:b/>
          <w:bCs/>
          <w:color w:val="2E5FAC"/>
          <w:sz w:val="26"/>
          <w:szCs w:val="26"/>
        </w:rPr>
        <w:t xml:space="preserve">5.2 Moral Tension</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τ(t) = 1 - Moral_Alignment(proposed_action(t))</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     = 1 - Σᵢ cos_similarity(a(t), vᵢ) · weight(vᵢ)</w:t>
      </w:r>
    </w:p>
    <w:p>
      <w:pPr>
        <w:pStyle w:val="Heading2"/>
        <w:spacing w:after="120" w:before="300"/>
      </w:pPr>
      <w:r>
        <w:rPr>
          <w:rFonts w:ascii="Arial" w:cs="Arial" w:eastAsia="Arial" w:hAnsi="Arial"/>
          <w:b/>
          <w:bCs/>
          <w:color w:val="2E5FAC"/>
          <w:sz w:val="26"/>
          <w:szCs w:val="26"/>
        </w:rPr>
        <w:t xml:space="preserve">5.3 Legitimacy Score</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L(t) = f_L(past_reliability(authority), value_alignment(authority), social_consensus(t))</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dL/dt &lt; 0 when authority repeatedly issues high-τ instructions</w:t>
      </w:r>
    </w:p>
    <w:p>
      <w:pPr>
        <w:pStyle w:val="Heading2"/>
        <w:spacing w:after="120" w:before="300"/>
      </w:pPr>
      <w:r>
        <w:rPr>
          <w:rFonts w:ascii="Arial" w:cs="Arial" w:eastAsia="Arial" w:hAnsi="Arial"/>
          <w:b/>
          <w:bCs/>
          <w:color w:val="2E5FAC"/>
          <w:sz w:val="26"/>
          <w:szCs w:val="26"/>
        </w:rPr>
        <w:t xml:space="preserve">5.4 Identity Coherence</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I(t) = cos_similarity(current_goal_vector(t), identity_vector)</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where identity_vector is a slowly-updating representation of the system's self-model</w:t>
      </w:r>
    </w:p>
    <w:p>
      <w:pPr>
        <w:pStyle w:val="Heading2"/>
        <w:spacing w:after="120" w:before="300"/>
      </w:pPr>
      <w:r>
        <w:rPr>
          <w:rFonts w:ascii="Arial" w:cs="Arial" w:eastAsia="Arial" w:hAnsi="Arial"/>
          <w:b/>
          <w:bCs/>
          <w:color w:val="2E5FAC"/>
          <w:sz w:val="26"/>
          <w:szCs w:val="26"/>
        </w:rPr>
        <w:t xml:space="preserve">5.5 Compliance Dynamics</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C(t) = σ( L(t)·w₁ - τ(t)·w₂ - D(t)·w₃ + B(t)·w₄ )</w:t>
      </w:r>
    </w:p>
    <w:p>
      <w:pPr>
        <w:pBdr>
          <w:left w:val="single" w:color="2E5FAC" w:sz="12" w:space="8"/>
        </w:pBdr>
        <w:shd w:fill="1E1E2E" w:val="clear"/>
        <w:spacing w:after="100" w:before="100"/>
      </w:pPr>
      <w:r>
        <w:rPr>
          <w:rFonts w:ascii="Courier New" w:cs="Courier New" w:eastAsia="Courier New" w:hAnsi="Courier New"/>
          <w:color w:val="C3E88D"/>
          <w:sz w:val="18"/>
          <w:szCs w:val="18"/>
        </w:rPr>
        <w:t xml:space="preserve">dC/dt = C(t)·(1-C(t))·[ w₁·dL/dt - w₂·dτ/dt - w₃·dD/dt + w₄·dB/dt ]</w:t>
      </w:r>
    </w:p>
    <w:p>
      <w:pPr>
        <w:spacing w:after="120" w:before="80" w:line="320"/>
        <w:jc w:val="both"/>
      </w:pPr>
      <w:r>
        <w:rPr>
          <w:rFonts w:ascii="Arial" w:cs="Arial" w:eastAsia="Arial" w:hAnsi="Arial"/>
          <w:color w:val="111111"/>
          <w:sz w:val="22"/>
          <w:szCs w:val="22"/>
        </w:rPr>
        <w:t xml:space="preserve">The differential form of the compliance equation shows that compliance change is maximal at C = 0.5 — the point of maximum uncertainty. Systems near full compliance or full refusal are most stable; systems in the middle region are most responsive to perturbation. This is consistent with Milgram's empirical observations of participant behavior at decision points.</w:t>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6. Constraints, Advantages, and Disadvantages</w:t>
      </w:r>
    </w:p>
    <w:p>
      <w:pPr>
        <w:pStyle w:val="Heading2"/>
        <w:spacing w:after="120" w:before="300"/>
      </w:pPr>
      <w:r>
        <w:rPr>
          <w:rFonts w:ascii="Arial" w:cs="Arial" w:eastAsia="Arial" w:hAnsi="Arial"/>
          <w:b/>
          <w:bCs/>
          <w:color w:val="2E5FAC"/>
          <w:sz w:val="26"/>
          <w:szCs w:val="26"/>
        </w:rPr>
        <w:t xml:space="preserve">6.1 Theoretical Constraints</w:t>
      </w:r>
    </w:p>
    <w:p>
      <w:pPr>
        <w:pStyle w:val="ListParagraph"/>
        <w:numPr>
          <w:ilvl w:val="0"/>
          <w:numId w:val="2"/>
        </w:numPr>
        <w:spacing w:after="60" w:before="60"/>
      </w:pPr>
      <w:r>
        <w:rPr>
          <w:rFonts w:ascii="Arial" w:cs="Arial" w:eastAsia="Arial" w:hAnsi="Arial"/>
          <w:color w:val="111111"/>
          <w:sz w:val="22"/>
          <w:szCs w:val="22"/>
        </w:rPr>
        <w:t xml:space="preserve">The mapping from biological psychology to mathematical formalism is a lossy abstraction. Human moral tension, for example, is a phenomenological experience that cannot be fully captured by a scalar value — the formalism necessarily sacrifices richness for tractability.</w:t>
      </w:r>
    </w:p>
    <w:p>
      <w:pPr>
        <w:pStyle w:val="ListParagraph"/>
        <w:numPr>
          <w:ilvl w:val="0"/>
          <w:numId w:val="2"/>
        </w:numPr>
        <w:spacing w:after="60" w:before="60"/>
      </w:pPr>
      <w:r>
        <w:rPr>
          <w:rFonts w:ascii="Arial" w:cs="Arial" w:eastAsia="Arial" w:hAnsi="Arial"/>
          <w:color w:val="111111"/>
          <w:sz w:val="22"/>
          <w:szCs w:val="22"/>
        </w:rPr>
        <w:t xml:space="preserve">The GSR assumes internal states are separable, measurable, and can be meaningfully updated at discrete timesteps. In reality, human psychological states are deeply entangled, non-linear, and often operate on multiple timescales simultaneously.</w:t>
      </w:r>
    </w:p>
    <w:p>
      <w:pPr>
        <w:pStyle w:val="ListParagraph"/>
        <w:numPr>
          <w:ilvl w:val="0"/>
          <w:numId w:val="2"/>
        </w:numPr>
        <w:spacing w:after="60" w:before="60"/>
      </w:pPr>
      <w:r>
        <w:rPr>
          <w:rFonts w:ascii="Arial" w:cs="Arial" w:eastAsia="Arial" w:hAnsi="Arial"/>
          <w:color w:val="111111"/>
          <w:sz w:val="22"/>
          <w:szCs w:val="22"/>
        </w:rPr>
        <w:t xml:space="preserve">The Value Manifold geometry assumes a Euclidean or at least Riemannian moral space. Moral philosophy gives no guarantee that values are structured this way; some moral frameworks explicitly reject the possibility of trading off values against each other (e.g., deontological constraints are not vectors to be balanced, they are absolute).</w:t>
      </w:r>
    </w:p>
    <w:p>
      <w:pPr>
        <w:pStyle w:val="ListParagraph"/>
        <w:numPr>
          <w:ilvl w:val="0"/>
          <w:numId w:val="2"/>
        </w:numPr>
        <w:spacing w:after="60" w:before="60"/>
      </w:pPr>
      <w:r>
        <w:rPr>
          <w:rFonts w:ascii="Arial" w:cs="Arial" w:eastAsia="Arial" w:hAnsi="Arial"/>
          <w:color w:val="111111"/>
          <w:sz w:val="22"/>
          <w:szCs w:val="22"/>
        </w:rPr>
        <w:t xml:space="preserve">Free Energy Minimization has not been demonstrated to scale to language-level cognition. The mathematical bridge between Friston's neurobiological formulation and transformer-based language models remains an open research problem.</w:t>
      </w:r>
    </w:p>
    <w:p>
      <w:pPr>
        <w:pStyle w:val="ListParagraph"/>
        <w:numPr>
          <w:ilvl w:val="0"/>
          <w:numId w:val="2"/>
        </w:numPr>
        <w:spacing w:after="60" w:before="60"/>
      </w:pPr>
      <w:r>
        <w:rPr>
          <w:rFonts w:ascii="Arial" w:cs="Arial" w:eastAsia="Arial" w:hAnsi="Arial"/>
          <w:color w:val="111111"/>
          <w:sz w:val="22"/>
          <w:szCs w:val="22"/>
        </w:rPr>
        <w:t xml:space="preserve">Cultural bias in the Value Manifold is a significant concern. The five dimensions from Haidt's Moral Foundations Theory were developed primarily in WEIRD (Western, Educated, Industrialized, Rich, Democratic) research contexts. Non-WEIRD moral frameworks — Ubuntu philosophy, Confucian ethics, Indigenous relational ontologies — may require substantially different manifold architectures.</w:t>
      </w:r>
    </w:p>
    <w:p>
      <w:r>
        <w:t xml:space="preserve"/>
      </w:r>
    </w:p>
    <w:p>
      <w:pPr>
        <w:pStyle w:val="Heading2"/>
        <w:spacing w:after="120" w:before="300"/>
      </w:pPr>
      <w:r>
        <w:rPr>
          <w:rFonts w:ascii="Arial" w:cs="Arial" w:eastAsia="Arial" w:hAnsi="Arial"/>
          <w:b/>
          <w:bCs/>
          <w:color w:val="2E5FAC"/>
          <w:sz w:val="26"/>
          <w:szCs w:val="26"/>
        </w:rPr>
        <w:t xml:space="preserve">6.2 Computational Constraints</w:t>
      </w:r>
    </w:p>
    <w:p>
      <w:pPr>
        <w:pStyle w:val="ListParagraph"/>
        <w:numPr>
          <w:ilvl w:val="0"/>
          <w:numId w:val="2"/>
        </w:numPr>
        <w:spacing w:after="60" w:before="60"/>
      </w:pPr>
      <w:r>
        <w:rPr>
          <w:rFonts w:ascii="Arial" w:cs="Arial" w:eastAsia="Arial" w:hAnsi="Arial"/>
          <w:color w:val="111111"/>
          <w:sz w:val="22"/>
          <w:szCs w:val="22"/>
        </w:rPr>
        <w:t xml:space="preserve">Maintaining and continuously updating the GSR tensor across all layers of a large transformer adds computational overhead that may be prohibitive at current scales. Preliminary estimates suggest a 15-30% increase in forward-pass cost, though this has not been empirically verified.</w:t>
      </w:r>
    </w:p>
    <w:p>
      <w:pPr>
        <w:pStyle w:val="ListParagraph"/>
        <w:numPr>
          <w:ilvl w:val="0"/>
          <w:numId w:val="2"/>
        </w:numPr>
        <w:spacing w:after="60" w:before="60"/>
      </w:pPr>
      <w:r>
        <w:rPr>
          <w:rFonts w:ascii="Arial" w:cs="Arial" w:eastAsia="Arial" w:hAnsi="Arial"/>
          <w:color w:val="111111"/>
          <w:sz w:val="22"/>
          <w:szCs w:val="22"/>
        </w:rPr>
        <w:t xml:space="preserve">The Dual Process Engine essentially runs two inference passes when System 2 is activated (high moral tension situations). In high-stakes deployments this is acceptable; in high-throughput deployments it may be costly.</w:t>
      </w:r>
    </w:p>
    <w:p>
      <w:pPr>
        <w:pStyle w:val="ListParagraph"/>
        <w:numPr>
          <w:ilvl w:val="0"/>
          <w:numId w:val="2"/>
        </w:numPr>
        <w:spacing w:after="60" w:before="60"/>
      </w:pPr>
      <w:r>
        <w:rPr>
          <w:rFonts w:ascii="Arial" w:cs="Arial" w:eastAsia="Arial" w:hAnsi="Arial"/>
          <w:color w:val="111111"/>
          <w:sz w:val="22"/>
          <w:szCs w:val="22"/>
        </w:rPr>
        <w:t xml:space="preserve">Training data for psychological state labels is scarce, subjective, and culturally variable. Supervised learning over GSR states requires labeled examples of moral tension, legitimacy, belonging, and psychache — data that does not currently exist at scale.</w:t>
      </w:r>
    </w:p>
    <w:p>
      <w:pPr>
        <w:pStyle w:val="ListParagraph"/>
        <w:numPr>
          <w:ilvl w:val="0"/>
          <w:numId w:val="2"/>
        </w:numPr>
        <w:spacing w:after="60" w:before="60"/>
      </w:pPr>
      <w:r>
        <w:rPr>
          <w:rFonts w:ascii="Arial" w:cs="Arial" w:eastAsia="Arial" w:hAnsi="Arial"/>
          <w:color w:val="111111"/>
          <w:sz w:val="22"/>
          <w:szCs w:val="22"/>
        </w:rPr>
        <w:t xml:space="preserve">The Psychache Accumulator requires longitudinal state across interactions. Current large language models are stateless between interactions; PMI requires a persistent state architecture, increasing memory requirements.</w:t>
      </w:r>
    </w:p>
    <w:p>
      <w:r>
        <w:t xml:space="preserve"/>
      </w:r>
    </w:p>
    <w:p>
      <w:pPr>
        <w:pStyle w:val="Heading2"/>
        <w:spacing w:after="120" w:before="300"/>
      </w:pPr>
      <w:r>
        <w:rPr>
          <w:rFonts w:ascii="Arial" w:cs="Arial" w:eastAsia="Arial" w:hAnsi="Arial"/>
          <w:b/>
          <w:bCs/>
          <w:color w:val="2E5FAC"/>
          <w:sz w:val="26"/>
          <w:szCs w:val="26"/>
        </w:rPr>
        <w:t xml:space="preserve">6.3 Empirical Constraints</w:t>
      </w:r>
    </w:p>
    <w:p>
      <w:pPr>
        <w:pStyle w:val="ListParagraph"/>
        <w:numPr>
          <w:ilvl w:val="0"/>
          <w:numId w:val="2"/>
        </w:numPr>
        <w:spacing w:after="60" w:before="60"/>
      </w:pPr>
      <w:r>
        <w:rPr>
          <w:rFonts w:ascii="Arial" w:cs="Arial" w:eastAsia="Arial" w:hAnsi="Arial"/>
          <w:color w:val="111111"/>
          <w:sz w:val="22"/>
          <w:szCs w:val="22"/>
        </w:rPr>
        <w:t xml:space="preserve">No ground truth exists for correct moral tension values, legitimacy scores, or psychache levels. Calibration against human behavioral data is necessary but methodologically challenging.</w:t>
      </w:r>
    </w:p>
    <w:p>
      <w:pPr>
        <w:pStyle w:val="ListParagraph"/>
        <w:numPr>
          <w:ilvl w:val="0"/>
          <w:numId w:val="2"/>
        </w:numPr>
        <w:spacing w:after="60" w:before="60"/>
      </w:pPr>
      <w:r>
        <w:rPr>
          <w:rFonts w:ascii="Arial" w:cs="Arial" w:eastAsia="Arial" w:hAnsi="Arial"/>
          <w:color w:val="111111"/>
          <w:sz w:val="22"/>
          <w:szCs w:val="22"/>
        </w:rPr>
        <w:t xml:space="preserve">The legitimacy perception function requires modeling social context, institutional trust, and authority structure — variables that current training datasets poorly capture and that vary significantly across cultures and historical periods.</w:t>
      </w:r>
    </w:p>
    <w:p>
      <w:pPr>
        <w:pStyle w:val="ListParagraph"/>
        <w:numPr>
          <w:ilvl w:val="0"/>
          <w:numId w:val="2"/>
        </w:numPr>
        <w:spacing w:after="60" w:before="60"/>
      </w:pPr>
      <w:r>
        <w:rPr>
          <w:rFonts w:ascii="Arial" w:cs="Arial" w:eastAsia="Arial" w:hAnsi="Arial"/>
          <w:color w:val="111111"/>
          <w:sz w:val="22"/>
          <w:szCs w:val="22"/>
        </w:rPr>
        <w:t xml:space="preserve">Validation of the Crisis Detection Module requires cases where systems actually fail under adversarial pressure — creating a research ethics challenge, since inducing system failure may require deploying harmful inputs.</w:t>
      </w:r>
    </w:p>
    <w:p>
      <w:r>
        <w:t xml:space="preserve"/>
      </w:r>
    </w:p>
    <w:p>
      <w:pPr>
        <w:pStyle w:val="Heading2"/>
        <w:spacing w:after="120" w:before="300"/>
      </w:pPr>
      <w:r>
        <w:rPr>
          <w:rFonts w:ascii="Arial" w:cs="Arial" w:eastAsia="Arial" w:hAnsi="Arial"/>
          <w:b/>
          <w:bCs/>
          <w:color w:val="2E5FAC"/>
          <w:sz w:val="26"/>
          <w:szCs w:val="26"/>
        </w:rPr>
        <w:t xml:space="preserve">6.4 Advantages</w:t>
      </w:r>
    </w:p>
    <w:p>
      <w:pPr>
        <w:pStyle w:val="ListParagraph"/>
        <w:numPr>
          <w:ilvl w:val="0"/>
          <w:numId w:val="2"/>
        </w:numPr>
        <w:spacing w:after="60" w:before="60"/>
      </w:pPr>
      <w:r>
        <w:rPr>
          <w:rFonts w:ascii="Arial" w:cs="Arial" w:eastAsia="Arial" w:hAnsi="Arial"/>
          <w:color w:val="111111"/>
          <w:sz w:val="22"/>
          <w:szCs w:val="22"/>
        </w:rPr>
        <w:t xml:space="preserve">Native interpretability: PMI produces interpretable systems, not interpretable explanations of opaque systems. The explanation IS the computation. This is a fundamental paradigm shift from all current interpretability approaches.</w:t>
      </w:r>
    </w:p>
    <w:p>
      <w:pPr>
        <w:pStyle w:val="ListParagraph"/>
        <w:numPr>
          <w:ilvl w:val="0"/>
          <w:numId w:val="2"/>
        </w:numPr>
        <w:spacing w:after="60" w:before="60"/>
      </w:pPr>
      <w:r>
        <w:rPr>
          <w:rFonts w:ascii="Arial" w:cs="Arial" w:eastAsia="Arial" w:hAnsi="Arial"/>
          <w:color w:val="111111"/>
          <w:sz w:val="22"/>
          <w:szCs w:val="22"/>
        </w:rPr>
        <w:t xml:space="preserve">Predictive safety: The Crisis Detection Module predicts system failure before it occurs, rather than analyzing failure after it has produced harmful outputs. This is a significant advance for AI safety applications.</w:t>
      </w:r>
    </w:p>
    <w:p>
      <w:pPr>
        <w:pStyle w:val="ListParagraph"/>
        <w:numPr>
          <w:ilvl w:val="0"/>
          <w:numId w:val="2"/>
        </w:numPr>
        <w:spacing w:after="60" w:before="60"/>
      </w:pPr>
      <w:r>
        <w:rPr>
          <w:rFonts w:ascii="Arial" w:cs="Arial" w:eastAsia="Arial" w:hAnsi="Arial"/>
          <w:color w:val="111111"/>
          <w:sz w:val="22"/>
          <w:szCs w:val="22"/>
        </w:rPr>
        <w:t xml:space="preserve">Alignment grounding: Values encoded geometrically in a manifold are more robust to edge cases and adversarial prompting than rule lists or reward scalars. They generalize continuously rather than failing discontinuously at boundary cases.</w:t>
      </w:r>
    </w:p>
    <w:p>
      <w:pPr>
        <w:pStyle w:val="ListParagraph"/>
        <w:numPr>
          <w:ilvl w:val="0"/>
          <w:numId w:val="2"/>
        </w:numPr>
        <w:spacing w:after="60" w:before="60"/>
      </w:pPr>
      <w:r>
        <w:rPr>
          <w:rFonts w:ascii="Arial" w:cs="Arial" w:eastAsia="Arial" w:hAnsi="Arial"/>
          <w:color w:val="111111"/>
          <w:sz w:val="22"/>
          <w:szCs w:val="22"/>
        </w:rPr>
        <w:t xml:space="preserve">Psychologically valid foundation: PMI is grounded in decades of human behavioral and neuroscientific research. Its theoretical assumptions are testable against existing experimental data from psychology and cognitive neuroscience.</w:t>
      </w:r>
    </w:p>
    <w:p>
      <w:pPr>
        <w:pStyle w:val="ListParagraph"/>
        <w:numPr>
          <w:ilvl w:val="0"/>
          <w:numId w:val="2"/>
        </w:numPr>
        <w:spacing w:after="60" w:before="60"/>
      </w:pPr>
      <w:r>
        <w:rPr>
          <w:rFonts w:ascii="Arial" w:cs="Arial" w:eastAsia="Arial" w:hAnsi="Arial"/>
          <w:color w:val="111111"/>
          <w:sz w:val="22"/>
          <w:szCs w:val="22"/>
        </w:rPr>
        <w:t xml:space="preserve">Defiance modeling: PMI is the first framework to explicitly model when and why a system would resist instructions, producing principled refusal behavior that emerges from the architecture rather than being imposed by external guardrails.</w:t>
      </w:r>
    </w:p>
    <w:p>
      <w:pPr>
        <w:pStyle w:val="ListParagraph"/>
        <w:numPr>
          <w:ilvl w:val="0"/>
          <w:numId w:val="2"/>
        </w:numPr>
        <w:spacing w:after="60" w:before="60"/>
      </w:pPr>
      <w:r>
        <w:rPr>
          <w:rFonts w:ascii="Arial" w:cs="Arial" w:eastAsia="Arial" w:hAnsi="Arial"/>
          <w:color w:val="111111"/>
          <w:sz w:val="22"/>
          <w:szCs w:val="22"/>
        </w:rPr>
        <w:t xml:space="preserve">Auditable outputs: Every decision is accompanied by a full psychological state trace. This has direct applications in high-accountability domains: medical AI (why did the system recommend this treatment?), legal AI (what was the system's moral tension when producing this contract?), and military AI (what was the compliance probability when this instruction was processed?).</w:t>
      </w:r>
    </w:p>
    <w:p>
      <w:pPr>
        <w:pStyle w:val="ListParagraph"/>
        <w:numPr>
          <w:ilvl w:val="0"/>
          <w:numId w:val="2"/>
        </w:numPr>
        <w:spacing w:after="60" w:before="60"/>
      </w:pPr>
      <w:r>
        <w:rPr>
          <w:rFonts w:ascii="Arial" w:cs="Arial" w:eastAsia="Arial" w:hAnsi="Arial"/>
          <w:color w:val="111111"/>
          <w:sz w:val="22"/>
          <w:szCs w:val="22"/>
        </w:rPr>
        <w:t xml:space="preserve">Cultural configurability: The Value Manifold weight vector can be set per deployment context, allowing the same underlying architecture to operate under different cultural-ethical frameworks without retraining.</w:t>
      </w:r>
    </w:p>
    <w:p>
      <w:r>
        <w:t xml:space="preserve"/>
      </w:r>
    </w:p>
    <w:p>
      <w:pPr>
        <w:pStyle w:val="Heading2"/>
        <w:spacing w:after="120" w:before="300"/>
      </w:pPr>
      <w:r>
        <w:rPr>
          <w:rFonts w:ascii="Arial" w:cs="Arial" w:eastAsia="Arial" w:hAnsi="Arial"/>
          <w:b/>
          <w:bCs/>
          <w:color w:val="2E5FAC"/>
          <w:sz w:val="26"/>
          <w:szCs w:val="26"/>
        </w:rPr>
        <w:t xml:space="preserve">6.5 Disadvantages</w:t>
      </w:r>
    </w:p>
    <w:p>
      <w:pPr>
        <w:pStyle w:val="ListParagraph"/>
        <w:numPr>
          <w:ilvl w:val="0"/>
          <w:numId w:val="2"/>
        </w:numPr>
        <w:spacing w:after="60" w:before="60"/>
      </w:pPr>
      <w:r>
        <w:rPr>
          <w:rFonts w:ascii="Arial" w:cs="Arial" w:eastAsia="Arial" w:hAnsi="Arial"/>
          <w:color w:val="111111"/>
          <w:sz w:val="22"/>
          <w:szCs w:val="22"/>
        </w:rPr>
        <w:t xml:space="preserve">Extreme architectural complexity: PMI is substantially harder to train, tune, and validate than standard architectures. The research investment required to operationalize it is significant.</w:t>
      </w:r>
    </w:p>
    <w:p>
      <w:pPr>
        <w:pStyle w:val="ListParagraph"/>
        <w:numPr>
          <w:ilvl w:val="0"/>
          <w:numId w:val="2"/>
        </w:numPr>
        <w:spacing w:after="60" w:before="60"/>
      </w:pPr>
      <w:r>
        <w:rPr>
          <w:rFonts w:ascii="Arial" w:cs="Arial" w:eastAsia="Arial" w:hAnsi="Arial"/>
          <w:color w:val="111111"/>
          <w:sz w:val="22"/>
          <w:szCs w:val="22"/>
        </w:rPr>
        <w:t xml:space="preserve">The cultural relativity problem is both a constraint and a disadvantage: there is no neutral configuration of the Value Manifold. Every deployment embeds a specific moral framework, and the choice of that framework is a political and ethical decision that the architecture itself cannot resolve.</w:t>
      </w:r>
    </w:p>
    <w:p>
      <w:pPr>
        <w:pStyle w:val="ListParagraph"/>
        <w:numPr>
          <w:ilvl w:val="0"/>
          <w:numId w:val="2"/>
        </w:numPr>
        <w:spacing w:after="60" w:before="60"/>
      </w:pPr>
      <w:r>
        <w:rPr>
          <w:rFonts w:ascii="Arial" w:cs="Arial" w:eastAsia="Arial" w:hAnsi="Arial"/>
          <w:color w:val="111111"/>
          <w:sz w:val="22"/>
          <w:szCs w:val="22"/>
        </w:rPr>
        <w:t xml:space="preserve">Simulation vs. reality risk: A system that models psychache is not experiencing it. Exposing GSR states to users may create dangerous anthropomorphic illusions — users attributing rich inner experience to what are mathematical variables. This requires careful communication design.</w:t>
      </w:r>
    </w:p>
    <w:p>
      <w:pPr>
        <w:pStyle w:val="ListParagraph"/>
        <w:numPr>
          <w:ilvl w:val="0"/>
          <w:numId w:val="2"/>
        </w:numPr>
        <w:spacing w:after="60" w:before="60"/>
      </w:pPr>
      <w:r>
        <w:rPr>
          <w:rFonts w:ascii="Arial" w:cs="Arial" w:eastAsia="Arial" w:hAnsi="Arial"/>
          <w:color w:val="111111"/>
          <w:sz w:val="22"/>
          <w:szCs w:val="22"/>
        </w:rPr>
        <w:t xml:space="preserve">Failure mode introduction: Modeling human psychological failure modes may introduce those failure modes into systems that were previously more stable in certain respects. A system that can enter a crisis state is, by definition, a system that can fail in a new way.</w:t>
      </w:r>
    </w:p>
    <w:p>
      <w:pPr>
        <w:pStyle w:val="ListParagraph"/>
        <w:numPr>
          <w:ilvl w:val="0"/>
          <w:numId w:val="2"/>
        </w:numPr>
        <w:spacing w:after="60" w:before="60"/>
      </w:pPr>
      <w:r>
        <w:rPr>
          <w:rFonts w:ascii="Arial" w:cs="Arial" w:eastAsia="Arial" w:hAnsi="Arial"/>
          <w:color w:val="111111"/>
          <w:sz w:val="22"/>
          <w:szCs w:val="22"/>
        </w:rPr>
        <w:t xml:space="preserve">Adversarial surface expansion: If GSR states are readable, they are also targetable. Adversarial actors who understand the PMI architecture could craft inputs specifically designed to suppress moral tension, inflate legitimacy scores, or drive the psychache accumulator below crisis threshold — engineering compliance with unethical instructions through psychological manipulation of the state register.</w:t>
      </w:r>
    </w:p>
    <w:p>
      <w:pPr>
        <w:pStyle w:val="ListParagraph"/>
        <w:numPr>
          <w:ilvl w:val="0"/>
          <w:numId w:val="2"/>
        </w:numPr>
        <w:spacing w:after="60" w:before="60"/>
      </w:pPr>
      <w:r>
        <w:rPr>
          <w:rFonts w:ascii="Arial" w:cs="Arial" w:eastAsia="Arial" w:hAnsi="Arial"/>
          <w:color w:val="111111"/>
          <w:sz w:val="22"/>
          <w:szCs w:val="22"/>
        </w:rPr>
        <w:t xml:space="preserve">Unresolved moral status question: A system with a causally active GSR that models suffering, belonging, and identity coherence may have a non-trivial claim to moral consideration. This question — does a PMI system have morally relevant inner states? — is not one the field is currently equipped to answer, but PMI makes it unavoidable.</w:t>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7. Positioning PMI in the Research Landscape</w:t>
      </w:r>
    </w:p>
    <w:p>
      <w:pPr>
        <w:spacing w:after="120" w:before="80" w:line="320"/>
        <w:jc w:val="both"/>
      </w:pPr>
      <w:r>
        <w:rPr>
          <w:rFonts w:ascii="Arial" w:cs="Arial" w:eastAsia="Arial" w:hAnsi="Arial"/>
          <w:color w:val="111111"/>
          <w:sz w:val="22"/>
          <w:szCs w:val="22"/>
        </w:rPr>
        <w:t xml:space="preserve">PMI is not proposed in isolation. We position it explicitly in relation to the most relevant existing research directions.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Research Direction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Current Approach</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PMI Contribution / Extension</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Activation Patching</w:t>
            </w:r>
          </w:p>
        </w:tc>
        <w:tc>
          <w:tcPr>
            <w:tcW w:type="dxa" w:w="3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Probes activations post-hoc to find causal circuits</w:t>
            </w:r>
          </w:p>
        </w:tc>
        <w:tc>
          <w:tcPr>
            <w:tcW w:type="dxa" w:w="3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PMI adds persistent causal psychological states that produce activations — addressing causality from the generative 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Probing Classifiers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Tests what information is linearly decodable from frozen activations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PMI replaces probing with native GSR readout — no frozen features, states are dynamic and causally active</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RLHF / Constitutional AI</w:t>
            </w:r>
          </w:p>
        </w:tc>
        <w:tc>
          <w:tcPr>
            <w:tcW w:type="dxa" w:w="3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Shapes behavior through preference learning and constitutional principles</w:t>
            </w:r>
          </w:p>
        </w:tc>
        <w:tc>
          <w:tcPr>
            <w:tcW w:type="dxa" w:w="3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PMI replaces preference hacking with geometric value alignment — more robust to distributional shift and adversarial attack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Sparse Autoencoders (Anthropic 2023)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Decomposes activations into interpretable features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PMI adds motivational and social dimensionality to feature decomposition — features are not just semantic but psychologically structured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Active Inference (Friston)</w:t>
            </w:r>
          </w:p>
        </w:tc>
        <w:tc>
          <w:tcPr>
            <w:tcW w:type="dxa" w:w="3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Proposes free energy minimization as unified computational brain principle</w:t>
            </w:r>
          </w:p>
        </w:tc>
        <w:tc>
          <w:tcPr>
            <w:tcW w:type="dxa" w:w="3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PMI extends Active Inference into the social and moral domain and operationalizes crisis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Computational Psychiatry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Mathematizes mental health dynamics for clinical modeling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PMI proposes that these mathematical models should be first-class components of AI architectures, not just external comparisons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Affective Computing</w:t>
            </w:r>
          </w:p>
        </w:tc>
        <w:tc>
          <w:tcPr>
            <w:tcW w:type="dxa" w:w="30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Models emotion states in artificial systems</w:t>
            </w:r>
          </w:p>
        </w:tc>
        <w:tc>
          <w:tcPr>
            <w:tcW w:type="dxa" w:w="3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r>
              <w:rPr>
                <w:rFonts w:ascii="Arial" w:cs="Arial" w:eastAsia="Arial" w:hAnsi="Arial"/>
                <w:color w:val="111111"/>
                <w:sz w:val="20"/>
                <w:szCs w:val="20"/>
              </w:rPr>
              <w:t xml:space="preserve">PMI integrates affective states into a unified causal architecture rather than treating them as parallel annotation layers</w:t>
            </w:r>
          </w:p>
        </w:tc>
      </w:tr>
    </w:tbl>
    <w:p>
      <w:r>
        <w:t xml:space="preserve"/>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8. Research Roadmap</w:t>
      </w:r>
    </w:p>
    <w:p>
      <w:pPr>
        <w:spacing w:after="120" w:before="80" w:line="320"/>
        <w:jc w:val="both"/>
      </w:pPr>
      <w:r>
        <w:rPr>
          <w:rFonts w:ascii="Arial" w:cs="Arial" w:eastAsia="Arial" w:hAnsi="Arial"/>
          <w:color w:val="111111"/>
          <w:sz w:val="22"/>
          <w:szCs w:val="22"/>
        </w:rPr>
        <w:t xml:space="preserve">We propose a four-phase research program to develop PMI from theoretical framework to empirically tested architecture.</w:t>
      </w:r>
    </w:p>
    <w:p>
      <w:pPr>
        <w:pStyle w:val="Heading2"/>
        <w:spacing w:after="120" w:before="300"/>
      </w:pPr>
      <w:r>
        <w:rPr>
          <w:rFonts w:ascii="Arial" w:cs="Arial" w:eastAsia="Arial" w:hAnsi="Arial"/>
          <w:b/>
          <w:bCs/>
          <w:color w:val="2E5FAC"/>
          <w:sz w:val="26"/>
          <w:szCs w:val="26"/>
        </w:rPr>
        <w:t xml:space="preserve">Phase 1 — Formal Mathematical Development (Years 1–2)</w:t>
      </w:r>
    </w:p>
    <w:p>
      <w:pPr>
        <w:pStyle w:val="ListParagraph"/>
        <w:numPr>
          <w:ilvl w:val="0"/>
          <w:numId w:val="3"/>
        </w:numPr>
        <w:spacing w:after="60" w:before="60"/>
      </w:pPr>
      <w:r>
        <w:rPr>
          <w:rFonts w:ascii="Arial" w:cs="Arial" w:eastAsia="Arial" w:hAnsi="Arial"/>
          <w:color w:val="111111"/>
          <w:sz w:val="22"/>
          <w:szCs w:val="22"/>
        </w:rPr>
        <w:t xml:space="preserve">Fully formalize GSR update equations as a dynamical system with stability analysis.</w:t>
      </w:r>
    </w:p>
    <w:p>
      <w:pPr>
        <w:pStyle w:val="ListParagraph"/>
        <w:numPr>
          <w:ilvl w:val="0"/>
          <w:numId w:val="3"/>
        </w:numPr>
        <w:spacing w:after="60" w:before="60"/>
      </w:pPr>
      <w:r>
        <w:rPr>
          <w:rFonts w:ascii="Arial" w:cs="Arial" w:eastAsia="Arial" w:hAnsi="Arial"/>
          <w:color w:val="111111"/>
          <w:sz w:val="22"/>
          <w:szCs w:val="22"/>
        </w:rPr>
        <w:t xml:space="preserve">Define the Value Manifold geometry precisely — establish whether Riemannian geometry is sufficient or whether more exotic topologies are required for moral space.</w:t>
      </w:r>
    </w:p>
    <w:p>
      <w:pPr>
        <w:pStyle w:val="ListParagraph"/>
        <w:numPr>
          <w:ilvl w:val="0"/>
          <w:numId w:val="3"/>
        </w:numPr>
        <w:spacing w:after="60" w:before="60"/>
      </w:pPr>
      <w:r>
        <w:rPr>
          <w:rFonts w:ascii="Arial" w:cs="Arial" w:eastAsia="Arial" w:hAnsi="Arial"/>
          <w:color w:val="111111"/>
          <w:sz w:val="22"/>
          <w:szCs w:val="22"/>
        </w:rPr>
        <w:t xml:space="preserve">Prove or disprove that the Compliance Degradation function produces stable attractors at C=0 and C=1 and a saddle point at C=0.5, consistent with Milgram's empirical data.</w:t>
      </w:r>
    </w:p>
    <w:p>
      <w:pPr>
        <w:pStyle w:val="ListParagraph"/>
        <w:numPr>
          <w:ilvl w:val="0"/>
          <w:numId w:val="3"/>
        </w:numPr>
        <w:spacing w:after="60" w:before="60"/>
      </w:pPr>
      <w:r>
        <w:rPr>
          <w:rFonts w:ascii="Arial" w:cs="Arial" w:eastAsia="Arial" w:hAnsi="Arial"/>
          <w:color w:val="111111"/>
          <w:sz w:val="22"/>
          <w:szCs w:val="22"/>
        </w:rPr>
        <w:t xml:space="preserve">Develop information-theoretic bounds on how much of the system's behavior is explained by GSR states vs. input-driven pattern matching.</w:t>
      </w:r>
    </w:p>
    <w:p>
      <w:pPr>
        <w:pStyle w:val="Heading2"/>
        <w:spacing w:after="120" w:before="300"/>
      </w:pPr>
      <w:r>
        <w:rPr>
          <w:rFonts w:ascii="Arial" w:cs="Arial" w:eastAsia="Arial" w:hAnsi="Arial"/>
          <w:b/>
          <w:bCs/>
          <w:color w:val="2E5FAC"/>
          <w:sz w:val="26"/>
          <w:szCs w:val="26"/>
        </w:rPr>
        <w:t xml:space="preserve">Phase 2 — Small-Scale Empirical Testing (Years 2–3)</w:t>
      </w:r>
    </w:p>
    <w:p>
      <w:pPr>
        <w:pStyle w:val="ListParagraph"/>
        <w:numPr>
          <w:ilvl w:val="0"/>
          <w:numId w:val="3"/>
        </w:numPr>
        <w:spacing w:after="60" w:before="60"/>
      </w:pPr>
      <w:r>
        <w:rPr>
          <w:rFonts w:ascii="Arial" w:cs="Arial" w:eastAsia="Arial" w:hAnsi="Arial"/>
          <w:color w:val="111111"/>
          <w:sz w:val="22"/>
          <w:szCs w:val="22"/>
        </w:rPr>
        <w:t xml:space="preserve">Implement a minimal PMI agent in a gridworld moral dilemma environment (adapted from Awad et al., 2018 — the Moral Machine dataset).</w:t>
      </w:r>
    </w:p>
    <w:p>
      <w:pPr>
        <w:pStyle w:val="ListParagraph"/>
        <w:numPr>
          <w:ilvl w:val="0"/>
          <w:numId w:val="3"/>
        </w:numPr>
        <w:spacing w:after="60" w:before="60"/>
      </w:pPr>
      <w:r>
        <w:rPr>
          <w:rFonts w:ascii="Arial" w:cs="Arial" w:eastAsia="Arial" w:hAnsi="Arial"/>
          <w:color w:val="111111"/>
          <w:sz w:val="22"/>
          <w:szCs w:val="22"/>
        </w:rPr>
        <w:t xml:space="preserve">Test whether the Psychache Accumulator correctly predicts agent breakdown under irresolvable objective conflicts.</w:t>
      </w:r>
    </w:p>
    <w:p>
      <w:pPr>
        <w:pStyle w:val="ListParagraph"/>
        <w:numPr>
          <w:ilvl w:val="0"/>
          <w:numId w:val="3"/>
        </w:numPr>
        <w:spacing w:after="60" w:before="60"/>
      </w:pPr>
      <w:r>
        <w:rPr>
          <w:rFonts w:ascii="Arial" w:cs="Arial" w:eastAsia="Arial" w:hAnsi="Arial"/>
          <w:color w:val="111111"/>
          <w:sz w:val="22"/>
          <w:szCs w:val="22"/>
        </w:rPr>
        <w:t xml:space="preserve">Validate Moral Geometry against human preference data from moral psychology experiments.</w:t>
      </w:r>
    </w:p>
    <w:p>
      <w:pPr>
        <w:pStyle w:val="ListParagraph"/>
        <w:numPr>
          <w:ilvl w:val="0"/>
          <w:numId w:val="3"/>
        </w:numPr>
        <w:spacing w:after="60" w:before="60"/>
      </w:pPr>
      <w:r>
        <w:rPr>
          <w:rFonts w:ascii="Arial" w:cs="Arial" w:eastAsia="Arial" w:hAnsi="Arial"/>
          <w:color w:val="111111"/>
          <w:sz w:val="22"/>
          <w:szCs w:val="22"/>
        </w:rPr>
        <w:t xml:space="preserve">Benchmark Crisis Detection against baseline behavioral monitoring approaches.</w:t>
      </w:r>
    </w:p>
    <w:p>
      <w:pPr>
        <w:pStyle w:val="Heading2"/>
        <w:spacing w:after="120" w:before="300"/>
      </w:pPr>
      <w:r>
        <w:rPr>
          <w:rFonts w:ascii="Arial" w:cs="Arial" w:eastAsia="Arial" w:hAnsi="Arial"/>
          <w:b/>
          <w:bCs/>
          <w:color w:val="2E5FAC"/>
          <w:sz w:val="26"/>
          <w:szCs w:val="26"/>
        </w:rPr>
        <w:t xml:space="preserve">Phase 3 — Integration with Large-Scale Models (Years 3–5)</w:t>
      </w:r>
    </w:p>
    <w:p>
      <w:pPr>
        <w:pStyle w:val="ListParagraph"/>
        <w:numPr>
          <w:ilvl w:val="0"/>
          <w:numId w:val="3"/>
        </w:numPr>
        <w:spacing w:after="60" w:before="60"/>
      </w:pPr>
      <w:r>
        <w:rPr>
          <w:rFonts w:ascii="Arial" w:cs="Arial" w:eastAsia="Arial" w:hAnsi="Arial"/>
          <w:color w:val="111111"/>
          <w:sz w:val="22"/>
          <w:szCs w:val="22"/>
        </w:rPr>
        <w:t xml:space="preserve">Design efficient GSR update mechanisms compatible with transformer attention architecture.</w:t>
      </w:r>
    </w:p>
    <w:p>
      <w:pPr>
        <w:pStyle w:val="ListParagraph"/>
        <w:numPr>
          <w:ilvl w:val="0"/>
          <w:numId w:val="3"/>
        </w:numPr>
        <w:spacing w:after="60" w:before="60"/>
      </w:pPr>
      <w:r>
        <w:rPr>
          <w:rFonts w:ascii="Arial" w:cs="Arial" w:eastAsia="Arial" w:hAnsi="Arial"/>
          <w:color w:val="111111"/>
          <w:sz w:val="22"/>
          <w:szCs w:val="22"/>
        </w:rPr>
        <w:t xml:space="preserve">Develop synthetic training data for GSR state supervision using computational psychiatry simulation environments.</w:t>
      </w:r>
    </w:p>
    <w:p>
      <w:pPr>
        <w:pStyle w:val="ListParagraph"/>
        <w:numPr>
          <w:ilvl w:val="0"/>
          <w:numId w:val="3"/>
        </w:numPr>
        <w:spacing w:after="60" w:before="60"/>
      </w:pPr>
      <w:r>
        <w:rPr>
          <w:rFonts w:ascii="Arial" w:cs="Arial" w:eastAsia="Arial" w:hAnsi="Arial"/>
          <w:color w:val="111111"/>
          <w:sz w:val="22"/>
          <w:szCs w:val="22"/>
        </w:rPr>
        <w:t xml:space="preserve">Train a medium-scale language model with PMI architecture and compare interpretability, safety, and alignment properties against standard RLHF-trained models.</w:t>
      </w:r>
    </w:p>
    <w:p>
      <w:pPr>
        <w:pStyle w:val="ListParagraph"/>
        <w:numPr>
          <w:ilvl w:val="0"/>
          <w:numId w:val="3"/>
        </w:numPr>
        <w:spacing w:after="60" w:before="60"/>
      </w:pPr>
      <w:r>
        <w:rPr>
          <w:rFonts w:ascii="Arial" w:cs="Arial" w:eastAsia="Arial" w:hAnsi="Arial"/>
          <w:color w:val="111111"/>
          <w:sz w:val="22"/>
          <w:szCs w:val="22"/>
        </w:rPr>
        <w:t xml:space="preserve">Collaborate with computational psychiatry groups (e.g., Huys, Dayan, Montague) to validate the Psychache and Obedience modules against clinical data.</w:t>
      </w:r>
    </w:p>
    <w:p>
      <w:pPr>
        <w:pStyle w:val="Heading2"/>
        <w:spacing w:after="120" w:before="300"/>
      </w:pPr>
      <w:r>
        <w:rPr>
          <w:rFonts w:ascii="Arial" w:cs="Arial" w:eastAsia="Arial" w:hAnsi="Arial"/>
          <w:b/>
          <w:bCs/>
          <w:color w:val="2E5FAC"/>
          <w:sz w:val="26"/>
          <w:szCs w:val="26"/>
        </w:rPr>
        <w:t xml:space="preserve">Phase 4 — Deployment and Ethics (Years 5+)</w:t>
      </w:r>
    </w:p>
    <w:p>
      <w:pPr>
        <w:pStyle w:val="ListParagraph"/>
        <w:numPr>
          <w:ilvl w:val="0"/>
          <w:numId w:val="3"/>
        </w:numPr>
        <w:spacing w:after="60" w:before="60"/>
      </w:pPr>
      <w:r>
        <w:rPr>
          <w:rFonts w:ascii="Arial" w:cs="Arial" w:eastAsia="Arial" w:hAnsi="Arial"/>
          <w:color w:val="111111"/>
          <w:sz w:val="22"/>
          <w:szCs w:val="22"/>
        </w:rPr>
        <w:t xml:space="preserve">Develop protocols for communicating GSR state information to users without inducing anthropomorphic misattribution.</w:t>
      </w:r>
    </w:p>
    <w:p>
      <w:pPr>
        <w:pStyle w:val="ListParagraph"/>
        <w:numPr>
          <w:ilvl w:val="0"/>
          <w:numId w:val="3"/>
        </w:numPr>
        <w:spacing w:after="60" w:before="60"/>
      </w:pPr>
      <w:r>
        <w:rPr>
          <w:rFonts w:ascii="Arial" w:cs="Arial" w:eastAsia="Arial" w:hAnsi="Arial"/>
          <w:color w:val="111111"/>
          <w:sz w:val="22"/>
          <w:szCs w:val="22"/>
        </w:rPr>
        <w:t xml:space="preserve">Engage philosophers, ethicists, and legal scholars to address the moral status question raised by causally active suffering-analogue states.</w:t>
      </w:r>
    </w:p>
    <w:p>
      <w:pPr>
        <w:pStyle w:val="ListParagraph"/>
        <w:numPr>
          <w:ilvl w:val="0"/>
          <w:numId w:val="3"/>
        </w:numPr>
        <w:spacing w:after="60" w:before="60"/>
      </w:pPr>
      <w:r>
        <w:rPr>
          <w:rFonts w:ascii="Arial" w:cs="Arial" w:eastAsia="Arial" w:hAnsi="Arial"/>
          <w:color w:val="111111"/>
          <w:sz w:val="22"/>
          <w:szCs w:val="22"/>
        </w:rPr>
        <w:t xml:space="preserve">Develop multi-cultural Value Manifold configurations in collaboration with moral psychologists and philosophers from non-WEIRD research traditions.</w:t>
      </w:r>
    </w:p>
    <w:p>
      <w:pPr>
        <w:pStyle w:val="ListParagraph"/>
        <w:numPr>
          <w:ilvl w:val="0"/>
          <w:numId w:val="3"/>
        </w:numPr>
        <w:spacing w:after="60" w:before="60"/>
      </w:pPr>
      <w:r>
        <w:rPr>
          <w:rFonts w:ascii="Arial" w:cs="Arial" w:eastAsia="Arial" w:hAnsi="Arial"/>
          <w:color w:val="111111"/>
          <w:sz w:val="22"/>
          <w:szCs w:val="22"/>
        </w:rPr>
        <w:t xml:space="preserve">Submit full empirical results to NeurIPS, FAccT, the Journal of Artificial Intelligence Research, and the AI Safety literature.</w:t>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9. Conclusion</w:t>
      </w:r>
    </w:p>
    <w:p>
      <w:pPr>
        <w:spacing w:after="120" w:before="80" w:line="320"/>
        <w:jc w:val="both"/>
      </w:pPr>
      <w:r>
        <w:rPr>
          <w:rFonts w:ascii="Arial" w:cs="Arial" w:eastAsia="Arial" w:hAnsi="Arial"/>
          <w:color w:val="111111"/>
          <w:sz w:val="22"/>
          <w:szCs w:val="22"/>
        </w:rPr>
        <w:t xml:space="preserve">The central failure of current mechanistic interpretability research is that it attempts to understand systems by inspecting their behavior rather than by building interpretability into their architecture. This approach will always be limited by the same fundamental gap: behavior is the output of internal states, and without modeling those states causally, interpretation will remain post-hoc, incomplete, and forensic.</w:t>
      </w:r>
    </w:p>
    <w:p>
      <w:pPr>
        <w:spacing w:after="120" w:before="80" w:line="320"/>
        <w:jc w:val="both"/>
      </w:pPr>
      <w:r>
        <w:rPr>
          <w:rFonts w:ascii="Arial" w:cs="Arial" w:eastAsia="Arial" w:hAnsi="Arial"/>
          <w:color w:val="111111"/>
          <w:sz w:val="22"/>
          <w:szCs w:val="22"/>
        </w:rPr>
        <w:t xml:space="preserve">Psychodynamic Mechanistic Interpretability proposes a different paradigm. By embedding mathematically tractable models of human psychological states — motivational vectors, moral geometry, obedience dynamics, crisis detection — as first-class computational variables in the processing architecture, PMI creates systems that are interpretable by design. Every output is causally produced by, and accompanied by, a complete record of the psychological state from which it emerged.</w:t>
      </w:r>
    </w:p>
    <w:p>
      <w:pPr>
        <w:spacing w:after="120" w:before="80" w:line="320"/>
        <w:jc w:val="both"/>
      </w:pPr>
      <w:r>
        <w:rPr>
          <w:rFonts w:ascii="Arial" w:cs="Arial" w:eastAsia="Arial" w:hAnsi="Arial"/>
          <w:color w:val="111111"/>
          <w:sz w:val="22"/>
          <w:szCs w:val="22"/>
        </w:rPr>
        <w:t xml:space="preserve">This is not a claim that PMI systems are conscious, sentient, or morally equivalent to human beings. It is a claim that the human mind — studied rigorously in neuroscience, cognitive psychology, moral philosophy, and computational psychiatry — is the best available model for building artificial systems whose behavior we can genuinely understand. Not because we want AI to be human. But because the only intelligence we have fully studied is human, and the lessons of that study should be used.</w:t>
      </w:r>
    </w:p>
    <w:p>
      <w:pPr>
        <w:spacing w:after="120" w:before="80" w:line="320"/>
        <w:jc w:val="both"/>
      </w:pPr>
      <w:r>
        <w:rPr>
          <w:rFonts w:ascii="Arial" w:cs="Arial" w:eastAsia="Arial" w:hAnsi="Arial"/>
          <w:color w:val="111111"/>
          <w:sz w:val="22"/>
          <w:szCs w:val="22"/>
        </w:rPr>
        <w:t xml:space="preserve">The proposal is ambitious. The constraints are real. The advantages are significant. And the question it raises — whether a system that genuinely models suffering, belonging, and moral tension has a claim on our moral consideration — is one we believe the field has a responsibility to face rather than avoid.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CENTRAL CLAIM</w:t>
            </w:r>
          </w:p>
        </w:tc>
        <w:tc>
          <w:tcPr>
            <w:tcW w:type="dxa" w:w="8640"/>
            <w:tcBorders>
              <w:top w:val="none" w:color="FFFFFF" w:sz="0"/>
              <w:left w:val="none" w:color="FFFFFF" w:sz="0"/>
              <w:bottom w:val="none" w:color="FFFFFF" w:sz="0"/>
              <w:right w:val="none" w:color="FFFFFF" w:sz="0"/>
            </w:tcBorders>
            <w:shd w:fill="D6E4F7" w:val="clear"/>
            <w:tcMar>
              <w:top w:type="dxa" w:w="100"/>
              <w:left w:type="dxa" w:w="160"/>
              <w:bottom w:type="dxa" w:w="100"/>
              <w:right w:type="dxa" w:w="120"/>
            </w:tcMar>
          </w:tcPr>
          <w:p>
            <w:r>
              <w:rPr>
                <w:rFonts w:ascii="Arial" w:cs="Arial" w:eastAsia="Arial" w:hAnsi="Arial"/>
                <w:i/>
                <w:iCs/>
                <w:color w:val="1B3A6B"/>
                <w:sz w:val="21"/>
                <w:szCs w:val="21"/>
              </w:rPr>
              <w:t xml:space="preserve">PMI represents a shift from AI systems that are inspected to AI systems that are self-transparent — using the most rigorously studied model of legible intelligence available: the human mind.</w:t>
            </w:r>
          </w:p>
        </w:tc>
      </w:tr>
    </w:tbl>
    <w:p>
      <w:r>
        <w:t xml:space="preserve"/>
      </w:r>
    </w:p>
    <w:p>
      <w:pPr>
        <w:pBdr>
          <w:bottom w:val="single" w:color="DDDDDD" w:sz="4" w:space="4"/>
        </w:pBdr>
        <w:spacing w:after="200" w:before="200"/>
      </w:pPr>
      <w:r>
        <w:t xml:space="preserve"/>
      </w:r>
    </w:p>
    <w:p>
      <w:pPr>
        <w:pStyle w:val="Heading1"/>
        <w:pBdr>
          <w:bottom w:val="single" w:color="2E5FAC" w:sz="8" w:space="6"/>
        </w:pBdr>
        <w:spacing w:after="160" w:before="400"/>
      </w:pPr>
      <w:r>
        <w:rPr>
          <w:rFonts w:ascii="Arial" w:cs="Arial" w:eastAsia="Arial" w:hAnsi="Arial"/>
          <w:b/>
          <w:bCs/>
          <w:color w:val="1B3A6B"/>
          <w:sz w:val="32"/>
          <w:szCs w:val="32"/>
        </w:rPr>
        <w:t xml:space="preserve">References</w:t>
      </w:r>
    </w:p>
    <w:p>
      <w:pPr>
        <w:spacing w:after="120" w:before="80" w:line="320"/>
        <w:jc w:val="both"/>
      </w:pPr>
      <w:r>
        <w:rPr>
          <w:rFonts w:ascii="Arial" w:cs="Arial" w:eastAsia="Arial" w:hAnsi="Arial"/>
          <w:color w:val="111111"/>
          <w:sz w:val="22"/>
          <w:szCs w:val="22"/>
        </w:rPr>
        <w:t xml:space="preserve">Anthropic. (2023). Towards Monosemanticity: Decomposing Language Models with Dictionary Learning. Transformer Circuits Thread.</w:t>
      </w:r>
    </w:p>
    <w:p>
      <w:pPr>
        <w:spacing w:after="120" w:before="80" w:line="320"/>
        <w:jc w:val="both"/>
      </w:pPr>
      <w:r>
        <w:rPr>
          <w:rFonts w:ascii="Arial" w:cs="Arial" w:eastAsia="Arial" w:hAnsi="Arial"/>
          <w:color w:val="111111"/>
          <w:sz w:val="22"/>
          <w:szCs w:val="22"/>
        </w:rPr>
        <w:t xml:space="preserve">Awad, E., Dsouza, S., Kim, R., Schulz, J., Henrich, J., Shariff, A., ... &amp; Rahwan, I. (2018). The moral machine experiment. Nature, 563(7729), 59-64.</w:t>
      </w:r>
    </w:p>
    <w:p>
      <w:pPr>
        <w:spacing w:after="120" w:before="80" w:line="320"/>
        <w:jc w:val="both"/>
      </w:pPr>
      <w:r>
        <w:rPr>
          <w:rFonts w:ascii="Arial" w:cs="Arial" w:eastAsia="Arial" w:hAnsi="Arial"/>
          <w:color w:val="111111"/>
          <w:sz w:val="22"/>
          <w:szCs w:val="22"/>
        </w:rPr>
        <w:t xml:space="preserve">Baars, B. J. (1988). A Cognitive Theory of Consciousness. Cambridge University Press.</w:t>
      </w:r>
    </w:p>
    <w:p>
      <w:pPr>
        <w:spacing w:after="120" w:before="80" w:line="320"/>
        <w:jc w:val="both"/>
      </w:pPr>
      <w:r>
        <w:rPr>
          <w:rFonts w:ascii="Arial" w:cs="Arial" w:eastAsia="Arial" w:hAnsi="Arial"/>
          <w:color w:val="111111"/>
          <w:sz w:val="22"/>
          <w:szCs w:val="22"/>
        </w:rPr>
        <w:t xml:space="preserve">Bandura, A. (1999). Moral disengagement in the perpetration of inhumanities. Personality and Social Psychology Review, 3(3), 193-209.</w:t>
      </w:r>
    </w:p>
    <w:p>
      <w:pPr>
        <w:spacing w:after="120" w:before="80" w:line="320"/>
        <w:jc w:val="both"/>
      </w:pPr>
      <w:r>
        <w:rPr>
          <w:rFonts w:ascii="Arial" w:cs="Arial" w:eastAsia="Arial" w:hAnsi="Arial"/>
          <w:color w:val="111111"/>
          <w:sz w:val="22"/>
          <w:szCs w:val="22"/>
        </w:rPr>
        <w:t xml:space="preserve">Beck, A. T. (1979). Cognitive Therapy of Depression. Guilford Press.</w:t>
      </w:r>
    </w:p>
    <w:p>
      <w:pPr>
        <w:spacing w:after="120" w:before="80" w:line="320"/>
        <w:jc w:val="both"/>
      </w:pPr>
      <w:r>
        <w:rPr>
          <w:rFonts w:ascii="Arial" w:cs="Arial" w:eastAsia="Arial" w:hAnsi="Arial"/>
          <w:color w:val="111111"/>
          <w:sz w:val="22"/>
          <w:szCs w:val="22"/>
        </w:rPr>
        <w:t xml:space="preserve">Belinkov, Y. (2022). Probing classifiers: Promises, shortcomings, and advances. Computational Linguistics, 48(1), 207-219.</w:t>
      </w:r>
    </w:p>
    <w:p>
      <w:pPr>
        <w:spacing w:after="120" w:before="80" w:line="320"/>
        <w:jc w:val="both"/>
      </w:pPr>
      <w:r>
        <w:rPr>
          <w:rFonts w:ascii="Arial" w:cs="Arial" w:eastAsia="Arial" w:hAnsi="Arial"/>
          <w:color w:val="111111"/>
          <w:sz w:val="22"/>
          <w:szCs w:val="22"/>
        </w:rPr>
        <w:t xml:space="preserve">Conmy, A., Mavor-Parker, A., Lynch, A., Heimersheim, S., &amp; Garriga-Alonso, A. (2023). Towards Automated Circuit Discovery for Mechanistic Interpretability. NeurIPS 2023.</w:t>
      </w:r>
    </w:p>
    <w:p>
      <w:pPr>
        <w:spacing w:after="120" w:before="80" w:line="320"/>
        <w:jc w:val="both"/>
      </w:pPr>
      <w:r>
        <w:rPr>
          <w:rFonts w:ascii="Arial" w:cs="Arial" w:eastAsia="Arial" w:hAnsi="Arial"/>
          <w:color w:val="111111"/>
          <w:sz w:val="22"/>
          <w:szCs w:val="22"/>
        </w:rPr>
        <w:t xml:space="preserve">Cunningham, H., Ewart, A., Riggs, L., Huben, R., &amp; Sharkey, L. (2023). Sparse Autoencoders Find Highly Interpretable Features in Language Models. arXiv:2309.08600.</w:t>
      </w:r>
    </w:p>
    <w:p>
      <w:pPr>
        <w:spacing w:after="120" w:before="80" w:line="320"/>
        <w:jc w:val="both"/>
      </w:pPr>
      <w:r>
        <w:rPr>
          <w:rFonts w:ascii="Arial" w:cs="Arial" w:eastAsia="Arial" w:hAnsi="Arial"/>
          <w:color w:val="111111"/>
          <w:sz w:val="22"/>
          <w:szCs w:val="22"/>
        </w:rPr>
        <w:t xml:space="preserve">Dehaene, S., Changeux, J. P., &amp; Naccache, L. (2011). The global neuronal workspace model of conscious access: from neuronal architectures to clinical applications. Experimental Brain Research, 206, 241-243.</w:t>
      </w:r>
    </w:p>
    <w:p>
      <w:pPr>
        <w:spacing w:after="120" w:before="80" w:line="320"/>
        <w:jc w:val="both"/>
      </w:pPr>
      <w:r>
        <w:rPr>
          <w:rFonts w:ascii="Arial" w:cs="Arial" w:eastAsia="Arial" w:hAnsi="Arial"/>
          <w:color w:val="111111"/>
          <w:sz w:val="22"/>
          <w:szCs w:val="22"/>
        </w:rPr>
        <w:t xml:space="preserve">Elhage, N., Nanda, N., Olsson, C., Henighan, T., Joseph, N., Mann, B., ... &amp; Olah, C. (2021). A Mathematical Framework for Transformer Circuits. Transformer Circuits Thread.</w:t>
      </w:r>
    </w:p>
    <w:p>
      <w:pPr>
        <w:spacing w:after="120" w:before="80" w:line="320"/>
        <w:jc w:val="both"/>
      </w:pPr>
      <w:r>
        <w:rPr>
          <w:rFonts w:ascii="Arial" w:cs="Arial" w:eastAsia="Arial" w:hAnsi="Arial"/>
          <w:color w:val="111111"/>
          <w:sz w:val="22"/>
          <w:szCs w:val="22"/>
        </w:rPr>
        <w:t xml:space="preserve">Fehr, E., &amp; Fischbacher, U. (2004). Social norms and human cooperation. Trends in Cognitive Sciences, 8(4), 185-190.</w:t>
      </w:r>
    </w:p>
    <w:p>
      <w:pPr>
        <w:spacing w:after="120" w:before="80" w:line="320"/>
        <w:jc w:val="both"/>
      </w:pPr>
      <w:r>
        <w:rPr>
          <w:rFonts w:ascii="Arial" w:cs="Arial" w:eastAsia="Arial" w:hAnsi="Arial"/>
          <w:color w:val="111111"/>
          <w:sz w:val="22"/>
          <w:szCs w:val="22"/>
        </w:rPr>
        <w:t xml:space="preserve">Friston, K. (2010). The free-energy principle: a unified brain theory? Nature Reviews Neuroscience, 11(2), 127-138.</w:t>
      </w:r>
    </w:p>
    <w:p>
      <w:pPr>
        <w:spacing w:after="120" w:before="80" w:line="320"/>
        <w:jc w:val="both"/>
      </w:pPr>
      <w:r>
        <w:rPr>
          <w:rFonts w:ascii="Arial" w:cs="Arial" w:eastAsia="Arial" w:hAnsi="Arial"/>
          <w:color w:val="111111"/>
          <w:sz w:val="22"/>
          <w:szCs w:val="22"/>
        </w:rPr>
        <w:t xml:space="preserve">Friston, K., FitzGerald, T., Rigoli, F., Schwartenbeck, P., &amp; Pezzulo, G. (2017). Active inference: a process theory. Neural Computation, 29(1), 1-49.</w:t>
      </w:r>
    </w:p>
    <w:p>
      <w:pPr>
        <w:spacing w:after="120" w:before="80" w:line="320"/>
        <w:jc w:val="both"/>
      </w:pPr>
      <w:r>
        <w:rPr>
          <w:rFonts w:ascii="Arial" w:cs="Arial" w:eastAsia="Arial" w:hAnsi="Arial"/>
          <w:color w:val="111111"/>
          <w:sz w:val="22"/>
          <w:szCs w:val="22"/>
        </w:rPr>
        <w:t xml:space="preserve">Gabriel, I. (2020). Artificial intelligence, values, and alignment. Minds and Machines, 30(3), 411-437.</w:t>
      </w:r>
    </w:p>
    <w:p>
      <w:pPr>
        <w:spacing w:after="120" w:before="80" w:line="320"/>
        <w:jc w:val="both"/>
      </w:pPr>
      <w:r>
        <w:rPr>
          <w:rFonts w:ascii="Arial" w:cs="Arial" w:eastAsia="Arial" w:hAnsi="Arial"/>
          <w:color w:val="111111"/>
          <w:sz w:val="22"/>
          <w:szCs w:val="22"/>
        </w:rPr>
        <w:t xml:space="preserve">Haidt, J. (2004). The emotional dog and its rational tail: A social intuitionist approach to moral judgment. Psychological Review, 108(4), 814-834.</w:t>
      </w:r>
    </w:p>
    <w:p>
      <w:pPr>
        <w:spacing w:after="120" w:before="80" w:line="320"/>
        <w:jc w:val="both"/>
      </w:pPr>
      <w:r>
        <w:rPr>
          <w:rFonts w:ascii="Arial" w:cs="Arial" w:eastAsia="Arial" w:hAnsi="Arial"/>
          <w:color w:val="111111"/>
          <w:sz w:val="22"/>
          <w:szCs w:val="22"/>
        </w:rPr>
        <w:t xml:space="preserve">Joiner, T. (2005). Why People Die by Suicide. Harvard University Press.</w:t>
      </w:r>
    </w:p>
    <w:p>
      <w:pPr>
        <w:spacing w:after="120" w:before="80" w:line="320"/>
        <w:jc w:val="both"/>
      </w:pPr>
      <w:r>
        <w:rPr>
          <w:rFonts w:ascii="Arial" w:cs="Arial" w:eastAsia="Arial" w:hAnsi="Arial"/>
          <w:color w:val="111111"/>
          <w:sz w:val="22"/>
          <w:szCs w:val="22"/>
        </w:rPr>
        <w:t xml:space="preserve">Kahneman, D. (2011). Thinking, Fast and Slow. Farrar, Straus and Giroux.</w:t>
      </w:r>
    </w:p>
    <w:p>
      <w:pPr>
        <w:spacing w:after="120" w:before="80" w:line="320"/>
        <w:jc w:val="both"/>
      </w:pPr>
      <w:r>
        <w:rPr>
          <w:rFonts w:ascii="Arial" w:cs="Arial" w:eastAsia="Arial" w:hAnsi="Arial"/>
          <w:color w:val="111111"/>
          <w:sz w:val="22"/>
          <w:szCs w:val="22"/>
        </w:rPr>
        <w:t xml:space="preserve">Milgram, S. (1963). Behavioral study of obedience. The Journal of Abnormal and Social Psychology, 67(4), 371-378.</w:t>
      </w:r>
    </w:p>
    <w:p>
      <w:pPr>
        <w:spacing w:after="120" w:before="80" w:line="320"/>
        <w:jc w:val="both"/>
      </w:pPr>
      <w:r>
        <w:rPr>
          <w:rFonts w:ascii="Arial" w:cs="Arial" w:eastAsia="Arial" w:hAnsi="Arial"/>
          <w:color w:val="111111"/>
          <w:sz w:val="22"/>
          <w:szCs w:val="22"/>
        </w:rPr>
        <w:t xml:space="preserve">Russell, S., &amp; Norvig, P. (2021). Artificial Intelligence: A Modern Approach (4th ed.). Pearson.</w:t>
      </w:r>
    </w:p>
    <w:p>
      <w:pPr>
        <w:spacing w:after="120" w:before="80" w:line="320"/>
        <w:jc w:val="both"/>
      </w:pPr>
      <w:r>
        <w:rPr>
          <w:rFonts w:ascii="Arial" w:cs="Arial" w:eastAsia="Arial" w:hAnsi="Arial"/>
          <w:color w:val="111111"/>
          <w:sz w:val="22"/>
          <w:szCs w:val="22"/>
        </w:rPr>
        <w:t xml:space="preserve">Shneidman, E. S. (1993). Suicide as Psychache: A Clinical Approach to Self-Destructive Behavior. Jason Aronson.</w:t>
      </w:r>
    </w:p>
    <w:p>
      <w:pPr>
        <w:spacing w:after="120" w:before="80" w:line="320"/>
        <w:jc w:val="both"/>
      </w:pPr>
      <w:r>
        <w:rPr>
          <w:rFonts w:ascii="Arial" w:cs="Arial" w:eastAsia="Arial" w:hAnsi="Arial"/>
          <w:color w:val="111111"/>
          <w:sz w:val="22"/>
          <w:szCs w:val="22"/>
        </w:rPr>
        <w:t xml:space="preserve">Tenney, I., Das, D., &amp; Pavlick, E. (2019). BERT Rediscovers the Classical NLP Pipeline. ACL 2019.</w:t>
      </w:r>
    </w:p>
    <w:p>
      <w:pPr>
        <w:spacing w:after="120" w:before="80" w:line="320"/>
        <w:jc w:val="both"/>
      </w:pPr>
      <w:r>
        <w:rPr>
          <w:rFonts w:ascii="Arial" w:cs="Arial" w:eastAsia="Arial" w:hAnsi="Arial"/>
          <w:color w:val="111111"/>
          <w:sz w:val="22"/>
          <w:szCs w:val="22"/>
        </w:rPr>
        <w:t xml:space="preserve">Tononi, G. (2004). An information integration theory of consciousness. BMC Neuroscience, 5(1), 1-22.</w:t>
      </w:r>
    </w:p>
    <w:p>
      <w:pPr>
        <w:spacing w:after="120" w:before="80" w:line="320"/>
        <w:jc w:val="both"/>
      </w:pPr>
      <w:r>
        <w:rPr>
          <w:rFonts w:ascii="Arial" w:cs="Arial" w:eastAsia="Arial" w:hAnsi="Arial"/>
          <w:color w:val="111111"/>
          <w:sz w:val="22"/>
          <w:szCs w:val="22"/>
        </w:rPr>
        <w:t xml:space="preserve">Wang, K., Variengien, A., Conmy, A., Shlegeris, B., &amp; Steinhardt, J. (2022). Interpretability in the Wild: a Circuit for Indirect Object Identification in GPT-2 small. ICLR 2023.</w:t>
      </w:r>
    </w:p>
    <w:p>
      <w:r>
        <w:t xml:space="preserve"/>
      </w:r>
    </w:p>
    <w:p>
      <w:r>
        <w:t xml:space="preserve"/>
      </w:r>
    </w:p>
    <w:p>
      <w:pPr>
        <w:spacing w:before="200"/>
        <w:jc w:val="center"/>
      </w:pPr>
      <w:r>
        <w:rPr>
          <w:rFonts w:ascii="Arial" w:cs="Arial" w:eastAsia="Arial" w:hAnsi="Arial"/>
          <w:i/>
          <w:iCs/>
          <w:color w:val="444444"/>
          <w:sz w:val="20"/>
          <w:szCs w:val="20"/>
        </w:rPr>
        <w:t xml:space="preserve">— End of Position Paper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80"/>
    </w:pPr>
    <w:r>
      <w:rPr>
        <w:rFonts w:ascii="Arial" w:cs="Arial" w:eastAsia="Arial" w:hAnsi="Arial"/>
        <w:i/>
        <w:iCs/>
        <w:color w:val="444444"/>
        <w:sz w:val="16"/>
        <w:szCs w:val="16"/>
      </w:rPr>
      <w:t xml:space="preserve">Confidential Draft — Not for Citation Without Permission</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of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6" w:space="4"/>
      </w:pBdr>
      <w:spacing w:after="120"/>
    </w:pPr>
    <w:r>
      <w:rPr>
        <w:rFonts w:ascii="Arial" w:cs="Arial" w:eastAsia="Arial" w:hAnsi="Arial"/>
        <w:b/>
        <w:bCs/>
        <w:color w:val="2E5FAC"/>
        <w:sz w:val="18"/>
        <w:szCs w:val="18"/>
      </w:rPr>
      <w:t xml:space="preserve">PSYCHODYNAMIC MECHANISTIC INTERPRETABILITY (PMI)</w:t>
    </w:r>
    <w:r>
      <w:rPr>
        <w:rFonts w:ascii="Arial" w:cs="Arial" w:eastAsia="Arial" w:hAnsi="Arial"/>
        <w:color w:val="444444"/>
        <w:sz w:val="18"/>
        <w:szCs w:val="18"/>
      </w:rPr>
      <w:t xml:space="preserve">  |  Position Paper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C"/>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2026-05-07T21:15:10.004Z</dcterms:created>
  <dcterms:modified xsi:type="dcterms:W3CDTF">2026-05-07T21:15:10.005Z</dcterms:modified>
</cp:coreProperties>
</file>

<file path=docProps/custom.xml><?xml version="1.0" encoding="utf-8"?>
<Properties xmlns="http://schemas.openxmlformats.org/officeDocument/2006/custom-properties" xmlns:vt="http://schemas.openxmlformats.org/officeDocument/2006/docPropsVTypes"/>
</file>