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59E6CB98"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Pr="00041B17">
        <w:rPr>
          <w:rFonts w:ascii="Arial" w:hAnsi="Arial" w:cs="Arial"/>
          <w:b/>
          <w:color w:val="000000" w:themeColor="text1"/>
          <w:highlight w:val="yellow"/>
        </w:rPr>
        <w:t>FTA/CP</w:t>
      </w:r>
      <w:r w:rsidR="00C57476">
        <w:rPr>
          <w:rFonts w:ascii="Arial" w:hAnsi="Arial" w:cs="Arial"/>
          <w:b/>
          <w:color w:val="000000" w:themeColor="text1"/>
          <w:highlight w:val="yellow"/>
        </w:rPr>
        <w:t>F</w:t>
      </w:r>
      <w:r w:rsidRPr="00041B17">
        <w:rPr>
          <w:rFonts w:ascii="Arial" w:hAnsi="Arial" w:cs="Arial"/>
          <w:b/>
          <w:color w:val="000000" w:themeColor="text1"/>
          <w:highlight w:val="yellow"/>
        </w:rPr>
        <w:t>-00/2024.</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&lt;razon_social&gt;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29D3FE4E"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&lt;address&gt;</w:t>
      </w:r>
      <w:r w:rsidRPr="00041B17">
        <w:rPr>
          <w:rFonts w:ascii="Arial" w:eastAsia="Times New Roman" w:hAnsi="Arial" w:cs="Arial"/>
          <w:color w:val="000000" w:themeColor="text1"/>
          <w:sz w:val="20"/>
          <w:szCs w:val="20"/>
          <w:lang w:val="es-ES" w:eastAsia="es-ES"/>
        </w:rPr>
        <w:t xml:space="preserve"> de la localidad de</w:t>
      </w:r>
      <w:r w:rsidR="004C4110">
        <w:rPr>
          <w:rFonts w:ascii="Arial" w:eastAsia="Times New Roman" w:hAnsi="Arial" w:cs="Arial"/>
          <w:color w:val="000000" w:themeColor="text1"/>
          <w:sz w:val="20"/>
          <w:szCs w:val="20"/>
          <w:lang w:val="es-ES" w:eastAsia="es-ES"/>
        </w:rPr>
        <w:t xml:space="preserve"> &lt;colony&gt;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&lt;town&gt;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&lt;rfc&gt;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de acuerdo a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r w:rsidR="00BC58CB">
        <w:rPr>
          <w:rFonts w:ascii="Arial" w:eastAsia="Times New Roman" w:hAnsi="Arial" w:cs="Arial"/>
          <w:b/>
          <w:bCs/>
          <w:color w:val="000000" w:themeColor="text1"/>
          <w:sz w:val="20"/>
          <w:szCs w:val="20"/>
          <w:lang w:val="es-ES" w:eastAsia="es-ES"/>
        </w:rPr>
        <w:t>Á</w:t>
      </w:r>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38125295" w14:textId="77777777" w:rsidR="00402FFA"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 Zona</w:t>
      </w:r>
      <w:r w:rsidR="00402FFA">
        <w:rPr>
          <w:rFonts w:ascii="Arial" w:eastAsia="Times New Roman" w:hAnsi="Arial" w:cs="Arial"/>
          <w:sz w:val="20"/>
          <w:szCs w:val="20"/>
          <w:lang w:val="es-ES" w:eastAsia="es-ES"/>
        </w:rPr>
        <w:t>:</w:t>
      </w:r>
    </w:p>
    <w:p w14:paraId="57B5CBE0" w14:textId="020CA094" w:rsidR="00A45E3B" w:rsidRPr="00AD03AC" w:rsidRDefault="00402FFA" w:rsidP="00A45E3B">
      <w:pPr>
        <w:widowControl w:val="0"/>
        <w:spacing w:after="0" w:line="276" w:lineRule="auto"/>
        <w:jc w:val="both"/>
        <w:rPr>
          <w:rFonts w:ascii="Arial" w:hAnsi="Arial" w:cs="Arial"/>
          <w:sz w:val="20"/>
          <w:szCs w:val="20"/>
        </w:rPr>
      </w:pPr>
      <w:r>
        <w:rPr>
          <w:rFonts w:ascii="Arial" w:eastAsia="Times New Roman" w:hAnsi="Arial" w:cs="Arial"/>
          <w:sz w:val="20"/>
          <w:szCs w:val="20"/>
          <w:lang w:val="es-ES" w:eastAsia="es-ES"/>
        </w:rPr>
        <w:t>&lt;table&gt;</w:t>
      </w:r>
      <w:r w:rsidR="00A45E3B" w:rsidRPr="00AD03AC">
        <w:rPr>
          <w:rFonts w:ascii="Arial" w:eastAsia="Times New Roman" w:hAnsi="Arial" w:cs="Arial"/>
          <w:sz w:val="20"/>
          <w:szCs w:val="20"/>
          <w:lang w:val="es-ES" w:eastAsia="es-ES"/>
        </w:rPr>
        <w:t xml:space="preserve"> ________para la “FERIA TABASCO 2024</w:t>
      </w:r>
      <w:r w:rsidR="00A45E3B" w:rsidRPr="00AD03AC">
        <w:rPr>
          <w:rFonts w:ascii="Arial" w:eastAsia="Times New Roman" w:hAnsi="Arial" w:cs="Arial"/>
          <w:bCs/>
          <w:sz w:val="20"/>
          <w:szCs w:val="20"/>
          <w:lang w:eastAsia="es-ES"/>
        </w:rPr>
        <w:t xml:space="preserve">”, </w:t>
      </w:r>
      <w:r w:rsidR="00A45E3B"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00A45E3B"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00A45E3B"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val="es-ES" w:eastAsia="es-ES"/>
        </w:rPr>
        <w:t>TERCERA.-</w:t>
      </w:r>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 xml:space="preserve">“EXPOSITOR” se obliga a pagar al “COMITÉ”, la cantidad de $_________________(Son: _________________________pesos ______/100 Moneda Nacional), más $________________________(Son: ____________________pesos ______/100 Moneda Nacional) cantidad correspondiente al impuesto al valor agregado, quedando como cantidad neta a pagar $__________________________ (Son:_____________________________________ pesos _____/100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de acuerdo al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Pr="00AD03AC">
        <w:rPr>
          <w:rFonts w:ascii="Arial" w:eastAsia="Times New Roman" w:hAnsi="Arial" w:cs="Arial"/>
          <w:b/>
          <w:sz w:val="20"/>
          <w:szCs w:val="20"/>
          <w:u w:val="single"/>
          <w:lang w:val="es-ES" w:eastAsia="es-ES"/>
        </w:rPr>
        <w:t xml:space="preserve">SR.________________________________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en la página oﬁcial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con empresas cerveceras y de bebidas embotelladas, respecto al consumo y venta de los mismos. De los cuales se hace sabedor </w:t>
      </w:r>
      <w:r w:rsidRPr="00AD03AC">
        <w:rPr>
          <w:rFonts w:ascii="Arial" w:eastAsia="Times New Roman" w:hAnsi="Arial" w:cs="Arial"/>
          <w:sz w:val="20"/>
          <w:szCs w:val="20"/>
          <w:lang w:val="es-ES" w:eastAsia="es-ES"/>
        </w:rPr>
        <w:lastRenderedPageBreak/>
        <w:t>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que establece los requisitos, criterios y especificaciones técnicas para la producción y consumo responsables en materia de bolsas y popotes de plástico de un solo uso, biodegradables, compostables, reutilizables y/o reciclables y prohibición del uso de contenedores de poliestireno expandido en el estado de Tabasco</w:t>
      </w:r>
      <w:r w:rsidRPr="00AD03AC">
        <w:rPr>
          <w:rFonts w:ascii="Arial" w:eastAsia="Times New Roman" w:hAnsi="Arial" w:cs="Arial"/>
          <w:sz w:val="20"/>
          <w:szCs w:val="20"/>
          <w:lang w:val="es-ES" w:eastAsia="es-ES"/>
        </w:rPr>
        <w:t>, publicado en el Suplemento L, Edición N° 8304 del Periódico Oficial del Estado de Tabasco con fecha 06 de abril del 2022, así como su Fe de Erratas publicado en el Suplemento J, edición N°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4.1.2 Bolsas con contenido de material compostable:</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Asimismo,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de acuerdo a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lastRenderedPageBreak/>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Ambas partes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Enterados y para su debida constancia, firman los involucrados por duplicado el presente Contrato, para que surta los efectos legales que procedan en la ciudad de Villahermosa, capital del estado de Tabasco, Estados Unidos Mexicanos, a los      -------       días del mes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77777777"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21376886" w14:textId="77777777" w:rsidTr="00D62AF3">
        <w:trPr>
          <w:trHeight w:val="1626"/>
        </w:trPr>
        <w:tc>
          <w:tcPr>
            <w:tcW w:w="4419" w:type="dxa"/>
            <w:hideMark/>
          </w:tcPr>
          <w:p w14:paraId="45B25B8A" w14:textId="77777777" w:rsidR="00A45E3B" w:rsidRPr="00AD03AC" w:rsidRDefault="00A45E3B" w:rsidP="00D62AF3">
            <w:pPr>
              <w:jc w:val="center"/>
              <w:rPr>
                <w:rFonts w:ascii="Arial" w:hAnsi="Arial" w:cs="Arial"/>
              </w:rPr>
            </w:pPr>
          </w:p>
          <w:p w14:paraId="666E9014"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3A9A2C07"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4797DD70" w14:textId="77777777" w:rsidR="00A45E3B" w:rsidRPr="00AD03AC" w:rsidRDefault="00A45E3B" w:rsidP="00D62AF3">
            <w:pPr>
              <w:jc w:val="center"/>
              <w:rPr>
                <w:rFonts w:ascii="Arial" w:hAnsi="Arial" w:cs="Arial"/>
              </w:rPr>
            </w:pPr>
          </w:p>
          <w:p w14:paraId="2816E3D0" w14:textId="77777777" w:rsidR="00A45E3B" w:rsidRPr="00AD03AC" w:rsidRDefault="00A45E3B" w:rsidP="00D62AF3">
            <w:pPr>
              <w:jc w:val="both"/>
              <w:rPr>
                <w:rFonts w:ascii="Arial" w:hAnsi="Arial" w:cs="Arial"/>
              </w:rPr>
            </w:pPr>
          </w:p>
          <w:p w14:paraId="112E590A" w14:textId="77777777" w:rsidR="00A45E3B" w:rsidRPr="00AD03AC" w:rsidRDefault="00A45E3B" w:rsidP="00D62AF3">
            <w:pPr>
              <w:jc w:val="both"/>
              <w:rPr>
                <w:rFonts w:ascii="Arial" w:hAnsi="Arial" w:cs="Arial"/>
              </w:rPr>
            </w:pPr>
          </w:p>
        </w:tc>
        <w:tc>
          <w:tcPr>
            <w:tcW w:w="4419" w:type="dxa"/>
            <w:hideMark/>
          </w:tcPr>
          <w:p w14:paraId="3A1A8A22" w14:textId="77777777" w:rsidR="00A45E3B" w:rsidRPr="00AD03AC" w:rsidRDefault="00A45E3B" w:rsidP="00D62AF3">
            <w:pPr>
              <w:jc w:val="center"/>
              <w:rPr>
                <w:rFonts w:ascii="Arial" w:hAnsi="Arial" w:cs="Arial"/>
              </w:rPr>
            </w:pPr>
          </w:p>
          <w:p w14:paraId="2732085B" w14:textId="77777777" w:rsidR="00A45E3B" w:rsidRPr="00AD03AC" w:rsidRDefault="00A45E3B" w:rsidP="00D62AF3">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57741E8"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B2839A0" w14:textId="77777777" w:rsidR="00A45E3B" w:rsidRPr="00AD03AC" w:rsidRDefault="00A45E3B" w:rsidP="00D62AF3">
            <w:pPr>
              <w:jc w:val="center"/>
              <w:rPr>
                <w:rFonts w:ascii="Arial" w:hAnsi="Arial" w:cs="Arial"/>
              </w:rPr>
            </w:pPr>
          </w:p>
        </w:tc>
      </w:tr>
    </w:tbl>
    <w:p w14:paraId="65B19566" w14:textId="19C89B98" w:rsidR="00A45E3B" w:rsidRPr="00AD03AC" w:rsidRDefault="00A45E3B" w:rsidP="00A45E3B">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t xml:space="preserve">     </w:t>
      </w:r>
      <w:r w:rsidRPr="00AD03AC">
        <w:rPr>
          <w:rFonts w:ascii="Arial" w:hAnsi="Arial" w:cs="Arial"/>
          <w:b/>
          <w:bCs/>
          <w:sz w:val="20"/>
          <w:szCs w:val="20"/>
        </w:rPr>
        <w:t>RAÚL TORRES FÓCIL</w:t>
      </w:r>
    </w:p>
    <w:p w14:paraId="68BD572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 xml:space="preserve">REPRESENTANTE LEGAL DE LA </w:t>
      </w:r>
    </w:p>
    <w:p w14:paraId="42C538A0"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231A3A94"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77777777" w:rsidR="00A45E3B" w:rsidRPr="002E36CF" w:rsidRDefault="00A45E3B" w:rsidP="00A45E3B">
      <w:pPr>
        <w:spacing w:after="0"/>
        <w:jc w:val="center"/>
        <w:rPr>
          <w:rFonts w:ascii="Arial" w:hAnsi="Arial" w:cs="Arial"/>
          <w:b/>
          <w:bCs/>
        </w:rPr>
      </w:pPr>
      <w:r w:rsidRPr="002E36CF">
        <w:rPr>
          <w:rFonts w:ascii="Arial" w:hAnsi="Arial" w:cs="Arial"/>
          <w:b/>
          <w:bCs/>
        </w:rPr>
        <w:t>C. XXXXXXXXXXX</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Los términos y condiciones del Contrato se incorporan al presente Anexo por referencia, y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33A52B3E"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 (------ Pesos 00/100 MN) incluido el impuesto al valor agregado, que corresponde a -------- metros cuadrados del local ------------- ubicado en la zona------</w:t>
      </w:r>
      <w:r w:rsidR="00F62B54">
        <w:rPr>
          <w:rFonts w:ascii="Arial" w:hAnsi="Arial" w:cs="Arial"/>
          <w:sz w:val="20"/>
          <w:szCs w:val="20"/>
        </w:rPr>
        <w:t xml:space="preserve"> &lt;table&gt;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mayo  del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cabarets,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77777777"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Pr="00AD03AC">
        <w:rPr>
          <w:rFonts w:ascii="Arial" w:eastAsia="Times New Roman" w:hAnsi="Arial" w:cs="Arial"/>
          <w:sz w:val="20"/>
          <w:szCs w:val="20"/>
          <w:highlight w:val="cyan"/>
          <w:lang w:val="es-ES" w:eastAsia="es-ES"/>
        </w:rPr>
        <w:t>---</w:t>
      </w:r>
      <w:r w:rsidRPr="00AD03AC">
        <w:rPr>
          <w:rFonts w:ascii="Arial" w:eastAsia="Times New Roman" w:hAnsi="Arial" w:cs="Arial"/>
          <w:sz w:val="20"/>
          <w:szCs w:val="20"/>
          <w:lang w:val="es-ES" w:eastAsia="es-ES"/>
        </w:rPr>
        <w:t xml:space="preserve">-del mes de </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6BC94157" w14:textId="77777777" w:rsidTr="00D62AF3">
        <w:trPr>
          <w:trHeight w:val="1626"/>
          <w:jc w:val="center"/>
        </w:trPr>
        <w:tc>
          <w:tcPr>
            <w:tcW w:w="4419" w:type="dxa"/>
            <w:hideMark/>
          </w:tcPr>
          <w:p w14:paraId="7A1DB3B5" w14:textId="77777777" w:rsidR="00A45E3B" w:rsidRPr="00AD03AC" w:rsidRDefault="00A45E3B" w:rsidP="00D62AF3">
            <w:pPr>
              <w:jc w:val="center"/>
              <w:rPr>
                <w:rFonts w:ascii="Arial" w:hAnsi="Arial" w:cs="Arial"/>
              </w:rPr>
            </w:pPr>
          </w:p>
          <w:p w14:paraId="60841FD6"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47C642F6"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1C03B8A0" w14:textId="77777777" w:rsidR="00A45E3B" w:rsidRPr="00AD03AC" w:rsidRDefault="00A45E3B" w:rsidP="00D62AF3">
            <w:pPr>
              <w:jc w:val="center"/>
              <w:rPr>
                <w:rFonts w:ascii="Arial" w:hAnsi="Arial" w:cs="Arial"/>
              </w:rPr>
            </w:pPr>
          </w:p>
          <w:p w14:paraId="55CEA31F" w14:textId="77777777" w:rsidR="00A45E3B" w:rsidRPr="00AD03AC" w:rsidRDefault="00A45E3B" w:rsidP="00D62AF3">
            <w:pPr>
              <w:jc w:val="both"/>
              <w:rPr>
                <w:rFonts w:ascii="Arial" w:hAnsi="Arial" w:cs="Arial"/>
              </w:rPr>
            </w:pPr>
          </w:p>
          <w:p w14:paraId="7354C3A9" w14:textId="77777777" w:rsidR="00A45E3B" w:rsidRPr="00AD03AC" w:rsidRDefault="00A45E3B" w:rsidP="00D62AF3">
            <w:pPr>
              <w:jc w:val="both"/>
              <w:rPr>
                <w:rFonts w:ascii="Arial" w:hAnsi="Arial" w:cs="Arial"/>
              </w:rPr>
            </w:pPr>
          </w:p>
        </w:tc>
        <w:tc>
          <w:tcPr>
            <w:tcW w:w="4419" w:type="dxa"/>
            <w:hideMark/>
          </w:tcPr>
          <w:p w14:paraId="15E31DB6" w14:textId="77777777" w:rsidR="00A45E3B" w:rsidRPr="00AD03AC" w:rsidRDefault="00A45E3B" w:rsidP="00D62AF3">
            <w:pPr>
              <w:jc w:val="center"/>
              <w:rPr>
                <w:rFonts w:ascii="Arial" w:hAnsi="Arial" w:cs="Arial"/>
              </w:rPr>
            </w:pPr>
          </w:p>
          <w:p w14:paraId="44F79793" w14:textId="77777777" w:rsidR="00A45E3B" w:rsidRPr="00AD03AC" w:rsidRDefault="00A45E3B" w:rsidP="00D62AF3">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697EAEAD"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3C001F9B" w14:textId="77777777" w:rsidR="00A45E3B" w:rsidRPr="00AD03AC" w:rsidRDefault="00A45E3B" w:rsidP="00D62AF3">
            <w:pPr>
              <w:jc w:val="center"/>
              <w:rPr>
                <w:rFonts w:ascii="Arial" w:hAnsi="Arial" w:cs="Arial"/>
              </w:rPr>
            </w:pPr>
          </w:p>
        </w:tc>
      </w:tr>
    </w:tbl>
    <w:p w14:paraId="22DCA41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RAUL TORRES FOCIL</w:t>
      </w:r>
    </w:p>
    <w:p w14:paraId="0590A99B"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REPRESENTANTE LEGAL DE LA</w:t>
      </w:r>
    </w:p>
    <w:p w14:paraId="19C7543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0EF6583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C. XXXXXXXXXXX</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364D4B">
      <w:headerReference w:type="even" r:id="rId7"/>
      <w:headerReference w:type="default" r:id="rId8"/>
      <w:footerReference w:type="default" r:id="rId9"/>
      <w:headerReference w:type="first" r:id="rId10"/>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3E74" w14:textId="77777777" w:rsidR="00364D4B" w:rsidRDefault="00364D4B">
      <w:pPr>
        <w:spacing w:after="0"/>
      </w:pPr>
      <w:r>
        <w:separator/>
      </w:r>
    </w:p>
  </w:endnote>
  <w:endnote w:type="continuationSeparator" w:id="0">
    <w:p w14:paraId="67BC9D80" w14:textId="77777777" w:rsidR="00364D4B" w:rsidRDefault="00364D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DFE2" w14:textId="77777777" w:rsidR="00364D4B" w:rsidRDefault="00364D4B">
      <w:pPr>
        <w:spacing w:after="0"/>
      </w:pPr>
      <w:r>
        <w:separator/>
      </w:r>
    </w:p>
  </w:footnote>
  <w:footnote w:type="continuationSeparator" w:id="0">
    <w:p w14:paraId="4ABB5BCF" w14:textId="77777777" w:rsidR="00364D4B" w:rsidRDefault="00364D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B060C"/>
    <w:rsid w:val="00193B7B"/>
    <w:rsid w:val="002D114F"/>
    <w:rsid w:val="00364D4B"/>
    <w:rsid w:val="00402FFA"/>
    <w:rsid w:val="004374E6"/>
    <w:rsid w:val="004C0F9E"/>
    <w:rsid w:val="004C4110"/>
    <w:rsid w:val="00530631"/>
    <w:rsid w:val="005473F9"/>
    <w:rsid w:val="00550E73"/>
    <w:rsid w:val="00573C52"/>
    <w:rsid w:val="005E0A3D"/>
    <w:rsid w:val="007000C7"/>
    <w:rsid w:val="007B5073"/>
    <w:rsid w:val="00837A2D"/>
    <w:rsid w:val="008A57AA"/>
    <w:rsid w:val="008C56DE"/>
    <w:rsid w:val="009109C1"/>
    <w:rsid w:val="009D34C4"/>
    <w:rsid w:val="009E1CF5"/>
    <w:rsid w:val="00A14420"/>
    <w:rsid w:val="00A45E3B"/>
    <w:rsid w:val="00BC58CB"/>
    <w:rsid w:val="00BD471B"/>
    <w:rsid w:val="00C1596D"/>
    <w:rsid w:val="00C57476"/>
    <w:rsid w:val="00CC0DA7"/>
    <w:rsid w:val="00CE5BE3"/>
    <w:rsid w:val="00E5062D"/>
    <w:rsid w:val="00F62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4550</Words>
  <Characters>25030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22</cp:revision>
  <dcterms:created xsi:type="dcterms:W3CDTF">2024-01-15T17:40:00Z</dcterms:created>
  <dcterms:modified xsi:type="dcterms:W3CDTF">2024-02-27T19:34:00Z</dcterms:modified>
</cp:coreProperties>
</file>