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venir" w:hAnsi="Avenir"/>
          <w:b/>
          <w:sz w:val="28"/>
        </w:rPr>
        <w:t>FDR COMPLIANCE POLICIES &amp; PROCEDURES</w:t>
      </w:r>
    </w:p>
    <w:p>
      <w:pPr>
        <w:jc w:val="center"/>
      </w:pPr>
      <w:r>
        <w:rPr>
          <w:rFonts w:ascii="Avenir" w:hAnsi="Avenir"/>
          <w:sz w:val="20"/>
        </w:rPr>
        <w:t>Dee Davis Inc.</w:t>
        <w:br/>
        <w:t>Policy Number: DDI-FDR-001</w:t>
        <w:br/>
        <w:t>Version: 1.0</w:t>
        <w:br/>
        <w:t>Effective Date: July 25, 2026</w:t>
        <w:br/>
        <w:t>Controlled copy: gateway.deedavis.biz/policies/fdr-compliance</w:t>
      </w:r>
    </w:p>
    <w:p/>
    <w:p>
      <w:pPr>
        <w:pStyle w:val="Heading1"/>
      </w:pPr>
      <w:r>
        <w:rPr>
          <w:rFonts w:ascii="Avenir" w:hAnsi="Avenir"/>
          <w:sz w:val="24"/>
        </w:rPr>
        <w:t>1. Purpose &amp; Scope</w:t>
      </w:r>
    </w:p>
    <w:p>
      <w:pPr>
        <w:spacing w:after="120"/>
        <w:jc w:val="both"/>
      </w:pPr>
      <w:r>
        <w:rPr>
          <w:rFonts w:ascii="Avenir" w:hAnsi="Avenir"/>
          <w:sz w:val="22"/>
        </w:rPr>
        <w:t>Where Dee Davis Inc. is a First Tier, Downstream, or Related Entity (FDR) under Medicare/Medicaid managed care contracts, these Policies &amp; Procedures apply to workforce in FDR-adjacent divisions.</w:t>
      </w:r>
    </w:p>
    <w:p>
      <w:pPr>
        <w:spacing w:after="120"/>
        <w:jc w:val="both"/>
      </w:pPr>
      <w:r>
        <w:rPr>
          <w:rFonts w:ascii="Avenir" w:hAnsi="Avenir"/>
          <w:sz w:val="22"/>
        </w:rPr>
        <w:t>Division-driven applicability: DEPOINTE (NEMT Coordination), HAVEN, SHIELD, VITAL, and Corporate/HR/Admin require OIG LEIE + GSA SAM screening and this acknowledgment. Freight 1st Direct, 3D Ink Signatures/CNTDA, DEPOINTE DNA, ARENA/PRIME, and unassigned do not by default.</w:t>
      </w:r>
    </w:p>
    <w:p>
      <w:pPr>
        <w:pStyle w:val="Heading1"/>
      </w:pPr>
      <w:r>
        <w:rPr>
          <w:rFonts w:ascii="Avenir" w:hAnsi="Avenir"/>
          <w:sz w:val="24"/>
        </w:rPr>
        <w:t>2. Compliance Responsibility &amp; Reporting</w:t>
      </w:r>
    </w:p>
    <w:p>
      <w:pPr>
        <w:spacing w:after="120"/>
        <w:jc w:val="both"/>
      </w:pPr>
      <w:r>
        <w:rPr>
          <w:rFonts w:ascii="Avenir" w:hAnsi="Avenir"/>
          <w:sz w:val="22"/>
        </w:rPr>
        <w:t>Ultimate responsibility rests with the President &amp; CEO. Report FWA or compliance concerns to gc@deedavis.biz; quality/ops issues to qc@deedavis.biz. Good-faith reporters are protected from retaliation.</w:t>
      </w:r>
    </w:p>
    <w:p>
      <w:pPr>
        <w:pStyle w:val="Heading1"/>
      </w:pPr>
      <w:r>
        <w:rPr>
          <w:rFonts w:ascii="Avenir" w:hAnsi="Avenir"/>
          <w:sz w:val="24"/>
        </w:rPr>
        <w:t>3. Compliance &amp; FWA Training</w:t>
      </w:r>
    </w:p>
    <w:p>
      <w:pPr>
        <w:spacing w:after="120"/>
        <w:jc w:val="both"/>
      </w:pPr>
      <w:r>
        <w:rPr>
          <w:rFonts w:ascii="Avenir" w:hAnsi="Avenir"/>
          <w:sz w:val="22"/>
        </w:rPr>
        <w:t>Assigned CMS FDR curriculum is tracked in GATEWAY. DDI internal target: 30 days. CMS hard floor for General Compliance/FWA and Medicare Fraud &amp; Abuse: 90 days. Missing the 90-day floor fails the can-work gate. Recurrence follows the GATEWAY training catalog.</w:t>
      </w:r>
    </w:p>
    <w:p>
      <w:pPr>
        <w:pStyle w:val="Heading1"/>
      </w:pPr>
      <w:r>
        <w:rPr>
          <w:rFonts w:ascii="Avenir" w:hAnsi="Avenir"/>
          <w:sz w:val="24"/>
        </w:rPr>
        <w:t>4. Exclusion Screening</w:t>
      </w:r>
    </w:p>
    <w:p>
      <w:pPr>
        <w:spacing w:after="120"/>
        <w:jc w:val="both"/>
      </w:pPr>
      <w:r>
        <w:rPr>
          <w:rFonts w:ascii="Avenir" w:hAnsi="Avenir"/>
          <w:sz w:val="22"/>
        </w:rPr>
        <w:t>For FDR-applicable divisions: OIG LEIE and GSA SAM.gov screening at hire/engagement and monthly thereafter. Open flagged matches and overdue/never-screened status block can-work until resolved.</w:t>
      </w:r>
    </w:p>
    <w:p>
      <w:pPr>
        <w:pStyle w:val="Heading1"/>
      </w:pPr>
      <w:r>
        <w:rPr>
          <w:rFonts w:ascii="Avenir" w:hAnsi="Avenir"/>
          <w:sz w:val="24"/>
        </w:rPr>
        <w:t>5. Record Retention</w:t>
      </w:r>
    </w:p>
    <w:p>
      <w:pPr>
        <w:spacing w:after="120"/>
        <w:jc w:val="both"/>
      </w:pPr>
      <w:r>
        <w:rPr>
          <w:rFonts w:ascii="Avenir" w:hAnsi="Avenir"/>
          <w:sz w:val="22"/>
        </w:rPr>
        <w:t>FDR-related training, screening, acknowledgment, and audit records are retained for a minimum of ten (10) years. GATEWAY records are archived, not hard-deleted.</w:t>
      </w:r>
    </w:p>
    <w:p>
      <w:pPr>
        <w:pStyle w:val="Heading1"/>
      </w:pPr>
      <w:r>
        <w:rPr>
          <w:rFonts w:ascii="Avenir" w:hAnsi="Avenir"/>
          <w:sz w:val="24"/>
        </w:rPr>
        <w:t>6. Annual FDR Compliance Attestation</w:t>
      </w:r>
    </w:p>
    <w:p>
      <w:pPr>
        <w:spacing w:after="120"/>
        <w:jc w:val="both"/>
      </w:pPr>
      <w:r>
        <w:rPr>
          <w:rFonts w:ascii="Avenir" w:hAnsi="Avenir"/>
          <w:sz w:val="22"/>
        </w:rPr>
        <w:t>DDI maintains an organization-level Annual FDR Compliance Attestation on a calendar-year cycle, tracked in NEXUS HR FDR ATTESTATION.</w:t>
      </w:r>
    </w:p>
    <w:p>
      <w:pPr>
        <w:pStyle w:val="Heading1"/>
      </w:pPr>
      <w:r>
        <w:rPr>
          <w:rFonts w:ascii="Avenir" w:hAnsi="Avenir"/>
          <w:sz w:val="24"/>
        </w:rPr>
        <w:t>7. Downstream Entities</w:t>
      </w:r>
    </w:p>
    <w:p>
      <w:pPr>
        <w:spacing w:after="120"/>
        <w:jc w:val="both"/>
      </w:pPr>
      <w:r>
        <w:rPr>
          <w:rFonts w:ascii="Avenir" w:hAnsi="Avenir"/>
          <w:sz w:val="22"/>
        </w:rPr>
        <w:t>DDI remains responsible for contract management and compliance oversight when using subcontractors or fulfillment partners on FDR-adjacent work.</w:t>
      </w:r>
    </w:p>
    <w:p>
      <w:pPr>
        <w:pStyle w:val="Heading1"/>
      </w:pPr>
      <w:r>
        <w:rPr>
          <w:rFonts w:ascii="Avenir" w:hAnsi="Avenir"/>
          <w:sz w:val="24"/>
        </w:rPr>
        <w:t>8. Related Policies</w:t>
      </w:r>
    </w:p>
    <w:p>
      <w:pPr>
        <w:spacing w:after="120"/>
        <w:jc w:val="both"/>
      </w:pPr>
      <w:r>
        <w:rPr>
          <w:rFonts w:ascii="Avenir" w:hAnsi="Avenir"/>
          <w:sz w:val="22"/>
        </w:rPr>
        <w:t>DDI-HIPAA-001, DDI-PRIV-001, DDI-HR-001/002, DDI-HR-003, DDI-HR-004.</w:t>
      </w:r>
    </w:p>
    <w:p>
      <w:pPr>
        <w:pStyle w:val="Heading1"/>
      </w:pPr>
      <w:r>
        <w:rPr>
          <w:rFonts w:ascii="Avenir" w:hAnsi="Avenir"/>
          <w:sz w:val="24"/>
        </w:rPr>
        <w:t>9. Discipline</w:t>
      </w:r>
    </w:p>
    <w:p>
      <w:pPr>
        <w:spacing w:after="120"/>
        <w:jc w:val="both"/>
      </w:pPr>
      <w:r>
        <w:rPr>
          <w:rFonts w:ascii="Avenir" w:hAnsi="Avenir"/>
          <w:sz w:val="22"/>
        </w:rPr>
        <w:t>Non-compliance may result in removal from FDR-adjacent work, employment discipline, contractor termination, and required reporting.</w:t>
      </w:r>
    </w:p>
    <w:p>
      <w:pPr>
        <w:pStyle w:val="Heading1"/>
      </w:pPr>
      <w:r>
        <w:rPr>
          <w:rFonts w:ascii="Avenir" w:hAnsi="Avenir"/>
          <w:sz w:val="24"/>
        </w:rPr>
        <w:t>10. Acknowledgment</w:t>
      </w:r>
    </w:p>
    <w:p>
      <w:pPr>
        <w:spacing w:after="120"/>
        <w:jc w:val="both"/>
      </w:pPr>
      <w:r>
        <w:rPr>
          <w:rFonts w:ascii="Avenir" w:hAnsi="Avenir"/>
          <w:sz w:val="22"/>
        </w:rPr>
        <w:t>Typed-name electronic signature in GATEWAY for DDI-FDR-001 confirms the signer has read and agrees to comply (Version 1.0).</w:t>
      </w:r>
    </w:p>
    <w:p/>
    <w:p>
      <w:r>
        <w:rPr>
          <w:rFonts w:ascii="Avenir" w:hAnsi="Avenir"/>
          <w:b/>
        </w:rPr>
        <w:t>ADOPTED FOR COMPANY USE:</w:t>
        <w:br/>
        <w:br/>
      </w:r>
    </w:p>
    <w:p>
      <w:r>
        <w:rPr>
          <w:rFonts w:ascii="Avenir" w:hAnsi="Avenir"/>
        </w:rPr>
        <w:t>__________________________________________________</w:t>
      </w:r>
    </w:p>
    <w:p>
      <w:r>
        <w:rPr>
          <w:rFonts w:ascii="Avenir" w:hAnsi="Avenir"/>
        </w:rPr>
        <w:t>Dieasha D. Davis</w:t>
        <w:br/>
        <w:t>President &amp; CEO</w:t>
        <w:br/>
        <w:t>Dee Davis Inc.</w:t>
      </w:r>
    </w:p>
    <w:sectPr w:rsidR="00FC693F" w:rsidRPr="0006063C" w:rsidSect="00034616">
      <w:footerReference w:type="default" r:id="rId9"/>
      <w:pgSz w:w="12240" w:h="15840"/>
      <w:pgMar w:top="1440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venir" w:hAnsi="Avenir"/>
        <w:sz w:val="14"/>
      </w:rPr>
      <w:t>Dee Davis Inc. | 755 W. Big Beaver Rd., Suite 2020, Troy, Michigan 48084 | Effective: July 25, 2026 | DDI-FDR-001 v1.0 | gateway.deedavis.biz/policies/fdr-compliance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" w:hAnsi="Aveni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