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venir" w:hAnsi="Avenir"/>
          <w:b/>
          <w:sz w:val="28"/>
        </w:rPr>
        <w:t>CONTRACTOR OBLIGATIONS HANDBOOK</w:t>
      </w:r>
    </w:p>
    <w:p>
      <w:pPr>
        <w:jc w:val="center"/>
      </w:pPr>
      <w:r>
        <w:rPr>
          <w:rFonts w:ascii="Avenir" w:hAnsi="Avenir"/>
          <w:sz w:val="20"/>
        </w:rPr>
        <w:t>Dee Davis Inc.</w:t>
        <w:br/>
        <w:t>Policy Number: DDI-HR-002</w:t>
        <w:br/>
        <w:t>Version: 1.0</w:t>
        <w:br/>
        <w:t>Effective Date: July 25, 2026</w:t>
        <w:br/>
        <w:t>Controlled copy: gateway.deedavis.biz/policies/contractor-handbook</w:t>
      </w:r>
    </w:p>
    <w:p/>
    <w:p>
      <w:pPr>
        <w:pStyle w:val="Heading1"/>
      </w:pPr>
      <w:r>
        <w:rPr>
          <w:rFonts w:ascii="Avenir" w:hAnsi="Avenir"/>
          <w:sz w:val="24"/>
        </w:rPr>
        <w:t>1. Purpose &amp; Scope</w:t>
      </w:r>
    </w:p>
    <w:p>
      <w:pPr>
        <w:spacing w:after="120"/>
        <w:jc w:val="both"/>
      </w:pPr>
      <w:r>
        <w:rPr>
          <w:rFonts w:ascii="Avenir" w:hAnsi="Avenir"/>
          <w:sz w:val="22"/>
        </w:rPr>
        <w:t>This handbook describes contractual flow-down obligations for independent contractors engaged by Dee Davis Inc. It does not create an employment relationship.</w:t>
      </w:r>
    </w:p>
    <w:p>
      <w:pPr>
        <w:pStyle w:val="Heading1"/>
      </w:pPr>
      <w:r>
        <w:rPr>
          <w:rFonts w:ascii="Avenir" w:hAnsi="Avenir"/>
          <w:sz w:val="24"/>
        </w:rPr>
        <w:t>2. Independent Contractor Status</w:t>
      </w:r>
    </w:p>
    <w:p>
      <w:pPr>
        <w:spacing w:after="120"/>
        <w:jc w:val="both"/>
      </w:pPr>
      <w:r>
        <w:rPr>
          <w:rFonts w:ascii="Avenir" w:hAnsi="Avenir"/>
          <w:sz w:val="22"/>
        </w:rPr>
        <w:t>Contractors are not W-2 employees. DDI does not run E-Verify/I-9 on contractors. Payment is deliverable/milestone-based per the written agreement.</w:t>
      </w:r>
    </w:p>
    <w:p>
      <w:pPr>
        <w:pStyle w:val="Heading1"/>
      </w:pPr>
      <w:r>
        <w:rPr>
          <w:rFonts w:ascii="Avenir" w:hAnsi="Avenir"/>
          <w:sz w:val="24"/>
        </w:rPr>
        <w:t>3. Scope Discipline</w:t>
      </w:r>
    </w:p>
    <w:p>
      <w:pPr>
        <w:spacing w:after="120"/>
        <w:jc w:val="both"/>
      </w:pPr>
      <w:r>
        <w:rPr>
          <w:rFonts w:ascii="Avenir" w:hAnsi="Avenir"/>
          <w:sz w:val="22"/>
        </w:rPr>
        <w:t>Perform only work within the written scope. Do not expand into PHI or member-facing tasks unless expressly included and required training/BAA conditions are met.</w:t>
      </w:r>
    </w:p>
    <w:p>
      <w:pPr>
        <w:pStyle w:val="Heading1"/>
      </w:pPr>
      <w:r>
        <w:rPr>
          <w:rFonts w:ascii="Avenir" w:hAnsi="Avenir"/>
          <w:sz w:val="24"/>
        </w:rPr>
        <w:t>4. Confidentiality &amp; Buyer Protection</w:t>
      </w:r>
    </w:p>
    <w:p>
      <w:pPr>
        <w:spacing w:after="120"/>
        <w:jc w:val="both"/>
      </w:pPr>
      <w:r>
        <w:rPr>
          <w:rFonts w:ascii="Avenir" w:hAnsi="Avenir"/>
          <w:sz w:val="22"/>
        </w:rPr>
        <w:t>Protect DDI confidential information and authorized PHI/PII. Never reveal end-buyer or solicitation identity to unauthorized parties. See DDI-HR-004 and applicable BAA.</w:t>
      </w:r>
    </w:p>
    <w:p>
      <w:pPr>
        <w:pStyle w:val="Heading1"/>
      </w:pPr>
      <w:r>
        <w:rPr>
          <w:rFonts w:ascii="Avenir" w:hAnsi="Avenir"/>
          <w:sz w:val="24"/>
        </w:rPr>
        <w:t>5. Conduct</w:t>
      </w:r>
    </w:p>
    <w:p>
      <w:pPr>
        <w:spacing w:after="120"/>
        <w:jc w:val="both"/>
      </w:pPr>
      <w:r>
        <w:rPr>
          <w:rFonts w:ascii="Avenir" w:hAnsi="Avenir"/>
          <w:sz w:val="22"/>
        </w:rPr>
        <w:t>Follow DDI-HR-003 as a contractual flow-down. Report suspected FWA through channels in DDI-FDR-001 when the engagement is FDR-adjacent.</w:t>
      </w:r>
    </w:p>
    <w:p>
      <w:pPr>
        <w:pStyle w:val="Heading1"/>
      </w:pPr>
      <w:r>
        <w:rPr>
          <w:rFonts w:ascii="Avenir" w:hAnsi="Avenir"/>
          <w:sz w:val="24"/>
        </w:rPr>
        <w:t>6. Systems Access</w:t>
      </w:r>
    </w:p>
    <w:p>
      <w:pPr>
        <w:spacing w:after="120"/>
        <w:jc w:val="both"/>
      </w:pPr>
      <w:r>
        <w:rPr>
          <w:rFonts w:ascii="Avenir" w:hAnsi="Avenir"/>
          <w:sz w:val="22"/>
        </w:rPr>
        <w:t>Access is minimum-necessary and engagement-specific. GATEWAY is used for document upload, training, and policy e-sign. Access ends when the engagement ends.</w:t>
      </w:r>
    </w:p>
    <w:p>
      <w:pPr>
        <w:pStyle w:val="Heading1"/>
      </w:pPr>
      <w:r>
        <w:rPr>
          <w:rFonts w:ascii="Avenir" w:hAnsi="Avenir"/>
          <w:sz w:val="24"/>
        </w:rPr>
        <w:t>7. Training &amp; Screening</w:t>
      </w:r>
    </w:p>
    <w:p>
      <w:pPr>
        <w:spacing w:after="120"/>
        <w:jc w:val="both"/>
      </w:pPr>
      <w:r>
        <w:rPr>
          <w:rFonts w:ascii="Avenir" w:hAnsi="Avenir"/>
          <w:sz w:val="22"/>
        </w:rPr>
        <w:t>Complete training marked applicable to the engagement. FDR-adjacent divisions require exclusion screening and DDI-FDR-001 acknowledgment.</w:t>
      </w:r>
    </w:p>
    <w:p>
      <w:pPr>
        <w:pStyle w:val="Heading1"/>
      </w:pPr>
      <w:r>
        <w:rPr>
          <w:rFonts w:ascii="Avenir" w:hAnsi="Avenir"/>
          <w:sz w:val="24"/>
        </w:rPr>
        <w:t>8. Insurance &amp; Classification</w:t>
      </w:r>
    </w:p>
    <w:p>
      <w:pPr>
        <w:spacing w:after="120"/>
        <w:jc w:val="both"/>
      </w:pPr>
      <w:r>
        <w:rPr>
          <w:rFonts w:ascii="Avenir" w:hAnsi="Avenir"/>
          <w:sz w:val="22"/>
        </w:rPr>
        <w:t>Provide Certificate of Insurance when required. Cooperate with worker-classification documentation.</w:t>
      </w:r>
    </w:p>
    <w:p>
      <w:pPr>
        <w:pStyle w:val="Heading1"/>
      </w:pPr>
      <w:r>
        <w:rPr>
          <w:rFonts w:ascii="Avenir" w:hAnsi="Avenir"/>
          <w:sz w:val="24"/>
        </w:rPr>
        <w:t>9. Acknowledgment</w:t>
      </w:r>
    </w:p>
    <w:p>
      <w:pPr>
        <w:spacing w:after="120"/>
        <w:jc w:val="both"/>
      </w:pPr>
      <w:r>
        <w:rPr>
          <w:rFonts w:ascii="Avenir" w:hAnsi="Avenir"/>
          <w:sz w:val="22"/>
        </w:rPr>
        <w:t>Typed-name electronic signature in GATEWAY for DDI-HR-002 confirms agreement to these flow-down obligations (Version 1.0).</w:t>
      </w:r>
    </w:p>
    <w:p/>
    <w:p>
      <w:r>
        <w:rPr>
          <w:rFonts w:ascii="Avenir" w:hAnsi="Avenir"/>
          <w:b/>
        </w:rPr>
        <w:t>ADOPTED FOR COMPANY USE:</w:t>
        <w:br/>
        <w:br/>
      </w:r>
    </w:p>
    <w:p>
      <w:r>
        <w:rPr>
          <w:rFonts w:ascii="Avenir" w:hAnsi="Avenir"/>
        </w:rPr>
        <w:t>__________________________________________________</w:t>
      </w:r>
    </w:p>
    <w:p>
      <w:r>
        <w:rPr>
          <w:rFonts w:ascii="Avenir" w:hAnsi="Avenir"/>
        </w:rPr>
        <w:t>Dieasha D. Davis</w:t>
        <w:br/>
        <w:t>President &amp; CEO</w:t>
        <w:br/>
        <w:t>Dee Davis Inc.</w:t>
      </w:r>
    </w:p>
    <w:sectPr w:rsidR="00FC693F" w:rsidRPr="0006063C" w:rsidSect="00034616">
      <w:footerReference w:type="default" r:id="rId9"/>
      <w:pgSz w:w="12240" w:h="15840"/>
      <w:pgMar w:top="1440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venir" w:hAnsi="Avenir"/>
        <w:sz w:val="14"/>
      </w:rPr>
      <w:t>Dee Davis Inc. | 755 W. Big Beaver Rd., Suite 2020, Troy, Michigan 48084 | Effective: July 25, 2026 | DDI-HR-002 v1.0 | gateway.deedavis.biz/policies/contractor-handbook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" w:hAnsi="Aveni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