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venir" w:hAnsi="Avenir"/>
          <w:b/>
          <w:sz w:val="28"/>
        </w:rPr>
        <w:t>CODE OF CONDUCT / CONFLICT OF INTEREST POLICY</w:t>
      </w:r>
    </w:p>
    <w:p>
      <w:pPr>
        <w:jc w:val="center"/>
      </w:pPr>
      <w:r>
        <w:rPr>
          <w:rFonts w:ascii="Avenir" w:hAnsi="Avenir"/>
          <w:sz w:val="20"/>
        </w:rPr>
        <w:t>Dee Davis Inc.</w:t>
        <w:br/>
        <w:t>Policy Number: DDI-HR-003</w:t>
        <w:br/>
        <w:t>Version: 1.0</w:t>
        <w:br/>
        <w:t>Effective Date: July 25, 2026</w:t>
        <w:br/>
        <w:t>Controlled copy: gateway.deedavis.biz/policies/code-of-conduct</w:t>
      </w:r>
    </w:p>
    <w:p/>
    <w:p>
      <w:pPr>
        <w:pStyle w:val="Heading1"/>
      </w:pPr>
      <w:r>
        <w:rPr>
          <w:rFonts w:ascii="Avenir" w:hAnsi="Avenir"/>
          <w:sz w:val="24"/>
        </w:rPr>
        <w:t>1. Purpose</w:t>
      </w:r>
    </w:p>
    <w:p>
      <w:pPr>
        <w:spacing w:after="120"/>
        <w:jc w:val="both"/>
      </w:pPr>
      <w:r>
        <w:rPr>
          <w:rFonts w:ascii="Avenir" w:hAnsi="Avenir"/>
          <w:sz w:val="22"/>
        </w:rPr>
        <w:t>Defines ethical conduct and conflict-of-interest disclosure for employees and contractors (contractual flow-down for contractors).</w:t>
      </w:r>
    </w:p>
    <w:p>
      <w:pPr>
        <w:pStyle w:val="Heading1"/>
      </w:pPr>
      <w:r>
        <w:rPr>
          <w:rFonts w:ascii="Avenir" w:hAnsi="Avenir"/>
          <w:sz w:val="24"/>
        </w:rPr>
        <w:t>2. Standards of Conduct</w:t>
      </w:r>
    </w:p>
    <w:p>
      <w:pPr>
        <w:spacing w:after="120"/>
        <w:jc w:val="both"/>
      </w:pPr>
      <w:r>
        <w:rPr>
          <w:rFonts w:ascii="Avenir" w:hAnsi="Avenir"/>
          <w:sz w:val="22"/>
        </w:rPr>
        <w:t>Comply with law, contracts, and DDI policies. No harassment or unlawful discrimination. No FWA. Protect confidential information and PHI/PII. No improper gifts or kickbacks. No misrepresentation. Never reveal end-buyer identity to unauthorized parties.</w:t>
      </w:r>
    </w:p>
    <w:p>
      <w:pPr>
        <w:pStyle w:val="Heading1"/>
      </w:pPr>
      <w:r>
        <w:rPr>
          <w:rFonts w:ascii="Avenir" w:hAnsi="Avenir"/>
          <w:sz w:val="24"/>
        </w:rPr>
        <w:t>3. Conflicts of Interest</w:t>
      </w:r>
    </w:p>
    <w:p>
      <w:pPr>
        <w:spacing w:after="120"/>
        <w:jc w:val="both"/>
      </w:pPr>
      <w:r>
        <w:rPr>
          <w:rFonts w:ascii="Avenir" w:hAnsi="Avenir"/>
          <w:sz w:val="22"/>
        </w:rPr>
        <w:t>Disclose actual or potential conflicts in writing to your manager/Engagement Manager and gc@deedavis.biz before the conflict affects work. Recusal or mitigation may be required.</w:t>
      </w:r>
    </w:p>
    <w:p>
      <w:pPr>
        <w:pStyle w:val="Heading1"/>
      </w:pPr>
      <w:r>
        <w:rPr>
          <w:rFonts w:ascii="Avenir" w:hAnsi="Avenir"/>
          <w:sz w:val="24"/>
        </w:rPr>
        <w:t>4. Reporting &amp; Non-Retaliation</w:t>
      </w:r>
    </w:p>
    <w:p>
      <w:pPr>
        <w:spacing w:after="120"/>
        <w:jc w:val="both"/>
      </w:pPr>
      <w:r>
        <w:rPr>
          <w:rFonts w:ascii="Avenir" w:hAnsi="Avenir"/>
          <w:sz w:val="22"/>
        </w:rPr>
        <w:t>Report violations in good faith without fear of retaliation.</w:t>
      </w:r>
    </w:p>
    <w:p>
      <w:pPr>
        <w:pStyle w:val="Heading1"/>
      </w:pPr>
      <w:r>
        <w:rPr>
          <w:rFonts w:ascii="Avenir" w:hAnsi="Avenir"/>
          <w:sz w:val="24"/>
        </w:rPr>
        <w:t>5. Violations</w:t>
      </w:r>
    </w:p>
    <w:p>
      <w:pPr>
        <w:spacing w:after="120"/>
        <w:jc w:val="both"/>
      </w:pPr>
      <w:r>
        <w:rPr>
          <w:rFonts w:ascii="Avenir" w:hAnsi="Avenir"/>
          <w:sz w:val="22"/>
        </w:rPr>
        <w:t>May result in employment discipline, contractor termination, removal from FDR-adjacent work, and reporting as required.</w:t>
      </w:r>
    </w:p>
    <w:p>
      <w:pPr>
        <w:pStyle w:val="Heading1"/>
      </w:pPr>
      <w:r>
        <w:rPr>
          <w:rFonts w:ascii="Avenir" w:hAnsi="Avenir"/>
          <w:sz w:val="24"/>
        </w:rPr>
        <w:t>6. Acknowledgment</w:t>
      </w:r>
    </w:p>
    <w:p>
      <w:pPr>
        <w:spacing w:after="120"/>
        <w:jc w:val="both"/>
      </w:pPr>
      <w:r>
        <w:rPr>
          <w:rFonts w:ascii="Avenir" w:hAnsi="Avenir"/>
          <w:sz w:val="22"/>
        </w:rPr>
        <w:t>Typed-name electronic signature in GATEWAY for DDI-HR-003 confirms agreement (Version 1.0).</w:t>
      </w:r>
    </w:p>
    <w:p/>
    <w:p>
      <w:r>
        <w:rPr>
          <w:rFonts w:ascii="Avenir" w:hAnsi="Avenir"/>
          <w:b/>
        </w:rPr>
        <w:t>ADOPTED FOR COMPANY USE:</w:t>
        <w:br/>
        <w:br/>
      </w:r>
    </w:p>
    <w:p>
      <w:r>
        <w:rPr>
          <w:rFonts w:ascii="Avenir" w:hAnsi="Avenir"/>
        </w:rPr>
        <w:t>__________________________________________________</w:t>
      </w:r>
    </w:p>
    <w:p>
      <w:r>
        <w:rPr>
          <w:rFonts w:ascii="Avenir" w:hAnsi="Avenir"/>
        </w:rPr>
        <w:t>Dieasha D. Davis</w:t>
        <w:br/>
        <w:t>President &amp; CEO</w:t>
        <w:br/>
        <w:t>Dee Davis Inc.</w:t>
      </w:r>
    </w:p>
    <w:sectPr w:rsidR="00FC693F" w:rsidRPr="0006063C" w:rsidSect="00034616">
      <w:footerReference w:type="default" r:id="rId9"/>
      <w:pgSz w:w="12240" w:h="15840"/>
      <w:pgMar w:top="1440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venir" w:hAnsi="Avenir"/>
        <w:sz w:val="14"/>
      </w:rPr>
      <w:t>Dee Davis Inc. | 755 W. Big Beaver Rd., Suite 2020, Troy, Michigan 48084 | Effective: July 25, 2026 | DDI-HR-003 v1.0 | gateway.deedavis.biz/policies/code-of-conduct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