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venir" w:hAnsi="Avenir"/>
          <w:b/>
          <w:sz w:val="28"/>
        </w:rPr>
        <w:t>CONFIDENTIALITY / NDA ACKNOWLEDGMENT</w:t>
      </w:r>
    </w:p>
    <w:p>
      <w:pPr>
        <w:jc w:val="center"/>
      </w:pPr>
      <w:r>
        <w:rPr>
          <w:rFonts w:ascii="Avenir" w:hAnsi="Avenir"/>
          <w:sz w:val="20"/>
        </w:rPr>
        <w:t>Dee Davis Inc.</w:t>
        <w:br/>
        <w:t>Policy Number: DDI-HR-004</w:t>
        <w:br/>
        <w:t>Version: 1.0</w:t>
        <w:br/>
        <w:t>Effective Date: July 25, 2026</w:t>
        <w:br/>
        <w:t>Controlled copy: gateway.deedavis.biz/policies/nda</w:t>
      </w:r>
    </w:p>
    <w:p/>
    <w:p>
      <w:pPr>
        <w:pStyle w:val="Heading1"/>
      </w:pPr>
      <w:r>
        <w:rPr>
          <w:rFonts w:ascii="Avenir" w:hAnsi="Avenir"/>
          <w:sz w:val="24"/>
        </w:rPr>
        <w:t>1. Confidential Information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Non-public business, technical, financial, pricing, supplier, client, member, solicitation, proposal, and operational information of Dee Davis Inc. and its clients.</w:t>
      </w:r>
    </w:p>
    <w:p>
      <w:pPr>
        <w:pStyle w:val="Heading1"/>
      </w:pPr>
      <w:r>
        <w:rPr>
          <w:rFonts w:ascii="Avenir" w:hAnsi="Avenir"/>
          <w:sz w:val="24"/>
        </w:rPr>
        <w:t>2. Obligations</w:t>
      </w:r>
    </w:p>
    <w:p>
      <w:pPr>
        <w:spacing w:after="120"/>
        <w:jc w:val="both"/>
      </w:pPr>
      <w:r>
        <w:rPr>
          <w:rFonts w:ascii="Avenir" w:hAnsi="Avenir"/>
          <w:sz w:val="22"/>
        </w:rPr>
        <w:t>Use Confidential Information only for authorized DDI duties. Do not disclose to unauthorized persons. Protect credentials and report suspected breaches to gc@deedavis.biz. Return or securely destroy Confidential Information upon request or separation, subject to legal retention duties.</w:t>
      </w:r>
    </w:p>
    <w:p>
      <w:pPr>
        <w:pStyle w:val="Heading1"/>
      </w:pPr>
      <w:r>
        <w:rPr>
          <w:rFonts w:ascii="Avenir" w:hAnsi="Avenir"/>
          <w:sz w:val="24"/>
        </w:rPr>
        <w:t>3. PHI / HIPAA</w:t>
      </w:r>
    </w:p>
    <w:p>
      <w:pPr>
        <w:spacing w:after="120"/>
        <w:jc w:val="both"/>
      </w:pPr>
      <w:r>
        <w:rPr>
          <w:rFonts w:ascii="Avenir" w:hAnsi="Avenir"/>
          <w:sz w:val="22"/>
        </w:rPr>
        <w:t>If the role involves PHI, follow DDI-HIPAA-001 and any applicable Business Associate Agreement.</w:t>
      </w:r>
    </w:p>
    <w:p>
      <w:pPr>
        <w:pStyle w:val="Heading1"/>
      </w:pPr>
      <w:r>
        <w:rPr>
          <w:rFonts w:ascii="Avenir" w:hAnsi="Avenir"/>
          <w:sz w:val="24"/>
        </w:rPr>
        <w:t>4. Duration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Obligations continue during employment/engagement and survive afterward while information remains non-public, or longer if a separate NDA or law requires.</w:t>
      </w:r>
    </w:p>
    <w:p>
      <w:pPr>
        <w:pStyle w:val="Heading1"/>
      </w:pPr>
      <w:r>
        <w:rPr>
          <w:rFonts w:ascii="Avenir" w:hAnsi="Avenir"/>
          <w:sz w:val="24"/>
        </w:rPr>
        <w:t>5. Remedies</w:t>
      </w:r>
    </w:p>
    <w:p>
      <w:pPr>
        <w:spacing w:after="120"/>
        <w:jc w:val="both"/>
      </w:pPr>
      <w:r>
        <w:rPr>
          <w:rFonts w:ascii="Avenir" w:hAnsi="Avenir"/>
          <w:sz w:val="22"/>
        </w:rPr>
        <w:t>Unauthorized disclosure may cause irreparable harm; DDI may seek injunctive and other remedies.</w:t>
      </w:r>
    </w:p>
    <w:p>
      <w:pPr>
        <w:pStyle w:val="Heading1"/>
      </w:pPr>
      <w:r>
        <w:rPr>
          <w:rFonts w:ascii="Avenir" w:hAnsi="Avenir"/>
          <w:sz w:val="24"/>
        </w:rPr>
        <w:t>6. Acknowledgment (E-Sign)</w:t>
      </w:r>
    </w:p>
    <w:p>
      <w:pPr>
        <w:spacing w:after="120"/>
        <w:jc w:val="both"/>
      </w:pPr>
      <w:r>
        <w:rPr>
          <w:rFonts w:ascii="Avenir" w:hAnsi="Avenir"/>
          <w:sz w:val="22"/>
        </w:rPr>
        <w:t>Typed name, timestamp, and IP in GATEWAY constitute the electronic signature for DDI-HR-004 (Version 1.0). Separately executed NDAs/BAAs control on conflicting terms.</w:t>
      </w:r>
    </w:p>
    <w:p/>
    <w:p>
      <w:r>
        <w:rPr>
          <w:rFonts w:ascii="Avenir" w:hAnsi="Avenir"/>
          <w:b/>
        </w:rPr>
        <w:t>ADOPTED FOR COMPANY USE:</w:t>
        <w:br/>
        <w:br/>
      </w:r>
    </w:p>
    <w:p>
      <w:r>
        <w:rPr>
          <w:rFonts w:ascii="Avenir" w:hAnsi="Avenir"/>
        </w:rPr>
        <w:t>__________________________________________________</w:t>
      </w:r>
    </w:p>
    <w:p>
      <w:r>
        <w:rPr>
          <w:rFonts w:ascii="Avenir" w:hAnsi="Avenir"/>
        </w:rPr>
        <w:t>Dieasha D. Davis</w:t>
        <w:br/>
        <w:t>President &amp; CEO</w:t>
        <w:br/>
        <w:t>Dee Davis Inc.</w:t>
      </w:r>
    </w:p>
    <w:sectPr w:rsidR="00FC693F" w:rsidRPr="0006063C" w:rsidSect="00034616"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" w:hAnsi="Avenir"/>
        <w:sz w:val="14"/>
      </w:rPr>
      <w:t>Dee Davis Inc. | 755 W. Big Beaver Rd., Suite 2020, Troy, Michigan 48084 | Effective: July 25, 2026 | DDI-HR-004 v1.0 | gateway.deedavis.biz/policies/nda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