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5E1F1" w14:textId="77777777" w:rsidR="0024104E" w:rsidRDefault="0024104E" w:rsidP="0024104E">
      <w:pPr>
        <w:jc w:val="center"/>
        <w:rPr>
          <w:rFonts w:asciiTheme="majorBidi" w:hAnsiTheme="majorBidi" w:cstheme="majorBidi"/>
          <w:b/>
          <w:bCs/>
          <w:spacing w:val="-4"/>
          <w:sz w:val="20"/>
          <w:szCs w:val="20"/>
        </w:rPr>
      </w:pPr>
      <w:r w:rsidRPr="0024104E">
        <w:rPr>
          <w:rFonts w:asciiTheme="majorBidi" w:hAnsiTheme="majorBidi" w:cstheme="majorBidi"/>
          <w:b/>
          <w:bCs/>
          <w:sz w:val="20"/>
          <w:szCs w:val="20"/>
        </w:rPr>
        <w:t>W.P.</w:t>
      </w:r>
      <w:r w:rsidRPr="0024104E">
        <w:rPr>
          <w:rFonts w:asciiTheme="majorBidi" w:hAnsiTheme="majorBidi" w:cstheme="majorBidi"/>
          <w:b/>
          <w:bCs/>
          <w:spacing w:val="-10"/>
          <w:sz w:val="20"/>
          <w:szCs w:val="20"/>
        </w:rPr>
        <w:t xml:space="preserve"> </w:t>
      </w:r>
      <w:r w:rsidRPr="0024104E">
        <w:rPr>
          <w:rFonts w:asciiTheme="majorBidi" w:hAnsiTheme="majorBidi" w:cstheme="majorBidi"/>
          <w:b/>
          <w:bCs/>
          <w:sz w:val="20"/>
          <w:szCs w:val="20"/>
        </w:rPr>
        <w:t>3899/2017</w:t>
      </w:r>
      <w:r w:rsidRPr="0024104E">
        <w:rPr>
          <w:rFonts w:asciiTheme="majorBidi" w:hAnsiTheme="majorBidi" w:cstheme="majorBidi"/>
          <w:b/>
          <w:bCs/>
          <w:spacing w:val="-9"/>
          <w:sz w:val="20"/>
          <w:szCs w:val="20"/>
        </w:rPr>
        <w:t xml:space="preserve"> </w:t>
      </w:r>
      <w:r w:rsidRPr="0024104E">
        <w:rPr>
          <w:rFonts w:asciiTheme="majorBidi" w:hAnsiTheme="majorBidi" w:cstheme="majorBidi"/>
          <w:b/>
          <w:bCs/>
          <w:sz w:val="20"/>
          <w:szCs w:val="20"/>
        </w:rPr>
        <w:t>Tax</w:t>
      </w:r>
      <w:r w:rsidRPr="0024104E">
        <w:rPr>
          <w:rFonts w:asciiTheme="majorBidi" w:hAnsiTheme="majorBidi" w:cstheme="majorBidi"/>
          <w:b/>
          <w:bCs/>
          <w:spacing w:val="-9"/>
          <w:sz w:val="20"/>
          <w:szCs w:val="20"/>
        </w:rPr>
        <w:t xml:space="preserve"> </w:t>
      </w:r>
      <w:r w:rsidRPr="0024104E">
        <w:rPr>
          <w:rFonts w:asciiTheme="majorBidi" w:hAnsiTheme="majorBidi" w:cstheme="majorBidi"/>
          <w:b/>
          <w:bCs/>
          <w:sz w:val="20"/>
          <w:szCs w:val="20"/>
        </w:rPr>
        <w:t>&amp;</w:t>
      </w:r>
      <w:r w:rsidRPr="0024104E">
        <w:rPr>
          <w:rFonts w:asciiTheme="majorBidi" w:hAnsiTheme="majorBidi" w:cstheme="majorBidi"/>
          <w:b/>
          <w:bCs/>
          <w:spacing w:val="-9"/>
          <w:sz w:val="20"/>
          <w:szCs w:val="20"/>
        </w:rPr>
        <w:t xml:space="preserve"> </w:t>
      </w:r>
      <w:r w:rsidRPr="0024104E">
        <w:rPr>
          <w:rFonts w:asciiTheme="majorBidi" w:hAnsiTheme="majorBidi" w:cstheme="majorBidi"/>
          <w:b/>
          <w:bCs/>
          <w:sz w:val="20"/>
          <w:szCs w:val="20"/>
        </w:rPr>
        <w:t>Banking</w:t>
      </w:r>
      <w:r w:rsidRPr="0024104E">
        <w:rPr>
          <w:rFonts w:asciiTheme="majorBidi" w:hAnsiTheme="majorBidi" w:cstheme="majorBidi"/>
          <w:b/>
          <w:bCs/>
          <w:spacing w:val="-12"/>
          <w:sz w:val="20"/>
          <w:szCs w:val="20"/>
        </w:rPr>
        <w:t xml:space="preserve"> </w:t>
      </w:r>
      <w:r w:rsidRPr="0024104E">
        <w:rPr>
          <w:rFonts w:asciiTheme="majorBidi" w:hAnsiTheme="majorBidi" w:cstheme="majorBidi"/>
          <w:b/>
          <w:bCs/>
          <w:sz w:val="20"/>
          <w:szCs w:val="20"/>
        </w:rPr>
        <w:t>Tax</w:t>
      </w:r>
      <w:r w:rsidRPr="0024104E">
        <w:rPr>
          <w:rFonts w:asciiTheme="majorBidi" w:hAnsiTheme="majorBidi" w:cstheme="majorBidi"/>
          <w:b/>
          <w:bCs/>
          <w:spacing w:val="-9"/>
          <w:sz w:val="20"/>
          <w:szCs w:val="20"/>
        </w:rPr>
        <w:t xml:space="preserve"> </w:t>
      </w:r>
      <w:r w:rsidRPr="0024104E">
        <w:rPr>
          <w:rFonts w:asciiTheme="majorBidi" w:hAnsiTheme="majorBidi" w:cstheme="majorBidi"/>
          <w:b/>
          <w:bCs/>
          <w:spacing w:val="-4"/>
          <w:sz w:val="20"/>
          <w:szCs w:val="20"/>
        </w:rPr>
        <w:t>(SB)</w:t>
      </w:r>
    </w:p>
    <w:p w14:paraId="1799A3E9" w14:textId="77777777" w:rsidR="0024104E" w:rsidRDefault="0024104E" w:rsidP="0024104E">
      <w:pPr>
        <w:jc w:val="center"/>
        <w:rPr>
          <w:rFonts w:asciiTheme="majorBidi" w:hAnsiTheme="majorBidi" w:cstheme="majorBidi"/>
          <w:b/>
          <w:bCs/>
          <w:spacing w:val="-4"/>
          <w:sz w:val="20"/>
          <w:szCs w:val="20"/>
        </w:rPr>
      </w:pPr>
    </w:p>
    <w:p w14:paraId="7C31CE73" w14:textId="77777777" w:rsidR="0024104E" w:rsidRDefault="0024104E" w:rsidP="0024104E">
      <w:pPr>
        <w:jc w:val="center"/>
        <w:rPr>
          <w:rFonts w:cstheme="majorBidi"/>
          <w:b/>
          <w:bCs/>
          <w:sz w:val="20"/>
          <w:szCs w:val="20"/>
        </w:rPr>
      </w:pPr>
      <w:r w:rsidRPr="00B3576A">
        <w:rPr>
          <w:rFonts w:cstheme="majorBidi"/>
          <w:b/>
          <w:bCs/>
          <w:sz w:val="20"/>
          <w:szCs w:val="20"/>
        </w:rPr>
        <w:t xml:space="preserve">ORDER SHEET </w:t>
      </w:r>
    </w:p>
    <w:p w14:paraId="1DCA0372" w14:textId="77777777" w:rsidR="0024104E" w:rsidRDefault="0024104E" w:rsidP="0024104E">
      <w:pPr>
        <w:jc w:val="center"/>
        <w:rPr>
          <w:rFonts w:cstheme="majorBidi"/>
          <w:b/>
          <w:bCs/>
          <w:sz w:val="20"/>
          <w:szCs w:val="20"/>
        </w:rPr>
      </w:pPr>
      <w:r w:rsidRPr="00B3576A">
        <w:rPr>
          <w:rFonts w:cstheme="majorBidi"/>
          <w:b/>
          <w:bCs/>
          <w:sz w:val="20"/>
          <w:szCs w:val="20"/>
        </w:rPr>
        <w:t xml:space="preserve">IN THE ISLAMABAD HIGH COURT, ISLAMABAD. </w:t>
      </w:r>
    </w:p>
    <w:p w14:paraId="69F2F504" w14:textId="77777777" w:rsidR="0024104E" w:rsidRDefault="0024104E" w:rsidP="0024104E">
      <w:pPr>
        <w:jc w:val="center"/>
        <w:rPr>
          <w:rFonts w:cstheme="majorBidi"/>
          <w:b/>
          <w:bCs/>
          <w:sz w:val="20"/>
          <w:szCs w:val="20"/>
        </w:rPr>
      </w:pPr>
      <w:r w:rsidRPr="00B3576A">
        <w:rPr>
          <w:rFonts w:cstheme="majorBidi"/>
          <w:b/>
          <w:bCs/>
          <w:sz w:val="20"/>
          <w:szCs w:val="20"/>
        </w:rPr>
        <w:t xml:space="preserve">JUDICIAL DEPARTMENT. </w:t>
      </w:r>
    </w:p>
    <w:p w14:paraId="28AE9B08" w14:textId="77777777" w:rsidR="0024104E" w:rsidRDefault="0024104E" w:rsidP="0024104E">
      <w:pPr>
        <w:jc w:val="center"/>
        <w:rPr>
          <w:rFonts w:cstheme="majorBidi"/>
          <w:b/>
          <w:bCs/>
          <w:sz w:val="20"/>
          <w:szCs w:val="20"/>
        </w:rPr>
      </w:pPr>
      <w:r w:rsidRPr="00B3576A">
        <w:rPr>
          <w:rFonts w:cstheme="majorBidi"/>
          <w:b/>
          <w:bCs/>
          <w:sz w:val="20"/>
          <w:szCs w:val="20"/>
        </w:rPr>
        <w:t xml:space="preserve">Writ Petition No.3899/2017 </w:t>
      </w:r>
    </w:p>
    <w:p w14:paraId="17940534" w14:textId="77777777" w:rsidR="0024104E" w:rsidRDefault="0024104E" w:rsidP="0024104E">
      <w:pPr>
        <w:jc w:val="center"/>
        <w:rPr>
          <w:rFonts w:cstheme="majorBidi"/>
          <w:b/>
          <w:bCs/>
          <w:sz w:val="20"/>
          <w:szCs w:val="20"/>
        </w:rPr>
      </w:pPr>
      <w:r w:rsidRPr="00B3576A">
        <w:rPr>
          <w:rFonts w:cstheme="majorBidi"/>
          <w:b/>
          <w:bCs/>
          <w:sz w:val="20"/>
          <w:szCs w:val="20"/>
        </w:rPr>
        <w:t xml:space="preserve">M/s Shifa International Hospitals Limited </w:t>
      </w:r>
    </w:p>
    <w:p w14:paraId="03B648FA" w14:textId="77777777" w:rsidR="0024104E" w:rsidRDefault="0024104E" w:rsidP="0024104E">
      <w:pPr>
        <w:jc w:val="center"/>
        <w:rPr>
          <w:rFonts w:cstheme="majorBidi"/>
          <w:b/>
          <w:bCs/>
          <w:sz w:val="20"/>
          <w:szCs w:val="20"/>
        </w:rPr>
      </w:pPr>
      <w:r w:rsidRPr="00B3576A">
        <w:rPr>
          <w:rFonts w:cstheme="majorBidi"/>
          <w:b/>
          <w:bCs/>
          <w:sz w:val="20"/>
          <w:szCs w:val="20"/>
        </w:rPr>
        <w:t xml:space="preserve">Versus </w:t>
      </w:r>
    </w:p>
    <w:p w14:paraId="4D7E500E" w14:textId="24C5746B" w:rsidR="0024104E" w:rsidRPr="00B3576A" w:rsidRDefault="0024104E" w:rsidP="0024104E">
      <w:pPr>
        <w:jc w:val="center"/>
        <w:rPr>
          <w:rFonts w:cstheme="majorBidi"/>
          <w:b/>
          <w:bCs/>
          <w:sz w:val="20"/>
          <w:szCs w:val="20"/>
        </w:rPr>
      </w:pPr>
      <w:r w:rsidRPr="00B3576A">
        <w:rPr>
          <w:rFonts w:cstheme="majorBidi"/>
          <w:b/>
          <w:bCs/>
          <w:sz w:val="20"/>
          <w:szCs w:val="20"/>
        </w:rPr>
        <w:t>Commissioner Inland Revenue, Islamabad, etc</w:t>
      </w:r>
    </w:p>
    <w:p w14:paraId="01D2143D" w14:textId="77777777" w:rsidR="0024104E" w:rsidRDefault="0024104E" w:rsidP="0024104E">
      <w:pPr>
        <w:tabs>
          <w:tab w:val="left" w:pos="1787"/>
        </w:tabs>
        <w:jc w:val="center"/>
        <w:rPr>
          <w:rFonts w:cstheme="majorBidi"/>
          <w:b/>
          <w:bCs/>
          <w:sz w:val="20"/>
          <w:szCs w:val="20"/>
        </w:rPr>
      </w:pPr>
    </w:p>
    <w:p w14:paraId="735F11E4" w14:textId="77777777" w:rsidR="0024104E" w:rsidRDefault="0024104E" w:rsidP="0024104E">
      <w:pPr>
        <w:tabs>
          <w:tab w:val="left" w:pos="1787"/>
        </w:tabs>
        <w:rPr>
          <w:rFonts w:cstheme="majorBidi"/>
          <w:b/>
          <w:bCs/>
          <w:sz w:val="20"/>
          <w:szCs w:val="20"/>
        </w:rPr>
      </w:pPr>
      <w:r w:rsidRPr="004F14DC">
        <w:rPr>
          <w:rFonts w:cstheme="majorBidi"/>
          <w:b/>
          <w:bCs/>
          <w:sz w:val="20"/>
          <w:szCs w:val="20"/>
        </w:rPr>
        <w:t xml:space="preserve">Malik Nasir Abbas Awan, Advocate for the Petitioner. </w:t>
      </w:r>
    </w:p>
    <w:p w14:paraId="213E5EB4" w14:textId="77777777" w:rsidR="0024104E" w:rsidRDefault="0024104E" w:rsidP="0024104E">
      <w:pPr>
        <w:tabs>
          <w:tab w:val="left" w:pos="1787"/>
        </w:tabs>
        <w:rPr>
          <w:rFonts w:cstheme="majorBidi"/>
          <w:b/>
          <w:bCs/>
          <w:sz w:val="20"/>
          <w:szCs w:val="20"/>
        </w:rPr>
      </w:pPr>
      <w:r w:rsidRPr="004F14DC">
        <w:rPr>
          <w:rFonts w:cstheme="majorBidi"/>
          <w:b/>
          <w:bCs/>
          <w:sz w:val="20"/>
          <w:szCs w:val="20"/>
        </w:rPr>
        <w:t>Syed Ishfaq Hussain Naqvi, Advocate for the respondents.</w:t>
      </w:r>
    </w:p>
    <w:p w14:paraId="70C3E825" w14:textId="77777777" w:rsidR="0024104E" w:rsidRDefault="0024104E" w:rsidP="0024104E">
      <w:pPr>
        <w:tabs>
          <w:tab w:val="left" w:pos="1787"/>
        </w:tabs>
        <w:jc w:val="both"/>
        <w:rPr>
          <w:rFonts w:cstheme="majorBidi"/>
          <w:sz w:val="20"/>
          <w:szCs w:val="20"/>
        </w:rPr>
      </w:pPr>
      <w:r w:rsidRPr="004F14DC">
        <w:rPr>
          <w:rFonts w:cstheme="majorBidi"/>
          <w:sz w:val="20"/>
          <w:szCs w:val="20"/>
        </w:rPr>
        <w:t xml:space="preserve">The instant petition calls in question the audit notice received by the petitioner from the Commissioner Inland Revenue on 26.10.2017 with respect to the period: 01.07.2014 to 30.06.2015. The writ petition came for hearing before this Court on 16.11.2017 and was disposed of by this Court vide order dated 09.10.2019. The department filed appeal before the Supreme Court of Pakistan and by way of consent order, order dated 09.10.2019 was set-aside in Civil Petition No.4464/19 on 03.03.2020. </w:t>
      </w:r>
    </w:p>
    <w:p w14:paraId="26ADBB98" w14:textId="77777777" w:rsidR="0024104E" w:rsidRDefault="0024104E" w:rsidP="0024104E">
      <w:pPr>
        <w:tabs>
          <w:tab w:val="left" w:pos="1787"/>
        </w:tabs>
        <w:jc w:val="both"/>
        <w:rPr>
          <w:rFonts w:cstheme="majorBidi"/>
          <w:sz w:val="20"/>
          <w:szCs w:val="20"/>
        </w:rPr>
      </w:pPr>
      <w:r w:rsidRPr="004F14DC">
        <w:rPr>
          <w:rFonts w:cstheme="majorBidi"/>
          <w:sz w:val="20"/>
          <w:szCs w:val="20"/>
        </w:rPr>
        <w:t xml:space="preserve">2. Learned counsel for the petitioner submitted that the notice is in violation of the observations made by this Court in case titled Pakistan Telecommunication Company Limited versus Federation of Pakistan (2016 PTD 1484). </w:t>
      </w:r>
    </w:p>
    <w:p w14:paraId="72027C46" w14:textId="77777777" w:rsidR="0024104E" w:rsidRDefault="0024104E" w:rsidP="0024104E">
      <w:pPr>
        <w:tabs>
          <w:tab w:val="left" w:pos="1787"/>
        </w:tabs>
        <w:jc w:val="both"/>
        <w:rPr>
          <w:rFonts w:cstheme="majorBidi"/>
          <w:sz w:val="20"/>
          <w:szCs w:val="20"/>
        </w:rPr>
      </w:pPr>
      <w:r w:rsidRPr="004F14DC">
        <w:rPr>
          <w:rFonts w:cstheme="majorBidi"/>
          <w:sz w:val="20"/>
          <w:szCs w:val="20"/>
        </w:rPr>
        <w:t>3. On the other hand, learned counsel for the respondents contested the position and submitted that the notice for audit is not assailable.</w:t>
      </w:r>
    </w:p>
    <w:p w14:paraId="64668343" w14:textId="77777777" w:rsidR="0024104E" w:rsidRDefault="0024104E" w:rsidP="0024104E">
      <w:pPr>
        <w:tabs>
          <w:tab w:val="left" w:pos="1787"/>
        </w:tabs>
        <w:jc w:val="both"/>
        <w:rPr>
          <w:rFonts w:cstheme="majorBidi"/>
          <w:sz w:val="20"/>
          <w:szCs w:val="20"/>
        </w:rPr>
      </w:pPr>
      <w:r w:rsidRPr="004F14DC">
        <w:rPr>
          <w:rFonts w:cstheme="majorBidi"/>
          <w:sz w:val="20"/>
          <w:szCs w:val="20"/>
        </w:rPr>
        <w:t xml:space="preserve">4. Submissions of the parties have been heard and the documents placed on record examined with their able assistance. </w:t>
      </w:r>
    </w:p>
    <w:p w14:paraId="4BC688AA" w14:textId="77777777" w:rsidR="0024104E" w:rsidRDefault="0024104E" w:rsidP="0024104E">
      <w:pPr>
        <w:tabs>
          <w:tab w:val="left" w:pos="1787"/>
        </w:tabs>
        <w:jc w:val="both"/>
        <w:rPr>
          <w:rFonts w:cstheme="majorBidi"/>
          <w:sz w:val="20"/>
          <w:szCs w:val="20"/>
        </w:rPr>
      </w:pPr>
      <w:r w:rsidRPr="004F14DC">
        <w:rPr>
          <w:rFonts w:cstheme="majorBidi"/>
          <w:sz w:val="20"/>
          <w:szCs w:val="20"/>
        </w:rPr>
        <w:t>5. The background leading to filing of the instant petition has already been mentioned hereinabove, therefore, need not be reproduced. As already observed, the petitioner is aggrieved of the notice under section 177 of the Income Tax Ordinance, 2001, whereby intimation has been made that the audit proceedings are being conducted for the tax period: 1st July-2014 to 30-June-2015. The larger Bench of this Court in case reported as Pakistan Telecommunication Company Limited versus Federation of Pakistan (2016 PTD 1484) held that before selection of audit, a notice needs to be given, however, the referred view was modified and improved upon in various pronouncements by this Court and recently in the judgment titled Zaver Petroleum Corporation Limited versus Commissioner Inland Revenue, LTU, Islamabad, etc (W.P. No.1785/2016), it was held as follows:- “6. In view of above case law of this Court as well as from other High Courts, selection for „Audit</w:t>
      </w:r>
      <w:r w:rsidRPr="004F14DC">
        <w:rPr>
          <w:rFonts w:ascii="Arial" w:hAnsi="Arial" w:cs="Arial"/>
          <w:sz w:val="20"/>
          <w:szCs w:val="20"/>
        </w:rPr>
        <w:t>‟</w:t>
      </w:r>
      <w:r w:rsidRPr="004F14DC">
        <w:rPr>
          <w:rFonts w:cstheme="majorBidi"/>
          <w:sz w:val="20"/>
          <w:szCs w:val="20"/>
        </w:rPr>
        <w:t xml:space="preserve"> per se is not an adverse order and does not mandate interference by this Court in judicial review, however, reasons are to be provided under proviso to section 177 of the Income Tax Ordinance, 2001 by way of notice to the taxpayer, which respondents have done, however, it is only appropriate that in terms of the earlier judgment of the Larger Bench of this Court in case reported as </w:t>
      </w:r>
      <w:r w:rsidRPr="004F14DC">
        <w:rPr>
          <w:rFonts w:ascii="Aptos" w:hAnsi="Aptos" w:cs="Aptos"/>
          <w:sz w:val="20"/>
          <w:szCs w:val="20"/>
        </w:rPr>
        <w:t>„</w:t>
      </w:r>
      <w:r w:rsidRPr="004F14DC">
        <w:rPr>
          <w:rFonts w:cstheme="majorBidi"/>
          <w:sz w:val="20"/>
          <w:szCs w:val="20"/>
        </w:rPr>
        <w:t xml:space="preserve">Pakistan Telecommunication Company Limited Vs. Federation of </w:t>
      </w:r>
      <w:r w:rsidRPr="004F14DC">
        <w:rPr>
          <w:rFonts w:cstheme="majorBidi"/>
          <w:sz w:val="20"/>
          <w:szCs w:val="20"/>
        </w:rPr>
        <w:lastRenderedPageBreak/>
        <w:t>Pakistan</w:t>
      </w:r>
      <w:r w:rsidRPr="004F14DC">
        <w:rPr>
          <w:rFonts w:ascii="Arial" w:hAnsi="Arial" w:cs="Arial"/>
          <w:sz w:val="20"/>
          <w:szCs w:val="20"/>
        </w:rPr>
        <w:t>‟</w:t>
      </w:r>
      <w:r w:rsidRPr="004F14DC">
        <w:rPr>
          <w:rFonts w:cstheme="majorBidi"/>
          <w:sz w:val="20"/>
          <w:szCs w:val="20"/>
        </w:rPr>
        <w:t xml:space="preserve"> (2016 PTD 1484), opportunity of hearing be provided, wherein respondent Department may hear out</w:t>
      </w:r>
      <w:r w:rsidRPr="004F14DC">
        <w:t xml:space="preserve"> </w:t>
      </w:r>
      <w:r w:rsidRPr="004F14DC">
        <w:rPr>
          <w:rFonts w:cstheme="majorBidi"/>
          <w:sz w:val="20"/>
          <w:szCs w:val="20"/>
        </w:rPr>
        <w:t xml:space="preserve">the petitioner and record objections, if any, through a speaking order.” </w:t>
      </w:r>
    </w:p>
    <w:p w14:paraId="1A75CE1B" w14:textId="77777777" w:rsidR="0024104E" w:rsidRDefault="0024104E" w:rsidP="0024104E">
      <w:pPr>
        <w:tabs>
          <w:tab w:val="left" w:pos="1787"/>
        </w:tabs>
        <w:jc w:val="both"/>
        <w:rPr>
          <w:rFonts w:cstheme="majorBidi"/>
          <w:sz w:val="20"/>
          <w:szCs w:val="20"/>
        </w:rPr>
      </w:pPr>
      <w:r w:rsidRPr="004F14DC">
        <w:rPr>
          <w:rFonts w:cstheme="majorBidi"/>
          <w:sz w:val="20"/>
          <w:szCs w:val="20"/>
        </w:rPr>
        <w:t>6. In view of the referred decision, the instant petition is without merit and is accordingly dismissed.</w:t>
      </w:r>
    </w:p>
    <w:p w14:paraId="3470AE50" w14:textId="77777777" w:rsidR="0024104E" w:rsidRDefault="0024104E" w:rsidP="0024104E">
      <w:pPr>
        <w:tabs>
          <w:tab w:val="left" w:pos="1787"/>
        </w:tabs>
        <w:jc w:val="both"/>
        <w:rPr>
          <w:rFonts w:cstheme="majorBidi"/>
          <w:sz w:val="20"/>
          <w:szCs w:val="20"/>
        </w:rPr>
      </w:pPr>
    </w:p>
    <w:p w14:paraId="61DBF7FF" w14:textId="77777777" w:rsidR="0024104E" w:rsidRDefault="0024104E" w:rsidP="0024104E">
      <w:pPr>
        <w:tabs>
          <w:tab w:val="left" w:pos="1787"/>
        </w:tabs>
        <w:jc w:val="both"/>
        <w:rPr>
          <w:rFonts w:cstheme="majorBidi"/>
          <w:b/>
          <w:bCs/>
          <w:sz w:val="20"/>
          <w:szCs w:val="20"/>
        </w:rPr>
      </w:pPr>
      <w:r w:rsidRPr="004F14DC">
        <w:rPr>
          <w:rFonts w:cstheme="majorBidi"/>
          <w:b/>
          <w:bCs/>
          <w:sz w:val="20"/>
          <w:szCs w:val="20"/>
        </w:rPr>
        <w:t xml:space="preserve"> (CHIEF JUSTICE)</w:t>
      </w:r>
    </w:p>
    <w:p w14:paraId="4EC5CFAC" w14:textId="77777777" w:rsidR="0024104E" w:rsidRDefault="0024104E" w:rsidP="0024104E">
      <w:pPr>
        <w:tabs>
          <w:tab w:val="left" w:pos="1787"/>
        </w:tabs>
        <w:jc w:val="both"/>
        <w:rPr>
          <w:rFonts w:cstheme="majorBidi"/>
          <w:b/>
          <w:bCs/>
          <w:sz w:val="20"/>
          <w:szCs w:val="20"/>
        </w:rPr>
      </w:pPr>
    </w:p>
    <w:p w14:paraId="15BCD1C1" w14:textId="77777777" w:rsidR="0024104E" w:rsidRDefault="0024104E" w:rsidP="0024104E">
      <w:pPr>
        <w:tabs>
          <w:tab w:val="left" w:pos="1787"/>
        </w:tabs>
        <w:jc w:val="center"/>
        <w:rPr>
          <w:rFonts w:cstheme="majorBidi"/>
          <w:b/>
          <w:bCs/>
          <w:sz w:val="20"/>
          <w:szCs w:val="20"/>
        </w:rPr>
      </w:pPr>
    </w:p>
    <w:p w14:paraId="07C78B8B" w14:textId="77777777" w:rsidR="0024104E" w:rsidRDefault="0024104E" w:rsidP="0024104E">
      <w:pPr>
        <w:tabs>
          <w:tab w:val="left" w:pos="1787"/>
        </w:tabs>
        <w:jc w:val="center"/>
        <w:rPr>
          <w:rFonts w:cstheme="majorBidi"/>
          <w:b/>
          <w:bCs/>
          <w:sz w:val="20"/>
          <w:szCs w:val="20"/>
        </w:rPr>
      </w:pPr>
    </w:p>
    <w:p w14:paraId="0D411057" w14:textId="77777777" w:rsidR="0024104E" w:rsidRDefault="0024104E" w:rsidP="0024104E">
      <w:pPr>
        <w:tabs>
          <w:tab w:val="left" w:pos="1787"/>
        </w:tabs>
        <w:jc w:val="center"/>
        <w:rPr>
          <w:rFonts w:cstheme="majorBidi"/>
          <w:b/>
          <w:bCs/>
          <w:sz w:val="20"/>
          <w:szCs w:val="20"/>
        </w:rPr>
      </w:pPr>
    </w:p>
    <w:p w14:paraId="141C9FF7" w14:textId="77777777" w:rsidR="0024104E" w:rsidRDefault="0024104E" w:rsidP="0024104E">
      <w:pPr>
        <w:tabs>
          <w:tab w:val="left" w:pos="1787"/>
        </w:tabs>
        <w:jc w:val="center"/>
        <w:rPr>
          <w:rFonts w:cstheme="majorBidi"/>
          <w:b/>
          <w:bCs/>
          <w:sz w:val="20"/>
          <w:szCs w:val="20"/>
        </w:rPr>
      </w:pPr>
    </w:p>
    <w:p w14:paraId="29318FB6" w14:textId="77777777" w:rsidR="0024104E" w:rsidRDefault="0024104E" w:rsidP="0024104E">
      <w:pPr>
        <w:tabs>
          <w:tab w:val="left" w:pos="1787"/>
        </w:tabs>
        <w:jc w:val="center"/>
        <w:rPr>
          <w:rFonts w:cstheme="majorBidi"/>
          <w:b/>
          <w:bCs/>
          <w:sz w:val="20"/>
          <w:szCs w:val="20"/>
        </w:rPr>
      </w:pPr>
    </w:p>
    <w:p w14:paraId="6D630FCF" w14:textId="77777777" w:rsidR="0024104E" w:rsidRDefault="0024104E" w:rsidP="0024104E">
      <w:pPr>
        <w:tabs>
          <w:tab w:val="left" w:pos="1787"/>
        </w:tabs>
        <w:jc w:val="center"/>
        <w:rPr>
          <w:rFonts w:cstheme="majorBidi"/>
          <w:b/>
          <w:bCs/>
          <w:sz w:val="20"/>
          <w:szCs w:val="20"/>
        </w:rPr>
      </w:pPr>
    </w:p>
    <w:p w14:paraId="0C62581C" w14:textId="77777777" w:rsidR="0024104E" w:rsidRDefault="0024104E" w:rsidP="0024104E">
      <w:pPr>
        <w:tabs>
          <w:tab w:val="left" w:pos="1787"/>
        </w:tabs>
        <w:jc w:val="center"/>
        <w:rPr>
          <w:rFonts w:cstheme="majorBidi"/>
          <w:b/>
          <w:bCs/>
          <w:sz w:val="20"/>
          <w:szCs w:val="20"/>
        </w:rPr>
      </w:pPr>
    </w:p>
    <w:p w14:paraId="49D1DF47" w14:textId="77777777" w:rsidR="000B428B" w:rsidRDefault="000B428B"/>
    <w:sectPr w:rsidR="000B4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8A0"/>
    <w:rsid w:val="00023EDA"/>
    <w:rsid w:val="000B428B"/>
    <w:rsid w:val="0024104E"/>
    <w:rsid w:val="004D2EA1"/>
    <w:rsid w:val="0056118B"/>
    <w:rsid w:val="006F38A0"/>
    <w:rsid w:val="00772ECF"/>
    <w:rsid w:val="007D634F"/>
    <w:rsid w:val="00874613"/>
    <w:rsid w:val="00AB18AD"/>
    <w:rsid w:val="00F46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B4B8E"/>
  <w15:chartTrackingRefBased/>
  <w15:docId w15:val="{5AEA1CE1-8EFC-4271-AF9B-6A602C808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4E"/>
  </w:style>
  <w:style w:type="paragraph" w:styleId="Heading1">
    <w:name w:val="heading 1"/>
    <w:basedOn w:val="Normal"/>
    <w:next w:val="Normal"/>
    <w:link w:val="Heading1Char"/>
    <w:uiPriority w:val="9"/>
    <w:qFormat/>
    <w:rsid w:val="006F38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8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8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8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8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8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8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8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8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8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8A0"/>
    <w:rPr>
      <w:rFonts w:eastAsiaTheme="majorEastAsia" w:cstheme="majorBidi"/>
      <w:color w:val="272727" w:themeColor="text1" w:themeTint="D8"/>
    </w:rPr>
  </w:style>
  <w:style w:type="paragraph" w:styleId="Title">
    <w:name w:val="Title"/>
    <w:basedOn w:val="Normal"/>
    <w:next w:val="Normal"/>
    <w:link w:val="TitleChar"/>
    <w:uiPriority w:val="10"/>
    <w:qFormat/>
    <w:rsid w:val="006F3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8A0"/>
    <w:pPr>
      <w:spacing w:before="160"/>
      <w:jc w:val="center"/>
    </w:pPr>
    <w:rPr>
      <w:i/>
      <w:iCs/>
      <w:color w:val="404040" w:themeColor="text1" w:themeTint="BF"/>
    </w:rPr>
  </w:style>
  <w:style w:type="character" w:customStyle="1" w:styleId="QuoteChar">
    <w:name w:val="Quote Char"/>
    <w:basedOn w:val="DefaultParagraphFont"/>
    <w:link w:val="Quote"/>
    <w:uiPriority w:val="29"/>
    <w:rsid w:val="006F38A0"/>
    <w:rPr>
      <w:i/>
      <w:iCs/>
      <w:color w:val="404040" w:themeColor="text1" w:themeTint="BF"/>
    </w:rPr>
  </w:style>
  <w:style w:type="paragraph" w:styleId="ListParagraph">
    <w:name w:val="List Paragraph"/>
    <w:basedOn w:val="Normal"/>
    <w:uiPriority w:val="34"/>
    <w:qFormat/>
    <w:rsid w:val="006F38A0"/>
    <w:pPr>
      <w:ind w:left="720"/>
      <w:contextualSpacing/>
    </w:pPr>
  </w:style>
  <w:style w:type="character" w:styleId="IntenseEmphasis">
    <w:name w:val="Intense Emphasis"/>
    <w:basedOn w:val="DefaultParagraphFont"/>
    <w:uiPriority w:val="21"/>
    <w:qFormat/>
    <w:rsid w:val="006F38A0"/>
    <w:rPr>
      <w:i/>
      <w:iCs/>
      <w:color w:val="0F4761" w:themeColor="accent1" w:themeShade="BF"/>
    </w:rPr>
  </w:style>
  <w:style w:type="paragraph" w:styleId="IntenseQuote">
    <w:name w:val="Intense Quote"/>
    <w:basedOn w:val="Normal"/>
    <w:next w:val="Normal"/>
    <w:link w:val="IntenseQuoteChar"/>
    <w:uiPriority w:val="30"/>
    <w:qFormat/>
    <w:rsid w:val="006F3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8A0"/>
    <w:rPr>
      <w:i/>
      <w:iCs/>
      <w:color w:val="0F4761" w:themeColor="accent1" w:themeShade="BF"/>
    </w:rPr>
  </w:style>
  <w:style w:type="character" w:styleId="IntenseReference">
    <w:name w:val="Intense Reference"/>
    <w:basedOn w:val="DefaultParagraphFont"/>
    <w:uiPriority w:val="32"/>
    <w:qFormat/>
    <w:rsid w:val="006F38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454</Words>
  <Characters>2593</Characters>
  <Application>Microsoft Office Word</Application>
  <DocSecurity>0</DocSecurity>
  <Lines>21</Lines>
  <Paragraphs>6</Paragraphs>
  <ScaleCrop>false</ScaleCrop>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Jowaria Tariq</dc:creator>
  <cp:keywords/>
  <dc:description/>
  <cp:lastModifiedBy>Jowaria Tariq</cp:lastModifiedBy>
  <cp:revision>2</cp:revision>
  <dcterms:created xsi:type="dcterms:W3CDTF">2025-07-17T08:53:00Z</dcterms:created>
  <dcterms:modified xsi:type="dcterms:W3CDTF">2025-07-17T08:54:00Z</dcterms:modified>
</cp:coreProperties>
</file>