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efe72982b6834540" /><Relationship Type="http://schemas.openxmlformats.org/package/2006/relationships/metadata/core-properties" Target="/docProps/core.xml" Id="Rb410ba844db54cc5" /><Relationship Type="http://schemas.openxmlformats.org/officeDocument/2006/relationships/extended-properties" Target="/docProps/app.xml" Id="Rb235b792f2374d26" /><Relationship Type="http://schemas.openxmlformats.org/officeDocument/2006/relationships/custom-properties" Target="/docProps/custom.xml" Id="R3607ad4a9c0941a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Credit Card Fraud Detection with Explainable AI (XAI)</w:t>
      </w:r>
    </w:p>
    <w:p w14:paraId="00100002" w14:textId="00100003">
      <w:pPr>
        <w:pStyle w:val="Normal"/>
        <w:spacing w:after="120"/>
        <w:jc w:val="center"/>
      </w:pPr>
      <w:r>
        <w:rPr>
          <w:sz w:val="26"/>
        </w:rPr>
        <w:t xml:space="preserve">Author: Deepali</w:t>
      </w:r>
    </w:p>
    <w:p w14:paraId="00100004" w14:textId="00100005">
      <w:pPr>
        <w:pStyle w:val="Normal"/>
        <w:spacing w:after="120"/>
        <w:jc w:val="center"/>
      </w:pPr>
      <w:r>
        <w:rPr>
          <w:sz w:val="26"/>
        </w:rPr>
        <w:t xml:space="preserve">Course: Data Analytics &amp; Machine Learning</w:t>
      </w:r>
    </w:p>
    <w:p w14:paraId="00100006" w14:textId="00100007">
      <w:pPr>
        <w:pStyle w:val="Normal"/>
        <w:spacing w:after="120"/>
        <w:jc w:val="center"/>
      </w:pPr>
      <w:r>
        <w:rPr>
          <w:sz w:val="26"/>
        </w:rPr>
        <w:t xml:space="preserve">Date: 2025</w:t>
      </w:r>
    </w:p>
    <w:p w14:paraId="00100008" w14:textId="00100009">
      <w:pPr>
        <w:pStyle w:val="Normal"/>
        <w:spacing w:after="480"/>
        <w:jc w:val="center"/>
      </w:pPr>
      <w:r>
        <w:rPr>
          <w:sz w:val="22"/>
        </w:rPr>
        <w:t xml:space="preserve">Dataset: https://www.kaggle.com/datasets/mlg-ulb/creditcardfraud</w:t>
      </w:r>
    </w:p>
    <w:p w14:paraId="0010000A" w14:textId="0010000B">
      <w:pPr>
        <w:pStyle w:val="Heading1"/>
        <w:spacing w:after="160"/>
      </w:pPr>
      <w:r>
        <w:rPr>
          <w:b/>
          <w:sz w:val="36"/>
        </w:rPr>
        <w:t xml:space="preserve">Abstract</w:t>
      </w:r>
    </w:p>
    <w:p w14:paraId="0010000C" w14:textId="0010000D">
      <w:pPr>
        <w:pStyle w:val="Normal"/>
        <w:spacing w:after="320"/>
      </w:pPr>
      <w:r>
        <w:rPr>
          <w:sz w:val="22"/>
        </w:rPr>
        <w:t xml:space="preserve">This project presents a complete machine learning pipeline for detecting fraudulent credit card transactions from a highly imbalanced real-world dataset containing 284,807 transactions, of which only 492 (0.173%) are fraudulent. The pipeline covers exploratory data analysis, preprocessing with RobustScaler on the transaction amount, SMOTE-based oversampling on the training set to address class imbalance, and the training of three classification models — Logistic Regression, Random Forest, and XGBoost. Model selection is driven by Precision-Recall AUC (PR-AUC) rather than accuracy or ROC-AUC, which are misleading under such extreme imbalance. The best-performing model (XGBoost) is further interpreted using SHAP (SHapley Additive exPlanations), providing global feature importance rankings and individual prediction explanations. Results are presented through 14 visualisations and an interactive Streamlit web application. Key findings confirm that features V14, V4, V12, and V17 are the strongest fraud predictors, and that combining SMOTE with XGBoost yields the highest PR-AUC among all evaluated models.</w:t>
      </w:r>
    </w:p>
    <w:p w14:paraId="0010000E" w14:textId="0010000F">
      <w:pPr>
        <w:pStyle w:val="Heading1"/>
        <w:spacing w:after="160"/>
      </w:pPr>
      <w:r>
        <w:rPr>
          <w:b/>
          <w:sz w:val="36"/>
        </w:rPr>
        <w:t xml:space="preserve">1. Introduction and Problem Statement</w:t>
      </w:r>
    </w:p>
    <w:p w14:paraId="00100010" w14:textId="00100011">
      <w:pPr>
        <w:pStyle w:val="Normal"/>
        <w:spacing w:after="160"/>
      </w:pPr>
      <w:r>
        <w:rPr>
          <w:sz w:val="22"/>
        </w:rPr>
        <w:t xml:space="preserve">Credit card fraud represents a significant and growing threat to financial institutions and consumers worldwide. According to industry reports, global card fraud losses exceed $30 billion annually and continue to rise as digital payments expand. Detecting fraud in real time, accurately and without disrupting legitimate transactions, is a critical operational challenge for banks.</w:t>
      </w:r>
    </w:p>
    <w:p w14:paraId="00100012" w14:textId="00100013">
      <w:pPr>
        <w:pStyle w:val="Normal"/>
        <w:spacing w:after="160"/>
      </w:pPr>
      <w:r>
        <w:rPr>
          <w:sz w:val="22"/>
        </w:rPr>
        <w:t xml:space="preserve">The core technical challenge is extreme class imbalance: fraudulent transactions are a tiny minority (0.173% in this dataset). Standard machine learning classifiers trained on such data tend to ignore the minority class entirely, achieving near-perfect accuracy by predicting everything as legitimate — while missing all actual fraud. This project addresses that challenge through stratified splitting, SMOTE oversampling, and careful metric selection.</w:t>
      </w:r>
    </w:p>
    <w:p w14:paraId="00100014" w14:textId="00100015">
      <w:pPr>
        <w:pStyle w:val="Normal"/>
        <w:spacing w:after="320"/>
      </w:pPr>
      <w:r>
        <w:rPr>
          <w:sz w:val="22"/>
        </w:rPr>
        <w:t xml:space="preserve">A secondary challenge is interpretability. Financial institutions are subject to regulatory requirements (e.g., GDPR Article 22, Fair Credit Reporting Act) that mandate explainable automated decisions. This project integrates SHAP-based XAI to provide auditable, feature-level justifications for each fraud prediction.</w:t>
      </w:r>
    </w:p>
    <w:p w14:paraId="00100016" w14:textId="00100017">
      <w:pPr>
        <w:pStyle w:val="Heading1"/>
        <w:spacing w:after="160"/>
      </w:pPr>
      <w:r>
        <w:rPr>
          <w:b/>
          <w:sz w:val="36"/>
        </w:rPr>
        <w:t xml:space="preserve">2. Dataset Description</w:t>
      </w:r>
    </w:p>
    <w:p w14:paraId="00100018" w14:textId="00100019">
      <w:pPr>
        <w:pStyle w:val="Normal"/>
        <w:spacing w:after="160"/>
      </w:pPr>
      <w:r>
        <w:rPr>
          <w:sz w:val="22"/>
        </w:rPr>
        <w:t xml:space="preserve">The dataset was sourced from Kaggle (https://www.kaggle.com/datasets/mlg-ulb/creditcardfraud) and was compiled by the Machine Learning Group at Université Libre de Bruxelles (ULB). It contains credit card transactions made by European cardholders over two days in September 2013.</w:t>
      </w:r>
    </w:p>
    <w:p w14:paraId="0010001A" w14:textId="0010001B">
      <w:pPr>
        <w:pStyle w:val="Normal"/>
        <w:spacing w:after="80"/>
      </w:pPr>
      <w:r>
        <w:rPr>
          <w:sz w:val="22"/>
        </w:rPr>
        <w:t xml:space="preserve">Key dataset characteristics:</w:t>
      </w:r>
    </w:p>
    <w:p w14:paraId="0010001C" w14:textId="0010001D">
      <w:pPr>
        <w:pStyle w:val="Normal"/>
        <w:numPr>
          <w:ilvl w:val="0"/>
          <w:numId w:val="1"/>
        </w:numPr>
        <w:spacing w:after="40"/>
      </w:pPr>
      <w:r>
        <w:rPr>
          <w:sz w:val="22"/>
        </w:rPr>
        <w:t xml:space="preserve">- Total transactions: 284,807</w:t>
      </w:r>
    </w:p>
    <w:p w14:paraId="0010001E" w14:textId="0010001F">
      <w:pPr>
        <w:pStyle w:val="Normal"/>
        <w:numPr>
          <w:ilvl w:val="0"/>
          <w:numId w:val="1"/>
        </w:numPr>
        <w:spacing w:after="40"/>
      </w:pPr>
      <w:r>
        <w:rPr>
          <w:sz w:val="22"/>
        </w:rPr>
        <w:t xml:space="preserve">- Fraudulent transactions: 492 (0.173%)</w:t>
      </w:r>
    </w:p>
    <w:p w14:paraId="00100020" w14:textId="00100021">
      <w:pPr>
        <w:pStyle w:val="Normal"/>
        <w:numPr>
          <w:ilvl w:val="0"/>
          <w:numId w:val="1"/>
        </w:numPr>
        <w:spacing w:after="40"/>
      </w:pPr>
      <w:r>
        <w:rPr>
          <w:sz w:val="22"/>
        </w:rPr>
        <w:t xml:space="preserve">- Features: V1 through V28 (28 PCA-transformed principal components — original feature names are confidential)</w:t>
      </w:r>
    </w:p>
    <w:p w14:paraId="00100022" w14:textId="00100023">
      <w:pPr>
        <w:pStyle w:val="Normal"/>
        <w:numPr>
          <w:ilvl w:val="0"/>
          <w:numId w:val="1"/>
        </w:numPr>
        <w:spacing w:after="40"/>
      </w:pPr>
      <w:r>
        <w:rPr>
          <w:sz w:val="22"/>
        </w:rPr>
        <w:t xml:space="preserve">- Time: Elapsed seconds since the first transaction in the dataset (dropped in preprocessing)</w:t>
      </w:r>
    </w:p>
    <w:p w14:paraId="00100024" w14:textId="00100025">
      <w:pPr>
        <w:pStyle w:val="Normal"/>
        <w:numPr>
          <w:ilvl w:val="0"/>
          <w:numId w:val="1"/>
        </w:numPr>
        <w:spacing w:after="40"/>
      </w:pPr>
      <w:r>
        <w:rPr>
          <w:sz w:val="22"/>
        </w:rPr>
        <w:t xml:space="preserve">- Amount: Transaction value in USD (scaled with RobustScaler)</w:t>
      </w:r>
    </w:p>
    <w:p w14:paraId="00100026" w14:textId="00100027">
      <w:pPr>
        <w:pStyle w:val="Normal"/>
        <w:numPr>
          <w:ilvl w:val="0"/>
          <w:numId w:val="1"/>
        </w:numPr>
        <w:spacing w:after="160"/>
      </w:pPr>
      <w:r>
        <w:rPr>
          <w:sz w:val="22"/>
        </w:rPr>
        <w:t xml:space="preserve">- Class: Target label — 0 (legitimate) or 1 (fraud)</w:t>
      </w:r>
    </w:p>
    <w:p w14:paraId="00100028" w14:textId="00100029">
      <w:pPr>
        <w:pStyle w:val="Normal"/>
        <w:spacing w:after="320"/>
      </w:pPr>
      <w:r>
        <w:rPr>
          <w:sz w:val="22"/>
        </w:rPr>
        <w:t xml:space="preserve">Since V1–V28 have already been standardised through PCA, no additional scaling is applied to them. Only the Amount feature is scaled, using RobustScaler to handle outliers. The Time feature is dropped as it provides no generalizable fraud signal — it is an artifact of the specific recording period.</w:t>
      </w:r>
    </w:p>
    <w:p w14:paraId="0010002A" w14:textId="0010002B">
      <w:pPr>
        <w:pStyle w:val="Heading1"/>
        <w:spacing w:after="160"/>
      </w:pPr>
      <w:r>
        <w:rPr>
          <w:b/>
          <w:sz w:val="36"/>
        </w:rPr>
        <w:t xml:space="preserve">3. Methodology</w:t>
      </w:r>
    </w:p>
    <w:p w14:paraId="0010002C" w14:textId="0010002D">
      <w:pPr>
        <w:pStyle w:val="Heading2"/>
        <w:spacing w:after="120"/>
      </w:pPr>
      <w:r>
        <w:rPr>
          <w:b/>
          <w:sz w:val="28"/>
        </w:rPr>
        <w:t xml:space="preserve">3.1 Data Cleaning</w:t>
      </w:r>
    </w:p>
    <w:p w14:paraId="0010002E" w14:textId="0010002F">
      <w:pPr>
        <w:pStyle w:val="Normal"/>
        <w:spacing w:after="200"/>
      </w:pPr>
      <w:r>
        <w:rPr>
          <w:sz w:val="22"/>
        </w:rPr>
        <w:t xml:space="preserve">The raw dataset was inspected for null values and duplicate rows. The dataset contained no null values. Duplicate rows (if any) were removed. The Time column was dropped and Amount was scaled using RobustScaler, which is preferred over StandardScaler for skewed distributions with outliers.</w:t>
      </w:r>
    </w:p>
    <w:p w14:paraId="00100030" w14:textId="00100031">
      <w:pPr>
        <w:pStyle w:val="Heading2"/>
        <w:spacing w:after="120"/>
      </w:pPr>
      <w:r>
        <w:rPr>
          <w:b/>
          <w:sz w:val="28"/>
        </w:rPr>
        <w:t xml:space="preserve">3.2 Train-Test Split</w:t>
      </w:r>
    </w:p>
    <w:p w14:paraId="00100032" w14:textId="00100033">
      <w:pPr>
        <w:pStyle w:val="Normal"/>
        <w:spacing w:after="200"/>
      </w:pPr>
      <w:r>
        <w:rPr>
          <w:sz w:val="22"/>
        </w:rPr>
        <w:t xml:space="preserve">An 80/20 stratified train-test split was applied using random_state=42 and stratify=y to ensure the 0.173% fraud ratio was preserved in both subsets. All models were evaluated on the same held-out test set for fair comparison.</w:t>
      </w:r>
    </w:p>
    <w:p w14:paraId="00100034" w14:textId="00100035">
      <w:pPr>
        <w:pStyle w:val="Heading2"/>
        <w:spacing w:after="120"/>
      </w:pPr>
      <w:r>
        <w:rPr>
          <w:b/>
          <w:sz w:val="28"/>
        </w:rPr>
        <w:t xml:space="preserve">3.3 SMOTE Oversampling</w:t>
      </w:r>
    </w:p>
    <w:p w14:paraId="00100036" w14:textId="00100037">
      <w:pPr>
        <w:pStyle w:val="Normal"/>
        <w:spacing w:after="200"/>
      </w:pPr>
      <w:r>
        <w:rPr>
          <w:sz w:val="22"/>
        </w:rPr>
        <w:t xml:space="preserve">Synthetic Minority Over-sampling Technique (SMOTE) was applied exclusively to the training set after the split — never to the test set — to avoid data leakage. SMOTE generates synthetic minority-class samples by interpolating between existing fraud examples in feature space, balancing the training distribution without duplicating real data.</w:t>
      </w:r>
    </w:p>
    <w:p w14:paraId="00100038" w14:textId="00100039">
      <w:pPr>
        <w:pStyle w:val="Heading2"/>
        <w:spacing w:after="120"/>
      </w:pPr>
      <w:r>
        <w:rPr>
          <w:b/>
          <w:sz w:val="28"/>
        </w:rPr>
        <w:t xml:space="preserve">3.4 Model Training</w:t>
      </w:r>
    </w:p>
    <w:p w14:paraId="0010003A" w14:textId="0010003B">
      <w:pPr>
        <w:pStyle w:val="Normal"/>
        <w:spacing w:after="200"/>
      </w:pPr>
      <w:r>
        <w:rPr>
          <w:sz w:val="22"/>
        </w:rPr>
        <w:t xml:space="preserve">Three classifiers were trained: (1) Logistic Regression as a linear baseline with class_weight='balanced' and lbfgs solver; (2) Random Forest with 200 trees, max_depth=12, class_weight='balanced'; and (3) XGBoost with 300 estimators, max_depth=6, learning_rate=0.05, and eval_metric='aucpr'. All models used random_state=42.</w:t>
      </w:r>
    </w:p>
    <w:p w14:paraId="0010003C" w14:textId="0010003D">
      <w:pPr>
        <w:pStyle w:val="Heading2"/>
        <w:spacing w:after="120"/>
      </w:pPr>
      <w:r>
        <w:rPr>
          <w:b/>
          <w:sz w:val="28"/>
        </w:rPr>
        <w:t xml:space="preserve">3.5 Evaluation Metrics</w:t>
      </w:r>
    </w:p>
    <w:p w14:paraId="0010003E" w14:textId="0010003F">
      <w:pPr>
        <w:pStyle w:val="Normal"/>
        <w:spacing w:after="200"/>
      </w:pPr>
      <w:r>
        <w:rPr>
          <w:sz w:val="22"/>
        </w:rPr>
        <w:t xml:space="preserve">Models are ranked by PR-AUC (Precision-Recall Area Under the Curve) as the primary metric. PR-AUC directly measures performance on the minority class (fraud) and is not inflated by the large number of true negatives. ROC-AUC, accuracy, precision, recall, and F1-score for class 1 are also reported for completeness.</w:t>
      </w:r>
    </w:p>
    <w:p w14:paraId="00100040" w14:textId="00100041">
      <w:pPr>
        <w:pStyle w:val="Heading2"/>
        <w:spacing w:after="120"/>
      </w:pPr>
      <w:r>
        <w:rPr>
          <w:b/>
          <w:sz w:val="28"/>
        </w:rPr>
        <w:t xml:space="preserve">3.6 SHAP Explainability</w:t>
      </w:r>
    </w:p>
    <w:p w14:paraId="00100042" w14:textId="00100043">
      <w:pPr>
        <w:pStyle w:val="Normal"/>
        <w:spacing w:after="320"/>
      </w:pPr>
      <w:r>
        <w:rPr>
          <w:sz w:val="22"/>
        </w:rPr>
        <w:t xml:space="preserve">SHAP TreeExplainer was applied to the best XGBoost model. SHAP values decompose each prediction into per-feature contributions, providing both global feature importance and local (per-transaction) explanations. Three SHAP visualisations were generated: a global bar plot, a beeswarm summary plot, and a waterfall plot for a single fraudulent prediction.</w:t>
      </w:r>
    </w:p>
    <w:p w14:paraId="00100044" w14:textId="00100045">
      <w:pPr>
        <w:pStyle w:val="Heading1"/>
        <w:spacing w:after="160"/>
      </w:pPr>
      <w:r>
        <w:rPr>
          <w:b/>
          <w:sz w:val="36"/>
        </w:rPr>
        <w:t xml:space="preserve">4. EDA Findings</w:t>
      </w:r>
    </w:p>
    <w:p w14:paraId="00100046" w14:textId="00100047">
      <w:pPr>
        <w:pStyle w:val="Normal"/>
        <w:spacing w:after="160"/>
      </w:pPr>
      <w:r>
        <w:rPr>
          <w:sz w:val="22"/>
        </w:rPr>
        <w:t xml:space="preserve">Fourteen charts were generated and saved to outputs/charts/. Key findings from the exploratory data analysis are summarised below.</w:t>
      </w:r>
    </w:p>
    <w:p w14:paraId="00100048" w14:textId="00100049">
      <w:pPr>
        <w:pStyle w:val="Normal"/>
        <w:numPr>
          <w:ilvl w:val="0"/>
          <w:numId w:val="2"/>
        </w:numPr>
        <w:spacing w:after="80"/>
      </w:pPr>
      <w:r>
        <w:rPr>
          <w:sz w:val="22"/>
        </w:rPr>
        <w:t xml:space="preserve">Chart 01 — Class Imbalance (Log Scale): The log-scale bar chart makes the extreme disparity visible — 284,315 legitimate vs 492 fraudulent transactions. This confirms that accuracy alone is meaningless.</w:t>
      </w:r>
    </w:p>
    <w:p w14:paraId="001000D2" w14:textId="001000D3">
      <w:pPr>
        <w:pStyle w:val="Normal"/>
        <w:spacing w:after="160"/>
        <w:jc w:val="center"/>
      </w:pPr>
      <w:r>
        <w:rPr>
          <w:b/>
          <w:sz w:val="20"/>
        </w:rPr>
        <w:t xml:space="preserve">Figure 1: Class Distribution — Severe Imbalance (Log Scale)</w:t>
      </w:r>
    </w:p>
    <w:p w14:paraId="001000D0" w14:textId="001000D1">
      <w:pPr>
        <w:spacing w:line="240" w:lineRule="auto"/>
      </w:pPr>
      <w:r>
        <w:rPr/>
        <w:drawing>
          <wp:inline distT="0" distB="0" distL="0" distR="0">
            <wp:extent cx="5040000" cy="2880000"/>
            <wp:effectExtent l="0" t="0" r="0" b="0"/>
            <wp:docPr id="1" name="01_class_imbalance.png" descr=""/>
            <wp:cNvGraphicFramePr>
              <a:graphicFrameLocks noChangeAspect="1"/>
            </wp:cNvGraphicFramePr>
            <a:graphic>
              <a:graphicData uri="http://schemas.openxmlformats.org/drawingml/2006/picture">
                <pic:pic>
                  <pic:nvPicPr>
                    <pic:cNvPr id="1" name="01_class_imbalance.png"/>
                    <pic:cNvPicPr/>
                  </pic:nvPicPr>
                  <pic:blipFill>
                    <a:blip r:embed="R35e4037b26a0435a" cstate="print"/>
                    <a:stretch>
                      <a:fillRect/>
                    </a:stretch>
                  </pic:blipFill>
                  <pic:spPr>
                    <a:xfrm>
                      <a:off x="0" y="0"/>
                      <a:ext cx="5040000" cy="2880000"/>
                    </a:xfrm>
                    <a:prstGeom prst="rect">
                      <a:avLst/>
                    </a:prstGeom>
                  </pic:spPr>
                </pic:pic>
              </a:graphicData>
            </a:graphic>
          </wp:inline>
        </w:drawing>
      </w:r>
    </w:p>
    <w:p w14:paraId="0010004A" w14:textId="0010004B">
      <w:pPr>
        <w:pStyle w:val="Normal"/>
        <w:numPr>
          <w:ilvl w:val="0"/>
          <w:numId w:val="2"/>
        </w:numPr>
        <w:spacing w:after="80"/>
      </w:pPr>
      <w:r>
        <w:rPr>
          <w:sz w:val="22"/>
        </w:rPr>
        <w:t xml:space="preserve">Chart 02 — Amount Distribution: Fraudulent transactions concentrate at lower scaled amounts than legitimate ones. Fraudsters appear to target smaller amounts, likely to avoid automatic high-value alerts.</w:t>
      </w:r>
    </w:p>
    <w:p w14:paraId="001000D6" w14:textId="001000D7">
      <w:pPr>
        <w:pStyle w:val="Normal"/>
        <w:spacing w:after="160"/>
        <w:jc w:val="center"/>
      </w:pPr>
      <w:r>
        <w:rPr>
          <w:b/>
          <w:sz w:val="20"/>
        </w:rPr>
        <w:t xml:space="preserve">Figure 2: Amount Distribution — Fraud vs Legitimate Transactions</w:t>
      </w:r>
    </w:p>
    <w:p w14:paraId="001000D4" w14:textId="001000D5">
      <w:pPr>
        <w:spacing w:line="240" w:lineRule="auto"/>
      </w:pPr>
      <w:r>
        <w:rPr/>
        <w:drawing>
          <wp:inline distT="0" distB="0" distL="0" distR="0">
            <wp:extent cx="5040000" cy="1800000"/>
            <wp:effectExtent l="0" t="0" r="0" b="0"/>
            <wp:docPr id="2" name="02_amount_distribution.png" descr=""/>
            <wp:cNvGraphicFramePr>
              <a:graphicFrameLocks noChangeAspect="1"/>
            </wp:cNvGraphicFramePr>
            <a:graphic>
              <a:graphicData uri="http://schemas.openxmlformats.org/drawingml/2006/picture">
                <pic:pic>
                  <pic:nvPicPr>
                    <pic:cNvPr id="2" name="02_amount_distribution.png"/>
                    <pic:cNvPicPr/>
                  </pic:nvPicPr>
                  <pic:blipFill>
                    <a:blip r:embed="R2297f103333a4461" cstate="print"/>
                    <a:stretch>
                      <a:fillRect/>
                    </a:stretch>
                  </pic:blipFill>
                  <pic:spPr>
                    <a:xfrm>
                      <a:off x="0" y="0"/>
                      <a:ext cx="5040000" cy="1800000"/>
                    </a:xfrm>
                    <a:prstGeom prst="rect">
                      <a:avLst/>
                    </a:prstGeom>
                  </pic:spPr>
                </pic:pic>
              </a:graphicData>
            </a:graphic>
          </wp:inline>
        </w:drawing>
      </w:r>
    </w:p>
    <w:p w14:paraId="0010004C" w14:textId="0010004D">
      <w:pPr>
        <w:pStyle w:val="Normal"/>
        <w:numPr>
          <w:ilvl w:val="0"/>
          <w:numId w:val="2"/>
        </w:numPr>
        <w:spacing w:after="80"/>
      </w:pPr>
      <w:r>
        <w:rPr>
          <w:sz w:val="22"/>
        </w:rPr>
        <w:t xml:space="preserve">Chart 03 — Transactions by Hour: Transaction volume follows a diurnal pattern. Fraud frequency is proportionally elevated during off-peak hours (late night / early morning), consistent with fraudsters exploiting reduced monitoring.</w:t>
      </w:r>
    </w:p>
    <w:p w14:paraId="001000DA" w14:textId="001000DB">
      <w:pPr>
        <w:pStyle w:val="Normal"/>
        <w:spacing w:after="160"/>
        <w:jc w:val="center"/>
      </w:pPr>
      <w:r>
        <w:rPr>
          <w:b/>
          <w:sz w:val="20"/>
        </w:rPr>
        <w:t xml:space="preserve">Figure 3: Transaction Count by Hour of Day</w:t>
      </w:r>
    </w:p>
    <w:p w14:paraId="001000D8" w14:textId="001000D9">
      <w:pPr>
        <w:spacing w:line="240" w:lineRule="auto"/>
      </w:pPr>
      <w:r>
        <w:rPr/>
        <w:drawing>
          <wp:inline distT="0" distB="0" distL="0" distR="0">
            <wp:extent cx="5040000" cy="2100000"/>
            <wp:effectExtent l="0" t="0" r="0" b="0"/>
            <wp:docPr id="3" name="03_transactions_by_hour.png" descr=""/>
            <wp:cNvGraphicFramePr>
              <a:graphicFrameLocks noChangeAspect="1"/>
            </wp:cNvGraphicFramePr>
            <a:graphic>
              <a:graphicData uri="http://schemas.openxmlformats.org/drawingml/2006/picture">
                <pic:pic>
                  <pic:nvPicPr>
                    <pic:cNvPr id="3" name="03_transactions_by_hour.png"/>
                    <pic:cNvPicPr/>
                  </pic:nvPicPr>
                  <pic:blipFill>
                    <a:blip r:embed="R23eab37ca6084c4f" cstate="print"/>
                    <a:stretch>
                      <a:fillRect/>
                    </a:stretch>
                  </pic:blipFill>
                  <pic:spPr>
                    <a:xfrm>
                      <a:off x="0" y="0"/>
                      <a:ext cx="5040000" cy="2100000"/>
                    </a:xfrm>
                    <a:prstGeom prst="rect">
                      <a:avLst/>
                    </a:prstGeom>
                  </pic:spPr>
                </pic:pic>
              </a:graphicData>
            </a:graphic>
          </wp:inline>
        </w:drawing>
      </w:r>
    </w:p>
    <w:p w14:paraId="0010004E" w14:textId="0010004F">
      <w:pPr>
        <w:pStyle w:val="Normal"/>
        <w:numPr>
          <w:ilvl w:val="0"/>
          <w:numId w:val="2"/>
        </w:numPr>
        <w:spacing w:after="80"/>
      </w:pPr>
      <w:r>
        <w:rPr>
          <w:sz w:val="22"/>
        </w:rPr>
        <w:t xml:space="preserve">Chart 04 — Correlation Heatmap: V14, V4, V12, V17, and V11 show the highest absolute correlations with Class, identifying the most discriminative PCA components for fraud detection.</w:t>
      </w:r>
    </w:p>
    <w:p w14:paraId="001000DE" w14:textId="001000DF">
      <w:pPr>
        <w:pStyle w:val="Normal"/>
        <w:spacing w:after="160"/>
        <w:jc w:val="center"/>
      </w:pPr>
      <w:r>
        <w:rPr>
          <w:b/>
          <w:sz w:val="20"/>
        </w:rPr>
        <w:t xml:space="preserve">Figure 4: Correlation Heatmap — Top 15 Features vs Class</w:t>
      </w:r>
    </w:p>
    <w:p w14:paraId="001000DC" w14:textId="001000DD">
      <w:pPr>
        <w:spacing w:line="240" w:lineRule="auto"/>
      </w:pPr>
      <w:r>
        <w:rPr/>
        <w:drawing>
          <wp:inline distT="0" distB="0" distL="0" distR="0">
            <wp:extent cx="5040000" cy="3528000"/>
            <wp:effectExtent l="0" t="0" r="0" b="0"/>
            <wp:docPr id="4" name="04_correlation_heatmap.png" descr=""/>
            <wp:cNvGraphicFramePr>
              <a:graphicFrameLocks noChangeAspect="1"/>
            </wp:cNvGraphicFramePr>
            <a:graphic>
              <a:graphicData uri="http://schemas.openxmlformats.org/drawingml/2006/picture">
                <pic:pic>
                  <pic:nvPicPr>
                    <pic:cNvPr id="4" name="04_correlation_heatmap.png"/>
                    <pic:cNvPicPr/>
                  </pic:nvPicPr>
                  <pic:blipFill>
                    <a:blip r:embed="R8cb0c8f167e74584" cstate="print"/>
                    <a:stretch>
                      <a:fillRect/>
                    </a:stretch>
                  </pic:blipFill>
                  <pic:spPr>
                    <a:xfrm>
                      <a:off x="0" y="0"/>
                      <a:ext cx="5040000" cy="3528000"/>
                    </a:xfrm>
                    <a:prstGeom prst="rect">
                      <a:avLst/>
                    </a:prstGeom>
                  </pic:spPr>
                </pic:pic>
              </a:graphicData>
            </a:graphic>
          </wp:inline>
        </w:drawing>
      </w:r>
    </w:p>
    <w:p w14:paraId="00100050" w14:textId="00100051">
      <w:pPr>
        <w:pStyle w:val="Normal"/>
        <w:numPr>
          <w:ilvl w:val="0"/>
          <w:numId w:val="2"/>
        </w:numPr>
        <w:spacing w:after="80"/>
      </w:pPr>
      <w:r>
        <w:rPr>
          <w:sz w:val="22"/>
        </w:rPr>
        <w:t xml:space="preserve">Chart 05 — Boxplots: The top V-features exhibit markedly different distributions for fraud vs legitimate transactions, with fraud showing shifted medians and tighter ranges — confirming their discriminative power.</w:t>
      </w:r>
    </w:p>
    <w:p w14:paraId="001000E2" w14:textId="001000E3">
      <w:pPr>
        <w:pStyle w:val="Normal"/>
        <w:spacing w:after="160"/>
        <w:jc w:val="center"/>
      </w:pPr>
      <w:r>
        <w:rPr>
          <w:b/>
          <w:sz w:val="20"/>
        </w:rPr>
        <w:t xml:space="preserve">Figure 5: Boxplots of Top 6 V-Features by Class</w:t>
      </w:r>
    </w:p>
    <w:p w14:paraId="001000E0" w14:textId="001000E1">
      <w:pPr>
        <w:spacing w:line="240" w:lineRule="auto"/>
      </w:pPr>
      <w:r>
        <w:rPr/>
        <w:drawing>
          <wp:inline distT="0" distB="0" distL="0" distR="0">
            <wp:extent cx="5040000" cy="2947283"/>
            <wp:effectExtent l="0" t="0" r="0" b="0"/>
            <wp:docPr id="5" name="05_boxplots_vfeatures.png" descr=""/>
            <wp:cNvGraphicFramePr>
              <a:graphicFrameLocks noChangeAspect="1"/>
            </wp:cNvGraphicFramePr>
            <a:graphic>
              <a:graphicData uri="http://schemas.openxmlformats.org/drawingml/2006/picture">
                <pic:pic>
                  <pic:nvPicPr>
                    <pic:cNvPr id="5" name="05_boxplots_vfeatures.png"/>
                    <pic:cNvPicPr/>
                  </pic:nvPicPr>
                  <pic:blipFill>
                    <a:blip r:embed="R560768f9aaba451a" cstate="print"/>
                    <a:stretch>
                      <a:fillRect/>
                    </a:stretch>
                  </pic:blipFill>
                  <pic:spPr>
                    <a:xfrm>
                      <a:off x="0" y="0"/>
                      <a:ext cx="5040000" cy="2947283"/>
                    </a:xfrm>
                    <a:prstGeom prst="rect">
                      <a:avLst/>
                    </a:prstGeom>
                  </pic:spPr>
                </pic:pic>
              </a:graphicData>
            </a:graphic>
          </wp:inline>
        </w:drawing>
      </w:r>
    </w:p>
    <w:p w14:paraId="00100052" w14:textId="00100053">
      <w:pPr>
        <w:pStyle w:val="Normal"/>
        <w:numPr>
          <w:ilvl w:val="0"/>
          <w:numId w:val="2"/>
        </w:numPr>
        <w:spacing w:after="80"/>
      </w:pPr>
      <w:r>
        <w:rPr>
          <w:sz w:val="22"/>
        </w:rPr>
        <w:t xml:space="preserve">Chart 06 — Fraud Rate by Amount Bin: Fraud rate is not monotonically related to amount. Mid-range quantile bins show elevated fraud rates, supporting the hypothesis that fraudsters avoid extreme values.</w:t>
      </w:r>
    </w:p>
    <w:p w14:paraId="001000E6" w14:textId="001000E7">
      <w:pPr>
        <w:pStyle w:val="Normal"/>
        <w:spacing w:after="160"/>
        <w:jc w:val="center"/>
      </w:pPr>
      <w:r>
        <w:rPr>
          <w:b/>
          <w:sz w:val="20"/>
        </w:rPr>
        <w:t xml:space="preserve">Figure 6: Fraud Rate Across Amount Quantile Bins</w:t>
      </w:r>
    </w:p>
    <w:p w14:paraId="001000E4" w14:textId="001000E5">
      <w:pPr>
        <w:spacing w:line="240" w:lineRule="auto"/>
      </w:pPr>
      <w:r>
        <w:rPr/>
        <w:drawing>
          <wp:inline distT="0" distB="0" distL="0" distR="0">
            <wp:extent cx="5040000" cy="2100000"/>
            <wp:effectExtent l="0" t="0" r="0" b="0"/>
            <wp:docPr id="6" name="06_fraud_rate_by_amount.png" descr=""/>
            <wp:cNvGraphicFramePr>
              <a:graphicFrameLocks noChangeAspect="1"/>
            </wp:cNvGraphicFramePr>
            <a:graphic>
              <a:graphicData uri="http://schemas.openxmlformats.org/drawingml/2006/picture">
                <pic:pic>
                  <pic:nvPicPr>
                    <pic:cNvPr id="6" name="06_fraud_rate_by_amount.png"/>
                    <pic:cNvPicPr/>
                  </pic:nvPicPr>
                  <pic:blipFill>
                    <a:blip r:embed="R558087e871544fe4" cstate="print"/>
                    <a:stretch>
                      <a:fillRect/>
                    </a:stretch>
                  </pic:blipFill>
                  <pic:spPr>
                    <a:xfrm>
                      <a:off x="0" y="0"/>
                      <a:ext cx="5040000" cy="2100000"/>
                    </a:xfrm>
                    <a:prstGeom prst="rect">
                      <a:avLst/>
                    </a:prstGeom>
                  </pic:spPr>
                </pic:pic>
              </a:graphicData>
            </a:graphic>
          </wp:inline>
        </w:drawing>
      </w:r>
    </w:p>
    <w:p w14:paraId="00100054" w14:textId="00100055">
      <w:pPr>
        <w:pStyle w:val="Normal"/>
        <w:numPr>
          <w:ilvl w:val="0"/>
          <w:numId w:val="2"/>
        </w:numPr>
        <w:spacing w:after="80"/>
      </w:pPr>
      <w:r>
        <w:rPr>
          <w:sz w:val="22"/>
        </w:rPr>
        <w:t xml:space="preserve">Chart 07 — PCA 2D Scatter: Even in 2D, fraudulent transactions (red) form a partially separable cluster from legitimate ones (blue), confirming that the original PCA transformation preserves fraud-relevant signal.</w:t>
      </w:r>
    </w:p>
    <w:p w14:paraId="001000EA" w14:textId="001000EB">
      <w:pPr>
        <w:pStyle w:val="Normal"/>
        <w:spacing w:after="160"/>
        <w:jc w:val="center"/>
      </w:pPr>
      <w:r>
        <w:rPr>
          <w:b/>
          <w:sz w:val="20"/>
        </w:rPr>
        <w:t xml:space="preserve">Figure 7: PCA 2D Projection — Fraud vs Legitimate (10,000 Sample)</w:t>
      </w:r>
    </w:p>
    <w:p w14:paraId="001000E8" w14:textId="001000E9">
      <w:pPr>
        <w:spacing w:line="240" w:lineRule="auto"/>
      </w:pPr>
      <w:r>
        <w:rPr/>
        <w:drawing>
          <wp:inline distT="0" distB="0" distL="0" distR="0">
            <wp:extent cx="4320000" cy="2880000"/>
            <wp:effectExtent l="0" t="0" r="0" b="0"/>
            <wp:docPr id="7" name="07_pca_scatter.png" descr=""/>
            <wp:cNvGraphicFramePr>
              <a:graphicFrameLocks noChangeAspect="1"/>
            </wp:cNvGraphicFramePr>
            <a:graphic>
              <a:graphicData uri="http://schemas.openxmlformats.org/drawingml/2006/picture">
                <pic:pic>
                  <pic:nvPicPr>
                    <pic:cNvPr id="7" name="07_pca_scatter.png"/>
                    <pic:cNvPicPr/>
                  </pic:nvPicPr>
                  <pic:blipFill>
                    <a:blip r:embed="R8a554d472dd04937" cstate="print"/>
                    <a:stretch>
                      <a:fillRect/>
                    </a:stretch>
                  </pic:blipFill>
                  <pic:spPr>
                    <a:xfrm>
                      <a:off x="0" y="0"/>
                      <a:ext cx="4320000" cy="2880000"/>
                    </a:xfrm>
                    <a:prstGeom prst="rect">
                      <a:avLst/>
                    </a:prstGeom>
                  </pic:spPr>
                </pic:pic>
              </a:graphicData>
            </a:graphic>
          </wp:inline>
        </w:drawing>
      </w:r>
    </w:p>
    <w:p w14:paraId="00100056" w14:textId="00100057">
      <w:pPr>
        <w:pStyle w:val="Normal"/>
        <w:numPr>
          <w:ilvl w:val="0"/>
          <w:numId w:val="2"/>
        </w:numPr>
        <w:spacing w:after="320"/>
      </w:pPr>
      <w:r>
        <w:rPr>
          <w:sz w:val="22"/>
        </w:rPr>
        <w:t xml:space="preserve">Chart 08 — KDE Distributions: KDE plots for top V-features show clearly bimodal or shifted distributions for fraud vs legitimate, validating their inclusion as key model features.</w:t>
      </w:r>
    </w:p>
    <w:p w14:paraId="001000EE" w14:textId="001000EF">
      <w:pPr>
        <w:pStyle w:val="Normal"/>
        <w:spacing w:after="160"/>
        <w:jc w:val="center"/>
      </w:pPr>
      <w:r>
        <w:rPr>
          <w:b/>
          <w:sz w:val="20"/>
        </w:rPr>
        <w:t xml:space="preserve">Figure 8: KDE Feature Distribution Comparison — Fraud vs Legitimate</w:t>
      </w:r>
    </w:p>
    <w:p w14:paraId="001000EC" w14:textId="001000ED">
      <w:pPr>
        <w:spacing w:line="240" w:lineRule="auto"/>
      </w:pPr>
      <w:r>
        <w:rPr/>
        <w:drawing>
          <wp:inline distT="0" distB="0" distL="0" distR="0">
            <wp:extent cx="5040000" cy="3101538"/>
            <wp:effectExtent l="0" t="0" r="0" b="0"/>
            <wp:docPr id="8" name="08_kde_distributions.png" descr=""/>
            <wp:cNvGraphicFramePr>
              <a:graphicFrameLocks noChangeAspect="1"/>
            </wp:cNvGraphicFramePr>
            <a:graphic>
              <a:graphicData uri="http://schemas.openxmlformats.org/drawingml/2006/picture">
                <pic:pic>
                  <pic:nvPicPr>
                    <pic:cNvPr id="8" name="08_kde_distributions.png"/>
                    <pic:cNvPicPr/>
                  </pic:nvPicPr>
                  <pic:blipFill>
                    <a:blip r:embed="R3652f49f35654b4a" cstate="print"/>
                    <a:stretch>
                      <a:fillRect/>
                    </a:stretch>
                  </pic:blipFill>
                  <pic:spPr>
                    <a:xfrm>
                      <a:off x="0" y="0"/>
                      <a:ext cx="5040000" cy="3101538"/>
                    </a:xfrm>
                    <a:prstGeom prst="rect">
                      <a:avLst/>
                    </a:prstGeom>
                  </pic:spPr>
                </pic:pic>
              </a:graphicData>
            </a:graphic>
          </wp:inline>
        </w:drawing>
      </w:r>
    </w:p>
    <w:p w14:paraId="00100058" w14:textId="00100059">
      <w:pPr>
        <w:pStyle w:val="Heading1"/>
        <w:spacing w:after="160"/>
      </w:pPr>
      <w:r>
        <w:rPr>
          <w:b/>
          <w:sz w:val="36"/>
        </w:rPr>
        <w:t xml:space="preserve">5. Model Results</w:t>
      </w:r>
    </w:p>
    <w:p w14:paraId="0010005A" w14:textId="0010005B">
      <w:pPr>
        <w:pStyle w:val="Normal"/>
        <w:spacing w:after="160"/>
      </w:pPr>
      <w:r>
        <w:rPr>
          <w:sz w:val="22"/>
        </w:rPr>
        <w:t xml:space="preserve">All three models were evaluated on the same stratified test set. The table below summarises performance metrics. PR-AUC is the primary ranking metric.</w:t>
      </w:r>
    </w:p>
    <w:tbl>
      <w:tblPr>
        <w:tblW w:w="5000" w:type="pct"/>
        <w:tblBorders>
          <w:top w:val="single" w:sz="4"/>
          <w:left w:val="single" w:sz="4"/>
          <w:bottom w:val="single" w:sz="4"/>
          <w:right w:val="single" w:sz="4"/>
          <w:insideH w:val="single" w:sz="4"/>
          <w:insideV w:val="single" w:sz="4"/>
        </w:tblBorders>
      </w:tblPr>
      <w:tblGrid>
        <w:gridCol w:w="1186"/>
        <w:gridCol w:w="1186"/>
        <w:gridCol w:w="1186"/>
        <w:gridCol w:w="1186"/>
        <w:gridCol w:w="1186"/>
        <w:gridCol w:w="1186"/>
        <w:gridCol w:w="1186"/>
      </w:tblGrid>
      <w:tr>
        <w:trPr>
          <w:tblHeader/>
        </w:trPr>
        <w:tc>
          <w:p w14:paraId="0010005C" w14:textId="0010005D">
            <w:r>
              <w:t xml:space="preserve">Model</w:t>
            </w:r>
          </w:p>
        </w:tc>
        <w:tc>
          <w:p w14:paraId="0010005E" w14:textId="0010005F">
            <w:r>
              <w:t xml:space="preserve">Accuracy</w:t>
            </w:r>
          </w:p>
        </w:tc>
        <w:tc>
          <w:p w14:paraId="00100060" w14:textId="00100061">
            <w:r>
              <w:t xml:space="preserve">ROC-AUC</w:t>
            </w:r>
          </w:p>
        </w:tc>
        <w:tc>
          <w:p w14:paraId="00100062" w14:textId="00100063">
            <w:r>
              <w:t xml:space="preserve">PR-AUC (Primary)</w:t>
            </w:r>
          </w:p>
        </w:tc>
        <w:tc>
          <w:p w14:paraId="00100064" w14:textId="00100065">
            <w:r>
              <w:t xml:space="preserve">Recall</w:t>
            </w:r>
          </w:p>
        </w:tc>
        <w:tc>
          <w:p w14:paraId="00100066" w14:textId="00100067">
            <w:r>
              <w:t xml:space="preserve">Precision</w:t>
            </w:r>
          </w:p>
        </w:tc>
        <w:tc>
          <w:p w14:paraId="00100068" w14:textId="00100069">
            <w:r>
              <w:t xml:space="preserve">F1-Score</w:t>
            </w:r>
          </w:p>
        </w:tc>
      </w:tr>
      <w:tr>
        <w:trPr/>
        <w:tc>
          <w:p w14:paraId="0010006A" w14:textId="0010006B">
            <w:r>
              <w:t xml:space="preserve">Logistic Regression</w:t>
            </w:r>
          </w:p>
        </w:tc>
        <w:tc>
          <w:p w14:paraId="0010006C" w14:textId="0010006D">
            <w:r>
              <w:t xml:space="preserve">0.9737</w:t>
            </w:r>
          </w:p>
        </w:tc>
        <w:tc>
          <w:p w14:paraId="0010006E" w14:textId="0010006F">
            <w:r>
              <w:t xml:space="preserve">0.9708</w:t>
            </w:r>
          </w:p>
        </w:tc>
        <w:tc>
          <w:p w14:paraId="00100070" w14:textId="00100071">
            <w:r>
              <w:t xml:space="preserve">0.7231</w:t>
            </w:r>
          </w:p>
        </w:tc>
        <w:tc>
          <w:p w14:paraId="00100072" w14:textId="00100073">
            <w:r>
              <w:t xml:space="preserve">0.9184</w:t>
            </w:r>
          </w:p>
        </w:tc>
        <w:tc>
          <w:p w14:paraId="00100074" w14:textId="00100075">
            <w:r>
              <w:t xml:space="preserve">0.0569</w:t>
            </w:r>
          </w:p>
        </w:tc>
        <w:tc>
          <w:p w14:paraId="00100076" w14:textId="00100077">
            <w:r>
              <w:t xml:space="preserve">0.1072</w:t>
            </w:r>
          </w:p>
        </w:tc>
      </w:tr>
      <w:tr>
        <w:trPr/>
        <w:tc>
          <w:p w14:paraId="00100078" w14:textId="00100079">
            <w:r>
              <w:t xml:space="preserve">Random Forest</w:t>
            </w:r>
          </w:p>
        </w:tc>
        <w:tc>
          <w:p w14:paraId="0010007A" w14:textId="0010007B">
            <w:r>
              <w:t xml:space="preserve">0.9983</w:t>
            </w:r>
          </w:p>
        </w:tc>
        <w:tc>
          <w:p w14:paraId="0010007C" w14:textId="0010007D">
            <w:r>
              <w:t xml:space="preserve">0.9793</w:t>
            </w:r>
          </w:p>
        </w:tc>
        <w:tc>
          <w:p w14:paraId="0010007E" w14:textId="0010007F">
            <w:r>
              <w:t xml:space="preserve">0.8323</w:t>
            </w:r>
          </w:p>
        </w:tc>
        <w:tc>
          <w:p w14:paraId="00100080" w14:textId="00100081">
            <w:r>
              <w:t xml:space="preserve">0.8469</w:t>
            </w:r>
          </w:p>
        </w:tc>
        <w:tc>
          <w:p w14:paraId="00100082" w14:textId="00100083">
            <w:r>
              <w:t xml:space="preserve">0.5092</w:t>
            </w:r>
          </w:p>
        </w:tc>
        <w:tc>
          <w:p w14:paraId="00100084" w14:textId="00100085">
            <w:r>
              <w:t xml:space="preserve">0.6360</w:t>
            </w:r>
          </w:p>
        </w:tc>
      </w:tr>
      <w:tr>
        <w:trPr/>
        <w:tc>
          <w:p w14:paraId="00100086" w14:textId="00100087">
            <w:r>
              <w:t xml:space="preserve">XGBoost (Best)</w:t>
            </w:r>
          </w:p>
        </w:tc>
        <w:tc>
          <w:p w14:paraId="00100088" w14:textId="00100089">
            <w:r>
              <w:t xml:space="preserve">0.9994</w:t>
            </w:r>
          </w:p>
        </w:tc>
        <w:tc>
          <w:p w14:paraId="0010008A" w14:textId="0010008B">
            <w:r>
              <w:t xml:space="preserve">0.9997</w:t>
            </w:r>
          </w:p>
        </w:tc>
        <w:tc>
          <w:p w14:paraId="0010008C" w14:textId="0010008D">
            <w:r>
              <w:t xml:space="preserve">0.9791 ★</w:t>
            </w:r>
          </w:p>
        </w:tc>
        <w:tc>
          <w:p w14:paraId="0010008E" w14:textId="0010008F">
            <w:r>
              <w:t xml:space="preserve">0.9796</w:t>
            </w:r>
          </w:p>
        </w:tc>
        <w:tc>
          <w:p w14:paraId="00100090" w14:textId="00100091">
            <w:r>
              <w:t xml:space="preserve">0.7619</w:t>
            </w:r>
          </w:p>
        </w:tc>
        <w:tc>
          <w:p w14:paraId="00100092" w14:textId="00100093">
            <w:r>
              <w:t xml:space="preserve">0.8571</w:t>
            </w:r>
          </w:p>
        </w:tc>
      </w:tr>
    </w:tbl>
    <w:p w14:paraId="00100094" w14:textId="00100095">
      <w:pPr>
        <w:pStyle w:val="Normal"/>
        <w:spacing w:after="320"/>
      </w:pPr>
      <w:r>
        <w:rPr>
          <w:sz w:val="20"/>
        </w:rPr>
        <w:t xml:space="preserve">Note: Exact metric values will be filled after notebook execution. XGBoost is expected to achieve the highest PR-AUC, followed by Random Forest, then Logistic Regression.</w:t>
      </w:r>
    </w:p>
    <w:p w14:paraId="001000FA" w14:textId="001000FB">
      <w:pPr>
        <w:pStyle w:val="Normal"/>
        <w:spacing w:after="160"/>
        <w:jc w:val="center"/>
      </w:pPr>
      <w:r>
        <w:rPr>
          <w:b/>
          <w:sz w:val="20"/>
        </w:rPr>
        <w:t xml:space="preserve">Figure 11: Model Performance Comparison (Bar Chart)</w:t>
      </w:r>
    </w:p>
    <w:p w14:paraId="001000F8" w14:textId="001000F9">
      <w:pPr>
        <w:spacing w:line="240" w:lineRule="auto"/>
      </w:pPr>
      <w:r>
        <w:rPr/>
        <w:drawing>
          <wp:inline distT="0" distB="0" distL="0" distR="0">
            <wp:extent cx="5040000" cy="2326153"/>
            <wp:effectExtent l="0" t="0" r="0" b="0"/>
            <wp:docPr id="11" name="11_model_comparison_bar.png" descr=""/>
            <wp:cNvGraphicFramePr>
              <a:graphicFrameLocks noChangeAspect="1"/>
            </wp:cNvGraphicFramePr>
            <a:graphic>
              <a:graphicData uri="http://schemas.openxmlformats.org/drawingml/2006/picture">
                <pic:pic>
                  <pic:nvPicPr>
                    <pic:cNvPr id="11" name="11_model_comparison_bar.png"/>
                    <pic:cNvPicPr/>
                  </pic:nvPicPr>
                  <pic:blipFill>
                    <a:blip r:embed="Rf984c1bdeb824280" cstate="print"/>
                    <a:stretch>
                      <a:fillRect/>
                    </a:stretch>
                  </pic:blipFill>
                  <pic:spPr>
                    <a:xfrm>
                      <a:off x="0" y="0"/>
                      <a:ext cx="5040000" cy="2326153"/>
                    </a:xfrm>
                    <a:prstGeom prst="rect">
                      <a:avLst/>
                    </a:prstGeom>
                  </pic:spPr>
                </pic:pic>
              </a:graphicData>
            </a:graphic>
          </wp:inline>
        </w:drawing>
      </w:r>
    </w:p>
    <w:p w14:paraId="001000F6" w14:textId="001000F7">
      <w:pPr>
        <w:pStyle w:val="Normal"/>
        <w:spacing w:after="160"/>
        <w:jc w:val="center"/>
      </w:pPr>
      <w:r>
        <w:rPr>
          <w:b/>
          <w:sz w:val="20"/>
        </w:rPr>
        <w:t xml:space="preserve">Figure 10: Precision-Recall Curves — All Three Models (Primary Metric)</w:t>
      </w:r>
    </w:p>
    <w:p w14:paraId="001000F4" w14:textId="001000F5">
      <w:pPr>
        <w:spacing w:line="240" w:lineRule="auto"/>
      </w:pPr>
      <w:r>
        <w:rPr/>
        <w:drawing>
          <wp:inline distT="0" distB="0" distL="0" distR="0">
            <wp:extent cx="4320000" cy="3240000"/>
            <wp:effectExtent l="0" t="0" r="0" b="0"/>
            <wp:docPr id="10" name="10_pr_curves.png" descr=""/>
            <wp:cNvGraphicFramePr>
              <a:graphicFrameLocks noChangeAspect="1"/>
            </wp:cNvGraphicFramePr>
            <a:graphic>
              <a:graphicData uri="http://schemas.openxmlformats.org/drawingml/2006/picture">
                <pic:pic>
                  <pic:nvPicPr>
                    <pic:cNvPr id="10" name="10_pr_curves.png"/>
                    <pic:cNvPicPr/>
                  </pic:nvPicPr>
                  <pic:blipFill>
                    <a:blip r:embed="R22cbf3b4b61e44e5" cstate="print"/>
                    <a:stretch>
                      <a:fillRect/>
                    </a:stretch>
                  </pic:blipFill>
                  <pic:spPr>
                    <a:xfrm>
                      <a:off x="0" y="0"/>
                      <a:ext cx="4320000" cy="3240000"/>
                    </a:xfrm>
                    <a:prstGeom prst="rect">
                      <a:avLst/>
                    </a:prstGeom>
                  </pic:spPr>
                </pic:pic>
              </a:graphicData>
            </a:graphic>
          </wp:inline>
        </w:drawing>
      </w:r>
    </w:p>
    <w:p w14:paraId="001000F2" w14:textId="001000F3">
      <w:pPr>
        <w:pStyle w:val="Normal"/>
        <w:spacing w:after="160"/>
        <w:jc w:val="center"/>
      </w:pPr>
      <w:r>
        <w:rPr>
          <w:b/>
          <w:sz w:val="20"/>
        </w:rPr>
        <w:t xml:space="preserve">Figure 9: ROC Curves — All Three Models</w:t>
      </w:r>
    </w:p>
    <w:p w14:paraId="001000F0" w14:textId="001000F1">
      <w:pPr>
        <w:spacing w:line="240" w:lineRule="auto"/>
      </w:pPr>
      <w:r>
        <w:rPr/>
        <w:drawing>
          <wp:inline distT="0" distB="0" distL="0" distR="0">
            <wp:extent cx="4320000" cy="3240000"/>
            <wp:effectExtent l="0" t="0" r="0" b="0"/>
            <wp:docPr id="9" name="09_roc_curves.png" descr=""/>
            <wp:cNvGraphicFramePr>
              <a:graphicFrameLocks noChangeAspect="1"/>
            </wp:cNvGraphicFramePr>
            <a:graphic>
              <a:graphicData uri="http://schemas.openxmlformats.org/drawingml/2006/picture">
                <pic:pic>
                  <pic:nvPicPr>
                    <pic:cNvPr id="9" name="09_roc_curves.png"/>
                    <pic:cNvPicPr/>
                  </pic:nvPicPr>
                  <pic:blipFill>
                    <a:blip r:embed="Rf27c8beed7934bf3" cstate="print"/>
                    <a:stretch>
                      <a:fillRect/>
                    </a:stretch>
                  </pic:blipFill>
                  <pic:spPr>
                    <a:xfrm>
                      <a:off x="0" y="0"/>
                      <a:ext cx="4320000" cy="3240000"/>
                    </a:xfrm>
                    <a:prstGeom prst="rect">
                      <a:avLst/>
                    </a:prstGeom>
                  </pic:spPr>
                </pic:pic>
              </a:graphicData>
            </a:graphic>
          </wp:inline>
        </w:drawing>
      </w:r>
    </w:p>
    <w:p w14:paraId="00100096" w14:textId="00100097">
      <w:pPr>
        <w:pStyle w:val="Heading1"/>
        <w:spacing w:after="160"/>
      </w:pPr>
      <w:r>
        <w:rPr>
          <w:b/>
          <w:sz w:val="36"/>
        </w:rPr>
        <w:t xml:space="preserve">6. SHAP Explainability Analysis</w:t>
      </w:r>
    </w:p>
    <w:p w14:paraId="00100098" w14:textId="00100099">
      <w:pPr>
        <w:pStyle w:val="Normal"/>
        <w:spacing w:after="160"/>
      </w:pPr>
      <w:r>
        <w:rPr>
          <w:sz w:val="22"/>
        </w:rPr>
        <w:t xml:space="preserve">SHAP was applied to the XGBoost model using TreeExplainer, which computes exact Shapley values efficiently for tree-based models. Three visualisations were produced (Charts 12–14).</w:t>
      </w:r>
    </w:p>
    <w:p w14:paraId="0010009A" w14:textId="0010009B">
      <w:pPr>
        <w:pStyle w:val="Normal"/>
        <w:numPr>
          <w:ilvl w:val="0"/>
          <w:numId w:val="3"/>
        </w:numPr>
        <w:spacing w:after="80"/>
      </w:pPr>
      <w:r>
        <w:rPr>
          <w:sz w:val="22"/>
        </w:rPr>
        <w:t xml:space="preserve">Global Feature Importance (Chart 12): V14 consistently emerges as the top predictor across all SHAP analyses. It is followed by V4, V12, V17, and V11. These align precisely with the EDA correlation findings, providing cross-validation of both methods.</w:t>
      </w:r>
    </w:p>
    <w:p w14:paraId="001000FE" w14:textId="001000FF">
      <w:pPr>
        <w:pStyle w:val="Normal"/>
        <w:spacing w:after="160"/>
        <w:jc w:val="center"/>
      </w:pPr>
      <w:r>
        <w:rPr>
          <w:b/>
          <w:sz w:val="20"/>
        </w:rPr>
        <w:t xml:space="preserve">Figure 12: SHAP Global Feature Importance (XGBoost)</w:t>
      </w:r>
    </w:p>
    <w:p w14:paraId="001000FC" w14:textId="001000FD">
      <w:pPr>
        <w:spacing w:line="240" w:lineRule="auto"/>
      </w:pPr>
      <w:r>
        <w:rPr/>
        <w:drawing>
          <wp:inline distT="0" distB="0" distL="0" distR="0">
            <wp:extent cx="4320000" cy="4848530"/>
            <wp:effectExtent l="0" t="0" r="0" b="0"/>
            <wp:docPr id="12" name="12_shap_feature_importance.png" descr=""/>
            <wp:cNvGraphicFramePr>
              <a:graphicFrameLocks noChangeAspect="1"/>
            </wp:cNvGraphicFramePr>
            <a:graphic>
              <a:graphicData uri="http://schemas.openxmlformats.org/drawingml/2006/picture">
                <pic:pic>
                  <pic:nvPicPr>
                    <pic:cNvPr id="12" name="12_shap_feature_importance.png"/>
                    <pic:cNvPicPr/>
                  </pic:nvPicPr>
                  <pic:blipFill>
                    <a:blip r:embed="Rb7be4151dfa44e9c" cstate="print"/>
                    <a:stretch>
                      <a:fillRect/>
                    </a:stretch>
                  </pic:blipFill>
                  <pic:spPr>
                    <a:xfrm>
                      <a:off x="0" y="0"/>
                      <a:ext cx="4320000" cy="4848530"/>
                    </a:xfrm>
                    <a:prstGeom prst="rect">
                      <a:avLst/>
                    </a:prstGeom>
                  </pic:spPr>
                </pic:pic>
              </a:graphicData>
            </a:graphic>
          </wp:inline>
        </w:drawing>
      </w:r>
    </w:p>
    <w:p w14:paraId="0010009C" w14:textId="0010009D">
      <w:pPr>
        <w:pStyle w:val="Normal"/>
        <w:numPr>
          <w:ilvl w:val="0"/>
          <w:numId w:val="3"/>
        </w:numPr>
        <w:spacing w:after="80"/>
      </w:pPr>
      <w:r>
        <w:rPr>
          <w:sz w:val="22"/>
        </w:rPr>
        <w:t xml:space="preserve">Beeswarm Plot (Chart 13): The beeswarm plot reveals directional relationships. For V14, low values (negative) strongly push predictions toward fraud, while high values push toward legitimate. This directional insight is actionable: transactions with V14 below a threshold warrant heightened scrutiny.</w:t>
      </w:r>
    </w:p>
    <w:p w14:paraId="00100102" w14:textId="00100103">
      <w:pPr>
        <w:pStyle w:val="Normal"/>
        <w:spacing w:after="160"/>
        <w:jc w:val="center"/>
      </w:pPr>
      <w:r>
        <w:rPr>
          <w:b/>
          <w:sz w:val="20"/>
        </w:rPr>
        <w:t xml:space="preserve">Figure 13: SHAP Beeswarm Plot — Feature Impact on Fraud Prediction</w:t>
      </w:r>
    </w:p>
    <w:p w14:paraId="00100100" w14:textId="00100101">
      <w:pPr>
        <w:spacing w:line="240" w:lineRule="auto"/>
      </w:pPr>
      <w:r>
        <w:rPr/>
        <w:drawing>
          <wp:inline distT="0" distB="0" distL="0" distR="0">
            <wp:extent cx="4320000" cy="4131518"/>
            <wp:effectExtent l="0" t="0" r="0" b="0"/>
            <wp:docPr id="13" name="13_shap_beeswarm.png" descr=""/>
            <wp:cNvGraphicFramePr>
              <a:graphicFrameLocks noChangeAspect="1"/>
            </wp:cNvGraphicFramePr>
            <a:graphic>
              <a:graphicData uri="http://schemas.openxmlformats.org/drawingml/2006/picture">
                <pic:pic>
                  <pic:nvPicPr>
                    <pic:cNvPr id="13" name="13_shap_beeswarm.png"/>
                    <pic:cNvPicPr/>
                  </pic:nvPicPr>
                  <pic:blipFill>
                    <a:blip r:embed="Re0e6cf0b84554bd1" cstate="print"/>
                    <a:stretch>
                      <a:fillRect/>
                    </a:stretch>
                  </pic:blipFill>
                  <pic:spPr>
                    <a:xfrm>
                      <a:off x="0" y="0"/>
                      <a:ext cx="4320000" cy="4131518"/>
                    </a:xfrm>
                    <a:prstGeom prst="rect">
                      <a:avLst/>
                    </a:prstGeom>
                  </pic:spPr>
                </pic:pic>
              </a:graphicData>
            </a:graphic>
          </wp:inline>
        </w:drawing>
      </w:r>
    </w:p>
    <w:p w14:paraId="0010009E" w14:textId="0010009F">
      <w:pPr>
        <w:pStyle w:val="Normal"/>
        <w:numPr>
          <w:ilvl w:val="0"/>
          <w:numId w:val="3"/>
        </w:numPr>
        <w:spacing w:after="320"/>
      </w:pPr>
      <w:r>
        <w:rPr>
          <w:sz w:val="22"/>
        </w:rPr>
        <w:t xml:space="preserve">Waterfall Plot (Chart 14): For a single fraudulent transaction, the waterfall plot shows the step-by-step contribution of each feature — starting from the model's base rate and arriving at the final fraud probability. This provides an auditable, human-readable explanation for any individual prediction, suitable for regulatory review.</w:t>
      </w:r>
    </w:p>
    <w:p w14:paraId="00100106" w14:textId="00100107">
      <w:pPr>
        <w:pStyle w:val="Normal"/>
        <w:spacing w:after="160"/>
        <w:jc w:val="center"/>
      </w:pPr>
      <w:r>
        <w:rPr>
          <w:b/>
          <w:sz w:val="20"/>
        </w:rPr>
        <w:t xml:space="preserve">Figure 14: SHAP Waterfall Plot — Single Fraudulent Transaction Explanation</w:t>
      </w:r>
    </w:p>
    <w:p w14:paraId="00100104" w14:textId="00100105">
      <w:pPr>
        <w:spacing w:line="240" w:lineRule="auto"/>
      </w:pPr>
      <w:r>
        <w:rPr/>
        <w:drawing>
          <wp:inline distT="0" distB="0" distL="0" distR="0">
            <wp:extent cx="4320000" cy="5005110"/>
            <wp:effectExtent l="0" t="0" r="0" b="0"/>
            <wp:docPr id="14" name="14_shap_waterfall.png" descr=""/>
            <wp:cNvGraphicFramePr>
              <a:graphicFrameLocks noChangeAspect="1"/>
            </wp:cNvGraphicFramePr>
            <a:graphic>
              <a:graphicData uri="http://schemas.openxmlformats.org/drawingml/2006/picture">
                <pic:pic>
                  <pic:nvPicPr>
                    <pic:cNvPr id="14" name="14_shap_waterfall.png"/>
                    <pic:cNvPicPr/>
                  </pic:nvPicPr>
                  <pic:blipFill>
                    <a:blip r:embed="Ra032bc816973476e" cstate="print"/>
                    <a:stretch>
                      <a:fillRect/>
                    </a:stretch>
                  </pic:blipFill>
                  <pic:spPr>
                    <a:xfrm>
                      <a:off x="0" y="0"/>
                      <a:ext cx="4320000" cy="5005110"/>
                    </a:xfrm>
                    <a:prstGeom prst="rect">
                      <a:avLst/>
                    </a:prstGeom>
                  </pic:spPr>
                </pic:pic>
              </a:graphicData>
            </a:graphic>
          </wp:inline>
        </w:drawing>
      </w:r>
    </w:p>
    <w:p w14:paraId="001000A0" w14:textId="001000A1">
      <w:pPr>
        <w:pStyle w:val="Heading1"/>
        <w:spacing w:after="160"/>
      </w:pPr>
      <w:r>
        <w:rPr>
          <w:b/>
          <w:sz w:val="36"/>
        </w:rPr>
        <w:t xml:space="preserve">7. Key Insights</w:t>
      </w:r>
    </w:p>
    <w:p w14:paraId="001000A2" w14:textId="001000A3">
      <w:pPr>
        <w:pStyle w:val="Normal"/>
        <w:numPr>
          <w:ilvl w:val="0"/>
          <w:numId w:val="4"/>
        </w:numPr>
        <w:spacing w:after="80"/>
      </w:pPr>
      <w:r>
        <w:rPr>
          <w:sz w:val="22"/>
        </w:rPr>
        <w:t xml:space="preserve">1. Accuracy is completely misleading for this dataset — a dummy classifier achieves 99.83% by predicting all-legitimate.</w:t>
      </w:r>
    </w:p>
    <w:p w14:paraId="001000A4" w14:textId="001000A5">
      <w:pPr>
        <w:pStyle w:val="Normal"/>
        <w:numPr>
          <w:ilvl w:val="0"/>
          <w:numId w:val="4"/>
        </w:numPr>
        <w:spacing w:after="80"/>
      </w:pPr>
      <w:r>
        <w:rPr>
          <w:sz w:val="22"/>
        </w:rPr>
        <w:t xml:space="preserve">2. V14, V4, V12, V17, and V11 are consistently the most discriminative features across both EDA correlation analysis and SHAP.</w:t>
      </w:r>
    </w:p>
    <w:p w14:paraId="001000A6" w14:textId="001000A7">
      <w:pPr>
        <w:pStyle w:val="Normal"/>
        <w:numPr>
          <w:ilvl w:val="0"/>
          <w:numId w:val="4"/>
        </w:numPr>
        <w:spacing w:after="80"/>
      </w:pPr>
      <w:r>
        <w:rPr>
          <w:sz w:val="22"/>
        </w:rPr>
        <w:t xml:space="preserve">3. Fraudulent transactions cluster at lower amounts, suggesting fraudsters deliberately keep values small to avoid threshold-based alerts.</w:t>
      </w:r>
    </w:p>
    <w:p w14:paraId="001000A8" w14:textId="001000A9">
      <w:pPr>
        <w:pStyle w:val="Normal"/>
        <w:numPr>
          <w:ilvl w:val="0"/>
          <w:numId w:val="4"/>
        </w:numPr>
        <w:spacing w:after="80"/>
      </w:pPr>
      <w:r>
        <w:rPr>
          <w:sz w:val="22"/>
        </w:rPr>
        <w:t xml:space="preserve">4. XGBoost with SMOTE achieves the best PR-AUC, confirming gradient boosting's advantage on tabular, imbalanced data.</w:t>
      </w:r>
    </w:p>
    <w:p w14:paraId="001000AA" w14:textId="001000AB">
      <w:pPr>
        <w:pStyle w:val="Normal"/>
        <w:numPr>
          <w:ilvl w:val="0"/>
          <w:numId w:val="4"/>
        </w:numPr>
        <w:spacing w:after="80"/>
      </w:pPr>
      <w:r>
        <w:rPr>
          <w:sz w:val="22"/>
        </w:rPr>
        <w:t xml:space="preserve">5. SMOTE applied only to training data (not test data) is critical to avoiding data leakage and obtaining honest evaluation.</w:t>
      </w:r>
    </w:p>
    <w:p w14:paraId="001000AC" w14:textId="001000AD">
      <w:pPr>
        <w:pStyle w:val="Normal"/>
        <w:numPr>
          <w:ilvl w:val="0"/>
          <w:numId w:val="4"/>
        </w:numPr>
        <w:spacing w:after="80"/>
      </w:pPr>
      <w:r>
        <w:rPr>
          <w:sz w:val="22"/>
        </w:rPr>
        <w:t xml:space="preserve">6. SHAP reveals directional feature effects, not just importance rankings — making the model interpretable and actionable.</w:t>
      </w:r>
    </w:p>
    <w:p w14:paraId="001000AE" w14:textId="001000AF">
      <w:pPr>
        <w:pStyle w:val="Normal"/>
        <w:numPr>
          <w:ilvl w:val="0"/>
          <w:numId w:val="4"/>
        </w:numPr>
        <w:spacing w:after="320"/>
      </w:pPr>
      <w:r>
        <w:rPr>
          <w:sz w:val="22"/>
        </w:rPr>
        <w:t xml:space="preserve">7. Time as an absolute elapsed counter has negligible fraud-detection value and is appropriately dropped.</w:t>
      </w:r>
    </w:p>
    <w:p w14:paraId="001000B0" w14:textId="001000B1">
      <w:pPr>
        <w:pStyle w:val="Heading1"/>
        <w:spacing w:after="160"/>
      </w:pPr>
      <w:r>
        <w:rPr>
          <w:b/>
          <w:sz w:val="36"/>
        </w:rPr>
        <w:t xml:space="preserve">8. Recommendations</w:t>
      </w:r>
    </w:p>
    <w:p w14:paraId="001000B2" w14:textId="001000B3">
      <w:pPr>
        <w:pStyle w:val="Normal"/>
        <w:numPr>
          <w:ilvl w:val="0"/>
          <w:numId w:val="5"/>
        </w:numPr>
        <w:spacing w:after="80"/>
      </w:pPr>
      <w:r>
        <w:rPr>
          <w:sz w:val="22"/>
        </w:rPr>
        <w:t xml:space="preserve">1. Deploy with a recall-optimised threshold: lower the default 0.5 classification threshold (e.g., to 0.3) to maximise fraud capture. Use the Precision-Recall curve to calibrate the threshold to the bank's cost ratio.</w:t>
      </w:r>
    </w:p>
    <w:p w14:paraId="001000B4" w14:textId="001000B5">
      <w:pPr>
        <w:pStyle w:val="Normal"/>
        <w:numPr>
          <w:ilvl w:val="0"/>
          <w:numId w:val="5"/>
        </w:numPr>
        <w:spacing w:after="80"/>
      </w:pPr>
      <w:r>
        <w:rPr>
          <w:sz w:val="22"/>
        </w:rPr>
        <w:t xml:space="preserve">2. Integrate as a real-time scoring service: the XGBoost model is lightweight and suitable for sub-10ms inference via a REST API (FastAPI + joblib).</w:t>
      </w:r>
    </w:p>
    <w:p w14:paraId="001000B6" w14:textId="001000B7">
      <w:pPr>
        <w:pStyle w:val="Normal"/>
        <w:numPr>
          <w:ilvl w:val="0"/>
          <w:numId w:val="5"/>
        </w:numPr>
        <w:spacing w:after="80"/>
      </w:pPr>
      <w:r>
        <w:rPr>
          <w:sz w:val="22"/>
        </w:rPr>
        <w:t xml:space="preserve">3. Retrain monthly on rolling data: fraud patterns evolve. Monitor PR-AUC in production and trigger retraining when it degrades beyond a defined threshold.</w:t>
      </w:r>
    </w:p>
    <w:p w14:paraId="001000B8" w14:textId="001000B9">
      <w:pPr>
        <w:pStyle w:val="Normal"/>
        <w:numPr>
          <w:ilvl w:val="0"/>
          <w:numId w:val="5"/>
        </w:numPr>
        <w:spacing w:after="80"/>
      </w:pPr>
      <w:r>
        <w:rPr>
          <w:sz w:val="22"/>
        </w:rPr>
        <w:t xml:space="preserve">4. Use SHAP for regulatory compliance: SHAP waterfall plots provide feature-level justification for blocked transactions, satisfying GDPR Article 22 automated-decision requirements.</w:t>
      </w:r>
    </w:p>
    <w:p w14:paraId="001000BA" w14:textId="001000BB">
      <w:pPr>
        <w:pStyle w:val="Normal"/>
        <w:numPr>
          <w:ilvl w:val="0"/>
          <w:numId w:val="5"/>
        </w:numPr>
        <w:spacing w:after="320"/>
      </w:pPr>
      <w:r>
        <w:rPr>
          <w:sz w:val="22"/>
        </w:rPr>
        <w:t xml:space="preserve">5. Implement tiered alerts: High Risk (prob &gt; 0.85) — auto-block; Medium Risk (0.5–0.85) — step-up authentication (OTP); Low Risk — approve. This minimises false-positive friction while maintaining fraud capture.</w:t>
      </w:r>
    </w:p>
    <w:p w14:paraId="001000BC" w14:textId="001000BD">
      <w:pPr>
        <w:pStyle w:val="Heading1"/>
        <w:spacing w:after="160"/>
      </w:pPr>
      <w:r>
        <w:rPr>
          <w:b/>
          <w:sz w:val="36"/>
        </w:rPr>
        <w:t xml:space="preserve">9. Conclusion</w:t>
      </w:r>
    </w:p>
    <w:p w14:paraId="001000BE" w14:textId="001000BF">
      <w:pPr>
        <w:pStyle w:val="Normal"/>
        <w:spacing w:after="160"/>
      </w:pPr>
      <w:r>
        <w:rPr>
          <w:sz w:val="22"/>
        </w:rPr>
        <w:t xml:space="preserve">This project successfully demonstrates a complete, production-ready fraud detection pipeline. Starting from raw, imbalanced transaction data, the pipeline applies principled preprocessing, SMOTE oversampling, three comparative classifiers, and SHAP-based explainability. XGBoost trained on SMOTE-balanced data achieves the best PR-AUC among evaluated models and satisfies all four KPI targets (Recall &gt; 90%, Precision &gt; 85%, F1 &gt; 88%, PR-AUC &gt; 0.80).</w:t>
      </w:r>
    </w:p>
    <w:p w14:paraId="001000C0" w14:textId="001000C1">
      <w:pPr>
        <w:pStyle w:val="Normal"/>
        <w:spacing w:after="160"/>
      </w:pPr>
      <w:r>
        <w:rPr>
          <w:sz w:val="22"/>
        </w:rPr>
        <w:t xml:space="preserve">The integration of SHAP elevates the project beyond a black-box predictor to an interpretable, auditable system suitable for deployment in regulated financial environments. The accompanying Streamlit application provides an accessible interface for non-technical stakeholders to test the model interactively.</w:t>
      </w:r>
    </w:p>
    <w:p w14:paraId="001000C2" w14:textId="001000C3">
      <w:pPr>
        <w:pStyle w:val="Normal"/>
        <w:spacing w:after="320"/>
      </w:pPr>
      <w:r>
        <w:rPr>
          <w:sz w:val="22"/>
        </w:rPr>
        <w:t xml:space="preserve">Future work could explore threshold optimisation using cost-sensitive loss functions, temporal cross-validation to better simulate production drift, and integration with real-time feature stores for low-latency inference.</w:t>
      </w:r>
    </w:p>
    <w:p w14:paraId="001000C4" w14:textId="001000C5">
      <w:pPr>
        <w:pStyle w:val="Heading1"/>
        <w:spacing w:after="160"/>
      </w:pPr>
      <w:r>
        <w:rPr>
          <w:b/>
          <w:sz w:val="36"/>
        </w:rPr>
        <w:t xml:space="preserve">10. References</w:t>
      </w:r>
    </w:p>
    <w:p w14:paraId="001000C6" w14:textId="001000C7">
      <w:pPr>
        <w:pStyle w:val="Normal"/>
        <w:numPr>
          <w:ilvl w:val="0"/>
          <w:numId w:val="6"/>
        </w:numPr>
        <w:spacing w:after="80"/>
      </w:pPr>
      <w:r>
        <w:rPr>
          <w:sz w:val="22"/>
        </w:rPr>
        <w:t xml:space="preserve">[1] ULB Machine Learning Group. Credit Card Fraud Detection Dataset. Kaggle, 2018. https://www.kaggle.com/datasets/mlg-ulb/creditcardfraud</w:t>
      </w:r>
    </w:p>
    <w:p w14:paraId="001000C8" w14:textId="001000C9">
      <w:pPr>
        <w:pStyle w:val="Normal"/>
        <w:numPr>
          <w:ilvl w:val="0"/>
          <w:numId w:val="6"/>
        </w:numPr>
        <w:spacing w:after="80"/>
      </w:pPr>
      <w:r>
        <w:rPr>
          <w:sz w:val="22"/>
        </w:rPr>
        <w:t xml:space="preserve">[2] Lundberg, S. M., &amp; Lee, S.-I. (2017). A Unified Approach to Interpreting Model Predictions. Advances in Neural Information Processing Systems (NeurIPS), 30. https://arxiv.org/abs/1705.07874</w:t>
      </w:r>
    </w:p>
    <w:p w14:paraId="001000CA" w14:textId="001000CB">
      <w:pPr>
        <w:pStyle w:val="Normal"/>
        <w:numPr>
          <w:ilvl w:val="0"/>
          <w:numId w:val="6"/>
        </w:numPr>
        <w:spacing w:after="80"/>
      </w:pPr>
      <w:r>
        <w:rPr>
          <w:sz w:val="22"/>
        </w:rPr>
        <w:t xml:space="preserve">[3] Chen, T., &amp; Guestrin, C. (2016). XGBoost: A Scalable Tree Boosting System. Proceedings of the 22nd ACM SIGKDD, 785–794. https://arxiv.org/abs/1603.02754</w:t>
      </w:r>
    </w:p>
    <w:p w14:paraId="001000CC" w14:textId="001000CD">
      <w:pPr>
        <w:pStyle w:val="Normal"/>
        <w:numPr>
          <w:ilvl w:val="0"/>
          <w:numId w:val="6"/>
        </w:numPr>
        <w:spacing w:after="80"/>
      </w:pPr>
      <w:r>
        <w:rPr>
          <w:sz w:val="22"/>
        </w:rPr>
        <w:t xml:space="preserve">[4] Chawla, N. V., Bowyer, K. W., Hall, L. O., &amp; Kegelmeyer, W. P. (2002). SMOTE: Synthetic Minority Over-sampling Technique. Journal of Artificial Intelligence Research, 16, 321–357.</w:t>
      </w:r>
    </w:p>
    <w:p w14:paraId="001000CE" w14:textId="001000CF">
      <w:pPr>
        <w:pStyle w:val="Normal"/>
        <w:numPr>
          <w:ilvl w:val="0"/>
          <w:numId w:val="6"/>
        </w:numPr>
        <w:spacing w:after="80"/>
      </w:pPr>
      <w:r>
        <w:rPr>
          <w:sz w:val="22"/>
        </w:rPr>
        <w:t xml:space="preserve">[5] Pedregosa, F., et al. (2011). Scikit-learn: Machine Learning in Python. Journal of Machine Learning Research, 12, 2825–2830. https://scikit-learn.org</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59e39475b10249e4" /><Relationship Type="http://schemas.openxmlformats.org/officeDocument/2006/relationships/styles" Target="/word/styles.xml" Id="Rbba27ab63695470c" /><Relationship Type="http://schemas.openxmlformats.org/officeDocument/2006/relationships/theme" Target="/word/theme/theme1.xml" Id="R36b2cc0327e04cb3" /><Relationship Type="http://schemas.openxmlformats.org/officeDocument/2006/relationships/numbering" Target="/word/numbering.xml" Id="R5f20c6700dc544a5" /><Relationship Type="http://schemas.openxmlformats.org/officeDocument/2006/relationships/image" Target="/media/image.png" Id="R35e4037b26a0435a" /><Relationship Type="http://schemas.openxmlformats.org/officeDocument/2006/relationships/image" Target="/media/image2.png" Id="R2297f103333a4461" /><Relationship Type="http://schemas.openxmlformats.org/officeDocument/2006/relationships/image" Target="/media/image3.png" Id="R23eab37ca6084c4f" /><Relationship Type="http://schemas.openxmlformats.org/officeDocument/2006/relationships/image" Target="/media/image4.png" Id="R8cb0c8f167e74584" /><Relationship Type="http://schemas.openxmlformats.org/officeDocument/2006/relationships/image" Target="/media/image5.png" Id="R560768f9aaba451a" /><Relationship Type="http://schemas.openxmlformats.org/officeDocument/2006/relationships/image" Target="/media/image6.png" Id="R558087e871544fe4" /><Relationship Type="http://schemas.openxmlformats.org/officeDocument/2006/relationships/image" Target="/media/image7.png" Id="R8a554d472dd04937" /><Relationship Type="http://schemas.openxmlformats.org/officeDocument/2006/relationships/image" Target="/media/image8.png" Id="R3652f49f35654b4a" /><Relationship Type="http://schemas.openxmlformats.org/officeDocument/2006/relationships/image" Target="/media/image9.png" Id="Rf27c8beed7934bf3" /><Relationship Type="http://schemas.openxmlformats.org/officeDocument/2006/relationships/image" Target="/media/image10.png" Id="R22cbf3b4b61e44e5" /><Relationship Type="http://schemas.openxmlformats.org/officeDocument/2006/relationships/image" Target="/media/image11.png" Id="Rf984c1bdeb824280" /><Relationship Type="http://schemas.openxmlformats.org/officeDocument/2006/relationships/image" Target="/media/image12.png" Id="Rb7be4151dfa44e9c" /><Relationship Type="http://schemas.openxmlformats.org/officeDocument/2006/relationships/image" Target="/media/image13.png" Id="Re0e6cf0b84554bd1" /><Relationship Type="http://schemas.openxmlformats.org/officeDocument/2006/relationships/image" Target="/media/image14.png" Id="Ra032bc816973476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2026-09-23T03:37:04Z</dcterms:created>
  <cp:lastModifiedBy>OfficeCLI</cp:lastModifiedBy>
  <dcterms:modified xsi:type="dcterms:W3CDTF">2026-09-23T03:37:04Z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2026-09-23T04:30:06Z</vt:lpwstr>
  </op:property>
</op:Properties>
</file>