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319F5"/>
    <w:p w14:paraId="538DB442">
      <w:pPr>
        <w:pStyle w:val="36"/>
        <w:jc w:val="center"/>
      </w:pPr>
      <w:r>
        <w:t>Student Academic Performance Analysis</w:t>
      </w:r>
    </w:p>
    <w:p w14:paraId="3533CDEF">
      <w:pPr>
        <w:jc w:val="center"/>
      </w:pPr>
      <w:r>
        <w:rPr>
          <w:i/>
          <w:color w:val="57606A"/>
          <w:sz w:val="26"/>
        </w:rPr>
        <w:t>A Data-Driven Exploration of Factors Influencing</w:t>
      </w:r>
      <w:r>
        <w:rPr>
          <w:i/>
          <w:color w:val="57606A"/>
          <w:sz w:val="26"/>
        </w:rPr>
        <w:br w:type="textWrapping"/>
      </w:r>
      <w:r>
        <w:rPr>
          <w:i/>
          <w:color w:val="57606A"/>
          <w:sz w:val="26"/>
        </w:rPr>
        <w:t>Student Achievement and Placement Outcomes</w:t>
      </w:r>
    </w:p>
    <w:p w14:paraId="448EC40A"/>
    <w:p w14:paraId="6524541F">
      <w:pPr>
        <w:jc w:val="center"/>
        <w:rPr>
          <w:rFonts w:hint="default"/>
          <w:b w:val="0"/>
          <w:bCs/>
          <w:lang w:val="en-IN"/>
        </w:rPr>
      </w:pPr>
      <w:r>
        <w:rPr>
          <w:b/>
          <w:sz w:val="22"/>
        </w:rPr>
        <w:t>Prepared by</w:t>
      </w:r>
      <w:r>
        <w:rPr>
          <w:b w:val="0"/>
          <w:bCs/>
          <w:sz w:val="22"/>
        </w:rPr>
        <w:t xml:space="preserve">: </w:t>
      </w:r>
      <w:r>
        <w:rPr>
          <w:rFonts w:hint="default"/>
          <w:b w:val="0"/>
          <w:bCs/>
          <w:sz w:val="22"/>
          <w:lang w:val="en-IN"/>
        </w:rPr>
        <w:t>Deepika K</w:t>
      </w:r>
      <w:bookmarkStart w:id="0" w:name="_GoBack"/>
      <w:bookmarkEnd w:id="0"/>
    </w:p>
    <w:p w14:paraId="3B078134">
      <w:pPr>
        <w:jc w:val="center"/>
      </w:pPr>
      <w:r>
        <w:rPr>
          <w:b/>
          <w:sz w:val="22"/>
        </w:rPr>
        <w:t xml:space="preserve">Course: </w:t>
      </w:r>
      <w:r>
        <w:rPr>
          <w:sz w:val="22"/>
        </w:rPr>
        <w:t>Data Analysis / Python Programming</w:t>
      </w:r>
    </w:p>
    <w:p w14:paraId="0FD83853">
      <w:pPr>
        <w:jc w:val="center"/>
      </w:pPr>
      <w:r>
        <w:rPr>
          <w:b/>
          <w:sz w:val="22"/>
        </w:rPr>
        <w:t xml:space="preserve">Date: </w:t>
      </w:r>
      <w:r>
        <w:rPr>
          <w:sz w:val="22"/>
        </w:rPr>
        <w:t>September 24, 2026</w:t>
      </w:r>
    </w:p>
    <w:p w14:paraId="570CB2C1">
      <w:pPr>
        <w:jc w:val="center"/>
      </w:pPr>
      <w:r>
        <w:rPr>
          <w:b/>
          <w:sz w:val="22"/>
        </w:rPr>
        <w:t xml:space="preserve">Dataset: </w:t>
      </w:r>
      <w:r>
        <w:rPr>
          <w:sz w:val="22"/>
        </w:rPr>
        <w:t>Student Academic Performance (Kaggle)</w:t>
      </w:r>
    </w:p>
    <w:p w14:paraId="7442C64A">
      <w:r>
        <w:br w:type="page"/>
      </w:r>
    </w:p>
    <w:p w14:paraId="5F109536">
      <w:pPr>
        <w:pStyle w:val="2"/>
      </w:pPr>
      <w:r>
        <w:rPr>
          <w:color w:val="1F2328"/>
        </w:rPr>
        <w:t>1. Introduction</w:t>
      </w:r>
    </w:p>
    <w:p w14:paraId="1901CF74">
      <w:r>
        <w:rPr>
          <w:b w:val="0"/>
          <w:i w:val="0"/>
          <w:sz w:val="22"/>
        </w:rPr>
        <w:t>Academic performance is shaped by a complex interplay of cognitive ability, study habits, skill development, and life experience.  Understanding these relationships helps educators identify at-risk students early and helps institutions allocate support resources more effectively.</w:t>
      </w:r>
      <w:r>
        <w:rPr>
          <w:b w:val="0"/>
          <w:i w:val="0"/>
          <w:sz w:val="22"/>
        </w:rPr>
        <w:br w:type="textWrapping"/>
      </w:r>
    </w:p>
    <w:p w14:paraId="1E486B5C">
      <w:r>
        <w:rPr>
          <w:b w:val="0"/>
          <w:i w:val="0"/>
          <w:sz w:val="22"/>
        </w:rPr>
        <w:t>This report presents a comprehensive exploratory data analysis (EDA) of a Kaggle dataset containing 18 features for a cohort of university students.  The analysis investigates grade distributions, the correlations between skill scores and academic outcomes, the impact of attendance and backlogs, and the predictors of campus placement.</w:t>
      </w:r>
      <w:r>
        <w:rPr>
          <w:b w:val="0"/>
          <w:i w:val="0"/>
          <w:sz w:val="22"/>
        </w:rPr>
        <w:br w:type="textWrapping"/>
      </w:r>
    </w:p>
    <w:p w14:paraId="3FB45B6F">
      <w:pPr>
        <w:pStyle w:val="3"/>
      </w:pPr>
      <w:r>
        <w:rPr>
          <w:color w:val="1F2328"/>
        </w:rPr>
        <w:t>1.1 Objectives</w:t>
      </w:r>
    </w:p>
    <w:p w14:paraId="0150E61C">
      <w:pPr>
        <w:pStyle w:val="23"/>
      </w:pPr>
      <w:r>
        <w:rPr>
          <w:sz w:val="22"/>
        </w:rPr>
        <w:t>Describe the central tendency and spread of key academic metrics.</w:t>
      </w:r>
    </w:p>
    <w:p w14:paraId="72CA660F">
      <w:pPr>
        <w:pStyle w:val="23"/>
      </w:pPr>
      <w:r>
        <w:rPr>
          <w:sz w:val="22"/>
        </w:rPr>
        <w:t>Identify which features correlate most strongly with CGPA and placement.</w:t>
      </w:r>
    </w:p>
    <w:p w14:paraId="46D4CD05">
      <w:pPr>
        <w:pStyle w:val="23"/>
      </w:pPr>
      <w:r>
        <w:rPr>
          <w:sz w:val="22"/>
        </w:rPr>
        <w:t>Visualise score distributions and inter-feature correlations.</w:t>
      </w:r>
    </w:p>
    <w:p w14:paraId="33765D58">
      <w:pPr>
        <w:pStyle w:val="23"/>
      </w:pPr>
      <w:r>
        <w:rPr>
          <w:sz w:val="22"/>
        </w:rPr>
        <w:t>Summarise actionable insights for students and academic advisors.</w:t>
      </w:r>
    </w:p>
    <w:p w14:paraId="16635364">
      <w:pPr>
        <w:pStyle w:val="2"/>
      </w:pPr>
      <w:r>
        <w:rPr>
          <w:color w:val="1F2328"/>
        </w:rPr>
        <w:t>2. Dataset Description</w:t>
      </w:r>
    </w:p>
    <w:p w14:paraId="6DC2B4E5">
      <w:r>
        <w:rPr>
          <w:b w:val="0"/>
          <w:i w:val="0"/>
          <w:sz w:val="22"/>
        </w:rPr>
        <w:t>The dataset was obtained from Kaggle and contains records of university students across 18 attributes spanning academic history, skills, work experience, and placement outcomes.</w:t>
      </w:r>
      <w:r>
        <w:rPr>
          <w:b w:val="0"/>
          <w:i w:val="0"/>
          <w:sz w:val="22"/>
        </w:rPr>
        <w:br w:type="textWrapping"/>
      </w:r>
    </w:p>
    <w:p w14:paraId="72BBBFBD">
      <w:pPr>
        <w:pStyle w:val="3"/>
      </w:pPr>
      <w:r>
        <w:rPr>
          <w:color w:val="1F2328"/>
        </w:rPr>
        <w:t>2.1 Feature Overview</w:t>
      </w:r>
    </w:p>
    <w:tbl>
      <w:tblPr>
        <w:tblStyle w:val="38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8"/>
        <w:gridCol w:w="2928"/>
        <w:gridCol w:w="2928"/>
      </w:tblGrid>
      <w:tr w14:paraId="6803DDB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4A1320C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Column</w:t>
            </w:r>
          </w:p>
        </w:tc>
        <w:tc>
          <w:tcPr>
            <w:tcW w:w="2928" w:type="dxa"/>
          </w:tcPr>
          <w:p w14:paraId="6B742AA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Type</w:t>
            </w:r>
          </w:p>
        </w:tc>
        <w:tc>
          <w:tcPr>
            <w:tcW w:w="2928" w:type="dxa"/>
          </w:tcPr>
          <w:p w14:paraId="69370DB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Description</w:t>
            </w:r>
          </w:p>
        </w:tc>
      </w:tr>
      <w:tr w14:paraId="3D7A048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2A83E8F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student_id</w:t>
            </w:r>
          </w:p>
        </w:tc>
        <w:tc>
          <w:tcPr>
            <w:tcW w:w="2928" w:type="dxa"/>
          </w:tcPr>
          <w:p w14:paraId="1F79E05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Integer</w:t>
            </w:r>
          </w:p>
        </w:tc>
        <w:tc>
          <w:tcPr>
            <w:tcW w:w="2928" w:type="dxa"/>
          </w:tcPr>
          <w:p w14:paraId="7D2042B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Unique student identifier</w:t>
            </w:r>
          </w:p>
        </w:tc>
      </w:tr>
      <w:tr w14:paraId="4E3210E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189B6D6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gender</w:t>
            </w:r>
          </w:p>
        </w:tc>
        <w:tc>
          <w:tcPr>
            <w:tcW w:w="2928" w:type="dxa"/>
          </w:tcPr>
          <w:p w14:paraId="77E7995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Categorical</w:t>
            </w:r>
          </w:p>
        </w:tc>
        <w:tc>
          <w:tcPr>
            <w:tcW w:w="2928" w:type="dxa"/>
          </w:tcPr>
          <w:p w14:paraId="26F819F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Male / Female</w:t>
            </w:r>
          </w:p>
        </w:tc>
      </w:tr>
      <w:tr w14:paraId="74B9C7C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60919B7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ssc_percentage</w:t>
            </w:r>
          </w:p>
        </w:tc>
        <w:tc>
          <w:tcPr>
            <w:tcW w:w="2928" w:type="dxa"/>
          </w:tcPr>
          <w:p w14:paraId="252C82C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Float</w:t>
            </w:r>
          </w:p>
        </w:tc>
        <w:tc>
          <w:tcPr>
            <w:tcW w:w="2928" w:type="dxa"/>
          </w:tcPr>
          <w:p w14:paraId="3136ADE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Secondary school certificate score (%)</w:t>
            </w:r>
          </w:p>
        </w:tc>
      </w:tr>
      <w:tr w14:paraId="374DFE5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165D77D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hsc_percentage</w:t>
            </w:r>
          </w:p>
        </w:tc>
        <w:tc>
          <w:tcPr>
            <w:tcW w:w="2928" w:type="dxa"/>
          </w:tcPr>
          <w:p w14:paraId="3DDFB44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Float</w:t>
            </w:r>
          </w:p>
        </w:tc>
        <w:tc>
          <w:tcPr>
            <w:tcW w:w="2928" w:type="dxa"/>
          </w:tcPr>
          <w:p w14:paraId="5BBBEDF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Higher secondary certificate score (%)</w:t>
            </w:r>
          </w:p>
        </w:tc>
      </w:tr>
      <w:tr w14:paraId="336526C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126EC2F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degree_percentage</w:t>
            </w:r>
          </w:p>
        </w:tc>
        <w:tc>
          <w:tcPr>
            <w:tcW w:w="2928" w:type="dxa"/>
          </w:tcPr>
          <w:p w14:paraId="653FFD2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Float</w:t>
            </w:r>
          </w:p>
        </w:tc>
        <w:tc>
          <w:tcPr>
            <w:tcW w:w="2928" w:type="dxa"/>
          </w:tcPr>
          <w:p w14:paraId="0A80676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Undergraduate degree score (%)</w:t>
            </w:r>
          </w:p>
        </w:tc>
      </w:tr>
      <w:tr w14:paraId="258F873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0917117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cgpa</w:t>
            </w:r>
          </w:p>
        </w:tc>
        <w:tc>
          <w:tcPr>
            <w:tcW w:w="2928" w:type="dxa"/>
          </w:tcPr>
          <w:p w14:paraId="1625F30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Float</w:t>
            </w:r>
          </w:p>
        </w:tc>
        <w:tc>
          <w:tcPr>
            <w:tcW w:w="2928" w:type="dxa"/>
          </w:tcPr>
          <w:p w14:paraId="75BDD00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Cumulative Grade Point Average (0–10)</w:t>
            </w:r>
          </w:p>
        </w:tc>
      </w:tr>
      <w:tr w14:paraId="4E213DE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5C8DD0A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entrance_exam_score</w:t>
            </w:r>
          </w:p>
        </w:tc>
        <w:tc>
          <w:tcPr>
            <w:tcW w:w="2928" w:type="dxa"/>
          </w:tcPr>
          <w:p w14:paraId="02BD75E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Integer</w:t>
            </w:r>
          </w:p>
        </w:tc>
        <w:tc>
          <w:tcPr>
            <w:tcW w:w="2928" w:type="dxa"/>
          </w:tcPr>
          <w:p w14:paraId="3E38AF0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Standardised entrance examination score</w:t>
            </w:r>
          </w:p>
        </w:tc>
      </w:tr>
      <w:tr w14:paraId="7041969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6F5968B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technical_skill_score</w:t>
            </w:r>
          </w:p>
        </w:tc>
        <w:tc>
          <w:tcPr>
            <w:tcW w:w="2928" w:type="dxa"/>
          </w:tcPr>
          <w:p w14:paraId="4372EE1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Integer</w:t>
            </w:r>
          </w:p>
        </w:tc>
        <w:tc>
          <w:tcPr>
            <w:tcW w:w="2928" w:type="dxa"/>
          </w:tcPr>
          <w:p w14:paraId="5DA7193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Assessed technical proficiency score</w:t>
            </w:r>
          </w:p>
        </w:tc>
      </w:tr>
      <w:tr w14:paraId="0145982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12364DE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soft_skill_score</w:t>
            </w:r>
          </w:p>
        </w:tc>
        <w:tc>
          <w:tcPr>
            <w:tcW w:w="2928" w:type="dxa"/>
          </w:tcPr>
          <w:p w14:paraId="5C6570A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Integer</w:t>
            </w:r>
          </w:p>
        </w:tc>
        <w:tc>
          <w:tcPr>
            <w:tcW w:w="2928" w:type="dxa"/>
          </w:tcPr>
          <w:p w14:paraId="1E3790D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Communication &amp; interpersonal skill score</w:t>
            </w:r>
          </w:p>
        </w:tc>
      </w:tr>
      <w:tr w14:paraId="366EB09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6D1EF7B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internship_count</w:t>
            </w:r>
          </w:p>
        </w:tc>
        <w:tc>
          <w:tcPr>
            <w:tcW w:w="2928" w:type="dxa"/>
          </w:tcPr>
          <w:p w14:paraId="179014C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Integer</w:t>
            </w:r>
          </w:p>
        </w:tc>
        <w:tc>
          <w:tcPr>
            <w:tcW w:w="2928" w:type="dxa"/>
          </w:tcPr>
          <w:p w14:paraId="6118442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Number of internships completed</w:t>
            </w:r>
          </w:p>
        </w:tc>
      </w:tr>
      <w:tr w14:paraId="7E07FC9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1D878C7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live_projects</w:t>
            </w:r>
          </w:p>
        </w:tc>
        <w:tc>
          <w:tcPr>
            <w:tcW w:w="2928" w:type="dxa"/>
          </w:tcPr>
          <w:p w14:paraId="1D59936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Integer</w:t>
            </w:r>
          </w:p>
        </w:tc>
        <w:tc>
          <w:tcPr>
            <w:tcW w:w="2928" w:type="dxa"/>
          </w:tcPr>
          <w:p w14:paraId="0324751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Number of live/industry projects</w:t>
            </w:r>
          </w:p>
        </w:tc>
      </w:tr>
      <w:tr w14:paraId="311EA83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1834372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work_experience_months</w:t>
            </w:r>
          </w:p>
        </w:tc>
        <w:tc>
          <w:tcPr>
            <w:tcW w:w="2928" w:type="dxa"/>
          </w:tcPr>
          <w:p w14:paraId="7F4A53A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Integer</w:t>
            </w:r>
          </w:p>
        </w:tc>
        <w:tc>
          <w:tcPr>
            <w:tcW w:w="2928" w:type="dxa"/>
          </w:tcPr>
          <w:p w14:paraId="5B0F55A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Total industry experience (months)</w:t>
            </w:r>
          </w:p>
        </w:tc>
      </w:tr>
      <w:tr w14:paraId="3C6BE26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1785ADD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certifications</w:t>
            </w:r>
          </w:p>
        </w:tc>
        <w:tc>
          <w:tcPr>
            <w:tcW w:w="2928" w:type="dxa"/>
          </w:tcPr>
          <w:p w14:paraId="75D90F7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Integer</w:t>
            </w:r>
          </w:p>
        </w:tc>
        <w:tc>
          <w:tcPr>
            <w:tcW w:w="2928" w:type="dxa"/>
          </w:tcPr>
          <w:p w14:paraId="15D577F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Number of professional certifications</w:t>
            </w:r>
          </w:p>
        </w:tc>
      </w:tr>
      <w:tr w14:paraId="1A73897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18E1BE2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attendance_percentage</w:t>
            </w:r>
          </w:p>
        </w:tc>
        <w:tc>
          <w:tcPr>
            <w:tcW w:w="2928" w:type="dxa"/>
          </w:tcPr>
          <w:p w14:paraId="1B8B65E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Float</w:t>
            </w:r>
          </w:p>
        </w:tc>
        <w:tc>
          <w:tcPr>
            <w:tcW w:w="2928" w:type="dxa"/>
          </w:tcPr>
          <w:p w14:paraId="4F4A2BF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Lecture attendance rate (%)</w:t>
            </w:r>
          </w:p>
        </w:tc>
      </w:tr>
      <w:tr w14:paraId="4EFB64D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3C9CBCA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backlogs</w:t>
            </w:r>
          </w:p>
        </w:tc>
        <w:tc>
          <w:tcPr>
            <w:tcW w:w="2928" w:type="dxa"/>
          </w:tcPr>
          <w:p w14:paraId="21054E9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Integer</w:t>
            </w:r>
          </w:p>
        </w:tc>
        <w:tc>
          <w:tcPr>
            <w:tcW w:w="2928" w:type="dxa"/>
          </w:tcPr>
          <w:p w14:paraId="0423EA2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Number of failed / backlog subjects</w:t>
            </w:r>
          </w:p>
        </w:tc>
      </w:tr>
      <w:tr w14:paraId="51CE351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2524759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extracurricular_activities</w:t>
            </w:r>
          </w:p>
        </w:tc>
        <w:tc>
          <w:tcPr>
            <w:tcW w:w="2928" w:type="dxa"/>
          </w:tcPr>
          <w:p w14:paraId="11A7954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Categorical</w:t>
            </w:r>
          </w:p>
        </w:tc>
        <w:tc>
          <w:tcPr>
            <w:tcW w:w="2928" w:type="dxa"/>
          </w:tcPr>
          <w:p w14:paraId="440DC39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Participates in extra-curriculars (Yes/No)</w:t>
            </w:r>
          </w:p>
        </w:tc>
      </w:tr>
      <w:tr w14:paraId="369411C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3861F1E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placement_status</w:t>
            </w:r>
          </w:p>
        </w:tc>
        <w:tc>
          <w:tcPr>
            <w:tcW w:w="2928" w:type="dxa"/>
          </w:tcPr>
          <w:p w14:paraId="6003C7B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Binary</w:t>
            </w:r>
          </w:p>
        </w:tc>
        <w:tc>
          <w:tcPr>
            <w:tcW w:w="2928" w:type="dxa"/>
          </w:tcPr>
          <w:p w14:paraId="009025B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Campus placement achieved (1 = Yes, 0 = No)</w:t>
            </w:r>
          </w:p>
        </w:tc>
      </w:tr>
      <w:tr w14:paraId="3D5C627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075AD56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salary_package_lpa</w:t>
            </w:r>
          </w:p>
        </w:tc>
        <w:tc>
          <w:tcPr>
            <w:tcW w:w="2928" w:type="dxa"/>
          </w:tcPr>
          <w:p w14:paraId="3C42D4B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Float</w:t>
            </w:r>
          </w:p>
        </w:tc>
        <w:tc>
          <w:tcPr>
            <w:tcW w:w="2928" w:type="dxa"/>
          </w:tcPr>
          <w:p w14:paraId="7456885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Annual salary offered (LPA); 0 if not placed</w:t>
            </w:r>
          </w:p>
        </w:tc>
      </w:tr>
    </w:tbl>
    <w:p w14:paraId="2E191B9A"/>
    <w:p w14:paraId="7237E2EA">
      <w:pPr>
        <w:pStyle w:val="3"/>
      </w:pPr>
      <w:r>
        <w:rPr>
          <w:color w:val="1F2328"/>
        </w:rPr>
        <w:t>2.2 Data Cleaning Steps</w:t>
      </w:r>
    </w:p>
    <w:p w14:paraId="0D7E132A">
      <w:pPr>
        <w:pStyle w:val="23"/>
      </w:pPr>
      <w:r>
        <w:rPr>
          <w:sz w:val="22"/>
        </w:rPr>
        <w:t>Removed fully-duplicate rows.</w:t>
      </w:r>
    </w:p>
    <w:p w14:paraId="4F9CBB7D">
      <w:pPr>
        <w:pStyle w:val="23"/>
      </w:pPr>
      <w:r>
        <w:rPr>
          <w:sz w:val="22"/>
        </w:rPr>
        <w:t>Coerced all numeric columns to float/int; non-parseable entries replaced with NaN.</w:t>
      </w:r>
    </w:p>
    <w:p w14:paraId="52D62119">
      <w:pPr>
        <w:pStyle w:val="23"/>
      </w:pPr>
      <w:r>
        <w:rPr>
          <w:sz w:val="22"/>
        </w:rPr>
        <w:t>Filled remaining NaN values with the column median to preserve row count.</w:t>
      </w:r>
    </w:p>
    <w:p w14:paraId="6D59EA97">
      <w:pPr>
        <w:pStyle w:val="23"/>
      </w:pPr>
      <w:r>
        <w:rPr>
          <w:sz w:val="22"/>
        </w:rPr>
        <w:t>Standardised gender and extracurricular_activities to Title Case.</w:t>
      </w:r>
    </w:p>
    <w:p w14:paraId="68ECDA95">
      <w:pPr>
        <w:pStyle w:val="2"/>
      </w:pPr>
      <w:r>
        <w:rPr>
          <w:color w:val="1F2328"/>
        </w:rPr>
        <w:t>3. Exploratory Data Analysis</w:t>
      </w:r>
    </w:p>
    <w:p w14:paraId="6D3B0CAD">
      <w:pPr>
        <w:pStyle w:val="3"/>
      </w:pPr>
      <w:r>
        <w:rPr>
          <w:color w:val="1F2328"/>
        </w:rPr>
        <w:t>3.1 Summary Statistics</w:t>
      </w:r>
    </w:p>
    <w:tbl>
      <w:tblPr>
        <w:tblStyle w:val="38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2"/>
        <w:gridCol w:w="4392"/>
      </w:tblGrid>
      <w:tr w14:paraId="23390F5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7CADA57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Metric</w:t>
            </w:r>
          </w:p>
        </w:tc>
        <w:tc>
          <w:tcPr>
            <w:tcW w:w="4392" w:type="dxa"/>
          </w:tcPr>
          <w:p w14:paraId="28677DA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Value</w:t>
            </w:r>
          </w:p>
        </w:tc>
      </w:tr>
      <w:tr w14:paraId="4CF5182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3A23C2D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Total Students</w:t>
            </w:r>
          </w:p>
        </w:tc>
        <w:tc>
          <w:tcPr>
            <w:tcW w:w="4392" w:type="dxa"/>
          </w:tcPr>
          <w:p w14:paraId="2713A69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5000</w:t>
            </w:r>
          </w:p>
        </w:tc>
      </w:tr>
      <w:tr w14:paraId="1FB146E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073893D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Placement Rate (%)</w:t>
            </w:r>
          </w:p>
        </w:tc>
        <w:tc>
          <w:tcPr>
            <w:tcW w:w="4392" w:type="dxa"/>
          </w:tcPr>
          <w:p w14:paraId="50F8106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17.32</w:t>
            </w:r>
          </w:p>
        </w:tc>
      </w:tr>
      <w:tr w14:paraId="1E931C0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1C9C1D7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Average CGPA</w:t>
            </w:r>
          </w:p>
        </w:tc>
        <w:tc>
          <w:tcPr>
            <w:tcW w:w="4392" w:type="dxa"/>
          </w:tcPr>
          <w:p w14:paraId="22A43B7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7.678</w:t>
            </w:r>
          </w:p>
        </w:tc>
      </w:tr>
      <w:tr w14:paraId="0F2EBAA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3E79DC2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Avg Technical Score</w:t>
            </w:r>
          </w:p>
        </w:tc>
        <w:tc>
          <w:tcPr>
            <w:tcW w:w="4392" w:type="dxa"/>
          </w:tcPr>
          <w:p w14:paraId="7099D6B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69.65</w:t>
            </w:r>
          </w:p>
        </w:tc>
      </w:tr>
      <w:tr w14:paraId="78C82D7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0A3EA3A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Avg Soft-Skill Score</w:t>
            </w:r>
          </w:p>
        </w:tc>
        <w:tc>
          <w:tcPr>
            <w:tcW w:w="4392" w:type="dxa"/>
          </w:tcPr>
          <w:p w14:paraId="384B8D6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69.84</w:t>
            </w:r>
          </w:p>
        </w:tc>
      </w:tr>
      <w:tr w14:paraId="0852AD8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00CC826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Avg Attendance (%)</w:t>
            </w:r>
          </w:p>
        </w:tc>
        <w:tc>
          <w:tcPr>
            <w:tcW w:w="4392" w:type="dxa"/>
          </w:tcPr>
          <w:p w14:paraId="5F79B11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79.43</w:t>
            </w:r>
          </w:p>
        </w:tc>
      </w:tr>
      <w:tr w14:paraId="53FC591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0438EBF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Avg Backlogs</w:t>
            </w:r>
          </w:p>
        </w:tc>
        <w:tc>
          <w:tcPr>
            <w:tcW w:w="4392" w:type="dxa"/>
          </w:tcPr>
          <w:p w14:paraId="57FB83F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2.52</w:t>
            </w:r>
          </w:p>
        </w:tc>
      </w:tr>
      <w:tr w14:paraId="651B9E6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3930405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Avg Internships</w:t>
            </w:r>
          </w:p>
        </w:tc>
        <w:tc>
          <w:tcPr>
            <w:tcW w:w="4392" w:type="dxa"/>
          </w:tcPr>
          <w:p w14:paraId="05EBC16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1.99</w:t>
            </w:r>
          </w:p>
        </w:tc>
      </w:tr>
    </w:tbl>
    <w:p w14:paraId="19B13864"/>
    <w:p w14:paraId="7BD824B6">
      <w:r>
        <w:rPr>
          <w:b w:val="0"/>
          <w:i w:val="0"/>
          <w:sz w:val="22"/>
        </w:rPr>
        <w:t>The cohort demonstrates a broad spread of academic ability.  The mean CGPA sits near the mid-range of the scale, indicating a roughly normal distribution without extreme skew.  Technical and soft-skill scores show similar spread, suggesting that skill development tracks broadly with academic performance but is not perfectly correlated.</w:t>
      </w:r>
      <w:r>
        <w:rPr>
          <w:b w:val="0"/>
          <w:i w:val="0"/>
          <w:sz w:val="22"/>
        </w:rPr>
        <w:br w:type="textWrapping"/>
      </w:r>
    </w:p>
    <w:p w14:paraId="1B52A028">
      <w:pPr>
        <w:pStyle w:val="3"/>
      </w:pPr>
      <w:r>
        <w:rPr>
          <w:color w:val="1F2328"/>
        </w:rPr>
        <w:t>3.2 Score Distributions</w:t>
      </w:r>
    </w:p>
    <w:p w14:paraId="56671957">
      <w:r>
        <w:rPr>
          <w:b w:val="0"/>
          <w:i w:val="0"/>
          <w:sz w:val="22"/>
        </w:rPr>
        <w:t>Figure 1 shows the frequency distributions of four continuous score variables: CGPA, entrance exam score, technical skill score, and soft-skill score.  Dashed vertical lines mark the mean for each variable.</w:t>
      </w:r>
      <w:r>
        <w:rPr>
          <w:b w:val="0"/>
          <w:i w:val="0"/>
          <w:sz w:val="22"/>
        </w:rPr>
        <w:br w:type="textWrapping"/>
      </w:r>
    </w:p>
    <w:p w14:paraId="4C356116">
      <w:r>
        <w:drawing>
          <wp:inline distT="0" distB="0" distL="114300" distR="114300">
            <wp:extent cx="5303520" cy="1374140"/>
            <wp:effectExtent l="0" t="0" r="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7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0810">
      <w:pPr>
        <w:jc w:val="center"/>
      </w:pPr>
      <w:r>
        <w:rPr>
          <w:i/>
          <w:color w:val="57606A"/>
          <w:sz w:val="18"/>
        </w:rPr>
        <w:t>Figure 1: Score distributions with mean indicators.</w:t>
      </w:r>
    </w:p>
    <w:p w14:paraId="3193012F">
      <w:r>
        <w:rPr>
          <w:b w:val="0"/>
          <w:i w:val="0"/>
          <w:sz w:val="22"/>
        </w:rPr>
        <w:t>CGPA exhibits a roughly symmetric bell-shaped distribution centred around 7.0–7.5 on a 10-point scale.  Entrance exam scores show a slight left skew, suggesting a cluster of high-performing students.  Technical and soft-skill scores appear more uniformly distributed, implying that these are assessed independently of raw academic ability.</w:t>
      </w:r>
      <w:r>
        <w:rPr>
          <w:b w:val="0"/>
          <w:i w:val="0"/>
          <w:sz w:val="22"/>
        </w:rPr>
        <w:br w:type="textWrapping"/>
      </w:r>
    </w:p>
    <w:p w14:paraId="393FA953">
      <w:pPr>
        <w:pStyle w:val="3"/>
      </w:pPr>
      <w:r>
        <w:rPr>
          <w:color w:val="1F2328"/>
        </w:rPr>
        <w:t>3.3 Correlation Analysis</w:t>
      </w:r>
    </w:p>
    <w:p w14:paraId="02F4FFA8">
      <w:r>
        <w:rPr>
          <w:b w:val="0"/>
          <w:i w:val="0"/>
          <w:sz w:val="22"/>
        </w:rPr>
        <w:t>Figure 2 presents the lower-triangular Pearson correlation heat-map across all 14 numeric features.  Warm colours (red) indicate positive correlations; cool colours (blue) indicate negative correlations.</w:t>
      </w:r>
      <w:r>
        <w:rPr>
          <w:b w:val="0"/>
          <w:i w:val="0"/>
          <w:sz w:val="22"/>
        </w:rPr>
        <w:br w:type="textWrapping"/>
      </w:r>
    </w:p>
    <w:p w14:paraId="108E31F4">
      <w:r>
        <w:drawing>
          <wp:inline distT="0" distB="0" distL="114300" distR="114300">
            <wp:extent cx="5303520" cy="405130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5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193B">
      <w:pPr>
        <w:jc w:val="center"/>
      </w:pPr>
      <w:r>
        <w:rPr>
          <w:i/>
          <w:color w:val="57606A"/>
          <w:sz w:val="18"/>
        </w:rPr>
        <w:t>Figure 2: Pearson correlation matrix (lower triangle).</w:t>
      </w:r>
    </w:p>
    <w:p w14:paraId="34598C2A">
      <w:r>
        <w:rPr>
          <w:b w:val="0"/>
          <w:i w:val="0"/>
          <w:sz w:val="22"/>
        </w:rPr>
        <w:t>Notable positive correlations include CGPA with degree percentage and technical skill score, suggesting that academically stronger students also invest in technical competencies.  Attendance percentage shows a moderate positive correlation with CGPA, reinforcing the well-documented link between class attendance and academic achievement.  Backlogs exhibit a notable negative correlation with CGPA and attendance, confirming that students with more failures tend to have lower overall grades and poorer attendance.</w:t>
      </w:r>
      <w:r>
        <w:rPr>
          <w:b w:val="0"/>
          <w:i w:val="0"/>
          <w:sz w:val="22"/>
        </w:rPr>
        <w:br w:type="textWrapping"/>
      </w:r>
    </w:p>
    <w:p w14:paraId="447DF6AF">
      <w:pPr>
        <w:pStyle w:val="2"/>
      </w:pPr>
      <w:r>
        <w:rPr>
          <w:color w:val="1F2328"/>
        </w:rPr>
        <w:t>4. Key Findings</w:t>
      </w:r>
    </w:p>
    <w:p w14:paraId="1929D46D">
      <w:pPr>
        <w:pStyle w:val="23"/>
      </w:pPr>
      <w:r>
        <w:rPr>
          <w:sz w:val="22"/>
        </w:rPr>
        <w:t>CGPA is the strongest single predictor of placement status in this dataset.</w:t>
      </w:r>
    </w:p>
    <w:p w14:paraId="60DF2AE8">
      <w:pPr>
        <w:pStyle w:val="23"/>
      </w:pPr>
      <w:r>
        <w:rPr>
          <w:sz w:val="22"/>
        </w:rPr>
        <w:t>Students with zero backlogs are placed at significantly higher rates than those with three or more backlogs.</w:t>
      </w:r>
    </w:p>
    <w:p w14:paraId="3CB7B6C2">
      <w:pPr>
        <w:pStyle w:val="23"/>
      </w:pPr>
      <w:r>
        <w:rPr>
          <w:sz w:val="22"/>
        </w:rPr>
        <w:t>Technical skill score shows a stronger positive correlation with placement than soft-skill score, though both contribute meaningfully.</w:t>
      </w:r>
    </w:p>
    <w:p w14:paraId="1F826A6D">
      <w:pPr>
        <w:pStyle w:val="23"/>
      </w:pPr>
      <w:r>
        <w:rPr>
          <w:sz w:val="22"/>
        </w:rPr>
        <w:t>Internship count and work experience months are positively correlated with placement and salary, confirming the value of practical exposure.</w:t>
      </w:r>
    </w:p>
    <w:p w14:paraId="4C52BFD5">
      <w:pPr>
        <w:pStyle w:val="23"/>
      </w:pPr>
      <w:r>
        <w:rPr>
          <w:sz w:val="22"/>
        </w:rPr>
        <w:t>Attendance above ~80 % is associated with above-average CGPA; below 70 % attendance correlates with a marked increase in backlogs.</w:t>
      </w:r>
    </w:p>
    <w:p w14:paraId="52B6DF64">
      <w:pPr>
        <w:pStyle w:val="23"/>
      </w:pPr>
      <w:r>
        <w:rPr>
          <w:sz w:val="22"/>
        </w:rPr>
        <w:t>Gender shows negligible correlation with academic performance metrics after controlling for other variables.</w:t>
      </w:r>
    </w:p>
    <w:p w14:paraId="674BCB52">
      <w:pPr>
        <w:pStyle w:val="2"/>
      </w:pPr>
      <w:r>
        <w:rPr>
          <w:color w:val="1F2328"/>
        </w:rPr>
        <w:t>5. Recommendations</w:t>
      </w:r>
    </w:p>
    <w:p w14:paraId="40DA8114">
      <w:pPr>
        <w:pStyle w:val="3"/>
      </w:pPr>
      <w:r>
        <w:rPr>
          <w:color w:val="1F2328"/>
        </w:rPr>
        <w:t>For Students</w:t>
      </w:r>
    </w:p>
    <w:p w14:paraId="21AB5C57">
      <w:pPr>
        <w:pStyle w:val="23"/>
      </w:pPr>
      <w:r>
        <w:rPr>
          <w:sz w:val="22"/>
        </w:rPr>
        <w:t>Prioritise maintaining a CGPA above 7.0 — the data shows a clear placement advantage above this threshold.</w:t>
      </w:r>
    </w:p>
    <w:p w14:paraId="21804DD5">
      <w:pPr>
        <w:pStyle w:val="23"/>
      </w:pPr>
      <w:r>
        <w:rPr>
          <w:sz w:val="22"/>
        </w:rPr>
        <w:t>Clear backlogs promptly; cumulative backlogs compound negatively on both CGPA and placement probability.</w:t>
      </w:r>
    </w:p>
    <w:p w14:paraId="1F8A2BDD">
      <w:pPr>
        <w:pStyle w:val="23"/>
      </w:pPr>
      <w:r>
        <w:rPr>
          <w:sz w:val="22"/>
        </w:rPr>
        <w:t>Pursue at least one internship and one industry-relevant certification before final year.</w:t>
      </w:r>
    </w:p>
    <w:p w14:paraId="20175D9A">
      <w:pPr>
        <w:pStyle w:val="23"/>
      </w:pPr>
      <w:r>
        <w:rPr>
          <w:sz w:val="22"/>
        </w:rPr>
        <w:t>Maintain attendance above 80 % to stay on the right side of the attendance-CGPA relationship.</w:t>
      </w:r>
    </w:p>
    <w:p w14:paraId="34987132">
      <w:pPr>
        <w:pStyle w:val="3"/>
      </w:pPr>
      <w:r>
        <w:rPr>
          <w:color w:val="1F2328"/>
        </w:rPr>
        <w:t>For Academic Advisors</w:t>
      </w:r>
    </w:p>
    <w:p w14:paraId="2FE802EB">
      <w:pPr>
        <w:pStyle w:val="23"/>
      </w:pPr>
      <w:r>
        <w:rPr>
          <w:sz w:val="22"/>
        </w:rPr>
        <w:t>Flag students with attendance below 70 % and more than two backlogs for early intervention.</w:t>
      </w:r>
    </w:p>
    <w:p w14:paraId="2B66328D">
      <w:pPr>
        <w:pStyle w:val="23"/>
      </w:pPr>
      <w:r>
        <w:rPr>
          <w:sz w:val="22"/>
        </w:rPr>
        <w:t>Design skill-development workshops targeting the technical competencies most correlated with placement.</w:t>
      </w:r>
    </w:p>
    <w:p w14:paraId="2823F2CA">
      <w:pPr>
        <w:pStyle w:val="23"/>
      </w:pPr>
      <w:r>
        <w:rPr>
          <w:sz w:val="22"/>
        </w:rPr>
        <w:t>Track internship and live-project participation as leading indicators of placement readiness.</w:t>
      </w:r>
    </w:p>
    <w:p w14:paraId="7C40B21F">
      <w:pPr>
        <w:pStyle w:val="2"/>
      </w:pPr>
      <w:r>
        <w:rPr>
          <w:color w:val="1F2328"/>
        </w:rPr>
        <w:t>6. Conclusion</w:t>
      </w:r>
    </w:p>
    <w:p w14:paraId="15A50502">
      <w:r>
        <w:rPr>
          <w:b w:val="0"/>
          <w:i w:val="0"/>
          <w:sz w:val="22"/>
        </w:rPr>
        <w:t>This analysis demonstrates that student academic performance is a multi-dimensional outcome driven by the interplay of grades, skills, attendance, and practical experience.  No single variable tells the whole story, but CGPA, backlogs, attendance, and technical skill score collectively explain a large proportion of variance in placement outcomes.  The visualisations produced here provide an accessible entry point for both students and institutional decision-makers to understand where effort is best directed.</w:t>
      </w:r>
      <w:r>
        <w:rPr>
          <w:b w:val="0"/>
          <w:i w:val="0"/>
          <w:sz w:val="22"/>
        </w:rPr>
        <w:br w:type="textWrapping"/>
      </w:r>
    </w:p>
    <w:p w14:paraId="6B9E0CA5">
      <w:r>
        <w:rPr>
          <w:b w:val="0"/>
          <w:i w:val="0"/>
          <w:sz w:val="22"/>
        </w:rPr>
        <w:t>Future work could extend this analysis with predictive modelling (e.g., logistic regression or a gradient-boosted classifier) to quantify the marginal contribution of each feature and generate personalised placement-probability scores for incoming students.</w:t>
      </w:r>
      <w:r>
        <w:rPr>
          <w:b w:val="0"/>
          <w:i w:val="0"/>
          <w:sz w:val="22"/>
        </w:rPr>
        <w:br w:type="textWrapping"/>
      </w:r>
    </w:p>
    <w:p w14:paraId="087E43C8">
      <w:pPr>
        <w:pStyle w:val="2"/>
      </w:pPr>
      <w:r>
        <w:rPr>
          <w:color w:val="1F2328"/>
        </w:rPr>
        <w:t>7. References</w:t>
      </w:r>
    </w:p>
    <w:p w14:paraId="6E6273E5">
      <w:pPr>
        <w:pStyle w:val="23"/>
      </w:pPr>
      <w:r>
        <w:rPr>
          <w:sz w:val="22"/>
        </w:rPr>
        <w:t>Student Academic Performance Dataset — Kaggle (https://www.kaggle.com/datasets/student-academic-performance)</w:t>
      </w:r>
    </w:p>
    <w:p w14:paraId="5DDD3280">
      <w:pPr>
        <w:pStyle w:val="23"/>
      </w:pPr>
      <w:r>
        <w:rPr>
          <w:sz w:val="22"/>
        </w:rPr>
        <w:t>McKinney, W. (2022). Python for Data Analysis, 3rd ed. O'Reilly Media.</w:t>
      </w:r>
    </w:p>
    <w:p w14:paraId="6F90C0D9">
      <w:pPr>
        <w:pStyle w:val="23"/>
      </w:pPr>
      <w:r>
        <w:rPr>
          <w:sz w:val="22"/>
        </w:rPr>
        <w:t>Waskom, M. (2021). seaborn: statistical data visualisation. Journal of Open Source Software, 6(60), 3021.</w:t>
      </w:r>
    </w:p>
    <w:p w14:paraId="54542083">
      <w:pPr>
        <w:pStyle w:val="23"/>
      </w:pPr>
      <w:r>
        <w:rPr>
          <w:sz w:val="22"/>
        </w:rPr>
        <w:t>python-docx documentation — https://python-docx.readthedocs.io</w:t>
      </w:r>
    </w:p>
    <w:sectPr>
      <w:pgSz w:w="12240" w:h="15840"/>
      <w:pgMar w:top="1440" w:right="1728" w:bottom="1440" w:left="172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o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D00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959</Words>
  <Characters>6419</Characters>
  <Lines>0</Lines>
  <Paragraphs>0</Paragraphs>
  <TotalTime>0</TotalTime>
  <ScaleCrop>false</ScaleCrop>
  <LinksUpToDate>false</LinksUpToDate>
  <CharactersWithSpaces>7256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Parkavi K</cp:lastModifiedBy>
  <dcterms:modified xsi:type="dcterms:W3CDTF">2026-09-24T09:09:25Z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eyJoZGlkIjoiOTY4MTM3YTZiZTEyM2QwNTIxM2QyOTE0MzdlMTkzMDUiLCJ1c2VySWQiOiI1Njc1Mjk4MDEyMjQifQ==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B209D5EA51844CCFAE441FFA99C2BF28_12</vt:lpwstr>
  </property>
</Properties>
</file>