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66A" w:rsidRPr="00C2571D" w:rsidRDefault="00F52B35" w:rsidP="00C2571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943634" w:themeColor="accent2" w:themeShade="BF"/>
          <w:sz w:val="28"/>
        </w:rPr>
        <w:t xml:space="preserve">PRACTICAL: </w:t>
      </w:r>
      <w:r w:rsidR="007D3A0D">
        <w:rPr>
          <w:rFonts w:ascii="Times New Roman" w:hAnsi="Times New Roman" w:cs="Times New Roman"/>
          <w:b/>
          <w:color w:val="943634" w:themeColor="accent2" w:themeShade="BF"/>
          <w:sz w:val="28"/>
        </w:rPr>
        <w:t>12</w:t>
      </w:r>
    </w:p>
    <w:p w:rsidR="00164577" w:rsidRPr="00C2571D" w:rsidRDefault="007D3A0D" w:rsidP="00C2571D">
      <w:pPr>
        <w:jc w:val="center"/>
        <w:rPr>
          <w:i/>
          <w:color w:val="943634" w:themeColor="accent2" w:themeShade="BF"/>
        </w:rPr>
      </w:pPr>
      <w:r>
        <w:rPr>
          <w:i/>
          <w:color w:val="943634" w:themeColor="accent2" w:themeShade="BF"/>
        </w:rPr>
        <w:t>Calculation of Type 1 and Type 2 Error</w:t>
      </w:r>
    </w:p>
    <w:p w:rsidR="00164577" w:rsidRPr="00C2571D" w:rsidRDefault="00164577">
      <w:pPr>
        <w:rPr>
          <w:b/>
        </w:rPr>
      </w:pPr>
      <w:r w:rsidRPr="00C2571D">
        <w:rPr>
          <w:b/>
        </w:rPr>
        <w:t>FORMULA USED:</w:t>
      </w:r>
    </w:p>
    <w:p w:rsidR="002A44FE" w:rsidRPr="007D3A0D" w:rsidRDefault="007D3A0D" w:rsidP="007D3A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ALPHA: TYPE 1 ERROR:</w:t>
      </w:r>
      <w:r w:rsidR="00F52B35">
        <w:rPr>
          <w:b/>
        </w:rPr>
        <w:tab/>
      </w:r>
    </w:p>
    <w:p w:rsidR="00262529" w:rsidRDefault="007D3A0D" w:rsidP="002625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Type I Error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is True</m:t>
              </m:r>
            </m:e>
          </m:d>
        </m:oMath>
      </m:oMathPara>
    </w:p>
    <w:p w:rsidR="007D3A0D" w:rsidRPr="007D3A0D" w:rsidRDefault="007D3A0D" w:rsidP="007D3A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BETA: TYPE 2</w:t>
      </w:r>
      <w:r w:rsidRPr="007D3A0D">
        <w:rPr>
          <w:b/>
        </w:rPr>
        <w:t xml:space="preserve"> ERROR:</w:t>
      </w:r>
      <w:r w:rsidRPr="007D3A0D">
        <w:rPr>
          <w:b/>
        </w:rPr>
        <w:tab/>
      </w:r>
    </w:p>
    <w:p w:rsidR="007D3A0D" w:rsidRDefault="007D3A0D" w:rsidP="007D3A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Type </m:t>
              </m:r>
              <m:r>
                <w:rPr>
                  <w:rFonts w:ascii="Cambria Math" w:eastAsiaTheme="minorEastAsia" w:hAnsi="Cambria Math"/>
                </w:rPr>
                <m:t xml:space="preserve">II </m:t>
              </m:r>
              <m:r>
                <w:rPr>
                  <w:rFonts w:ascii="Cambria Math" w:eastAsiaTheme="minorEastAsia" w:hAnsi="Cambria Math"/>
                </w:rPr>
                <m:t xml:space="preserve">Error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is</m:t>
                  </m:r>
                  <m:r>
                    <w:rPr>
                      <w:rFonts w:ascii="Cambria Math" w:eastAsiaTheme="minorEastAsia" w:hAnsi="Cambria Math"/>
                    </w:rPr>
                    <m:t xml:space="preserve">  False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Specific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7D3A0D" w:rsidRPr="007D3A0D" w:rsidRDefault="007D3A0D" w:rsidP="00262529">
      <w:pPr>
        <w:rPr>
          <w:rFonts w:eastAsiaTheme="minorEastAsia"/>
        </w:rPr>
      </w:pPr>
    </w:p>
    <w:p w:rsidR="001E240E" w:rsidRDefault="001E240E" w:rsidP="00262529">
      <w:r w:rsidRPr="00C2571D">
        <w:rPr>
          <w:b/>
        </w:rPr>
        <w:t>Question:</w:t>
      </w:r>
      <w:r>
        <w:t xml:space="preserve"> </w:t>
      </w:r>
      <w:r w:rsidR="007D3A0D">
        <w:t>Calculate probability of committing type 1 and type 2 errors and plot the distribution.</w:t>
      </w:r>
    </w:p>
    <w:p w:rsidR="007D3A0D" w:rsidRPr="007D3A0D" w:rsidRDefault="007D3A0D" w:rsidP="00262529">
      <w:pPr>
        <w:rPr>
          <w:b/>
        </w:rPr>
      </w:pPr>
      <w:r>
        <w:rPr>
          <w:b/>
        </w:rPr>
        <w:t>Answer</w:t>
      </w:r>
      <w:r w:rsidRPr="007D3A0D">
        <w:rPr>
          <w:b/>
        </w:rPr>
        <w:t>:</w:t>
      </w:r>
    </w:p>
    <w:tbl>
      <w:tblPr>
        <w:tblStyle w:val="LightList-Accent2"/>
        <w:tblpPr w:leftFromText="180" w:rightFromText="180" w:vertAnchor="text" w:tblpXSpec="center" w:tblpY="65"/>
        <w:tblW w:w="0" w:type="auto"/>
        <w:tblLook w:val="04A0"/>
      </w:tblPr>
      <w:tblGrid>
        <w:gridCol w:w="610"/>
        <w:gridCol w:w="1053"/>
      </w:tblGrid>
      <w:tr w:rsidR="007D3A0D" w:rsidRPr="007D3A0D" w:rsidTr="007D3A0D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P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1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ALPHA</w:t>
            </w:r>
          </w:p>
        </w:tc>
      </w:tr>
      <w:tr w:rsidR="007D3A0D" w:rsidRPr="007D3A0D" w:rsidTr="007D3A0D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7D3A0D" w:rsidRPr="007D3A0D" w:rsidTr="007D3A0D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0.05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3.71E-05</w:t>
            </w:r>
          </w:p>
        </w:tc>
      </w:tr>
      <w:tr w:rsidR="007D3A0D" w:rsidRPr="007D3A0D" w:rsidTr="007D3A0D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0.039891</w:t>
            </w:r>
          </w:p>
        </w:tc>
      </w:tr>
      <w:tr w:rsidR="007D3A0D" w:rsidRPr="007D3A0D" w:rsidTr="007D3A0D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0.15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0.431685</w:t>
            </w:r>
          </w:p>
        </w:tc>
      </w:tr>
      <w:tr w:rsidR="007D3A0D" w:rsidRPr="007D3A0D" w:rsidTr="007D3A0D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0.2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0.871494</w:t>
            </w:r>
          </w:p>
        </w:tc>
      </w:tr>
      <w:tr w:rsidR="007D3A0D" w:rsidRPr="007D3A0D" w:rsidTr="007D3A0D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0.25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0.988917</w:t>
            </w:r>
          </w:p>
        </w:tc>
      </w:tr>
      <w:tr w:rsidR="007D3A0D" w:rsidRPr="007D3A0D" w:rsidTr="007D3A0D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0.3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0.999595</w:t>
            </w:r>
          </w:p>
        </w:tc>
      </w:tr>
      <w:tr w:rsidR="007D3A0D" w:rsidRPr="007D3A0D" w:rsidTr="007D3A0D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0.35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0.999993</w:t>
            </w:r>
          </w:p>
        </w:tc>
      </w:tr>
      <w:tr w:rsidR="007D3A0D" w:rsidRPr="007D3A0D" w:rsidTr="007D3A0D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0.4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D3A0D" w:rsidRPr="007D3A0D" w:rsidTr="007D3A0D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0.45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D3A0D" w:rsidRPr="007D3A0D" w:rsidTr="007D3A0D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D3A0D" w:rsidRPr="007D3A0D" w:rsidTr="007D3A0D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0.55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D3A0D" w:rsidRPr="007D3A0D" w:rsidTr="007D3A0D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0.6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D3A0D" w:rsidRPr="007D3A0D" w:rsidTr="007D3A0D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0.65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D3A0D" w:rsidRPr="007D3A0D" w:rsidTr="007D3A0D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0.7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D3A0D" w:rsidRPr="007D3A0D" w:rsidTr="007D3A0D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0.75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D3A0D" w:rsidRPr="007D3A0D" w:rsidTr="007D3A0D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0.8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D3A0D" w:rsidRPr="007D3A0D" w:rsidTr="007D3A0D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0.85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D3A0D" w:rsidRPr="007D3A0D" w:rsidTr="007D3A0D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D3A0D" w:rsidRPr="007D3A0D" w:rsidTr="007D3A0D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0.95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D3A0D" w:rsidRPr="007D3A0D" w:rsidTr="007D3A0D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1</w:t>
            </w:r>
          </w:p>
        </w:tc>
      </w:tr>
    </w:tbl>
    <w:p w:rsidR="009C0C21" w:rsidRPr="007D3A0D" w:rsidRDefault="009C0C21" w:rsidP="007D3A0D">
      <w:pPr>
        <w:rPr>
          <w:rFonts w:eastAsiaTheme="minorEastAsia"/>
        </w:rPr>
      </w:pPr>
    </w:p>
    <w:p w:rsidR="009C0C21" w:rsidRPr="0080505E" w:rsidRDefault="009C0C21" w:rsidP="0080505E">
      <w:pPr>
        <w:pStyle w:val="ListParagraph"/>
        <w:ind w:left="1080"/>
        <w:rPr>
          <w:rFonts w:eastAsiaTheme="minorEastAsia"/>
        </w:rPr>
      </w:pPr>
    </w:p>
    <w:p w:rsidR="007D3A0D" w:rsidRDefault="007D3A0D" w:rsidP="004719DF">
      <w:pPr>
        <w:rPr>
          <w:b/>
        </w:rPr>
      </w:pPr>
    </w:p>
    <w:p w:rsidR="007D3A0D" w:rsidRDefault="007D3A0D" w:rsidP="004719DF">
      <w:pPr>
        <w:rPr>
          <w:b/>
        </w:rPr>
      </w:pPr>
    </w:p>
    <w:p w:rsidR="007D3A0D" w:rsidRDefault="007D3A0D" w:rsidP="004719DF">
      <w:pPr>
        <w:rPr>
          <w:b/>
        </w:rPr>
      </w:pPr>
    </w:p>
    <w:p w:rsidR="007D3A0D" w:rsidRDefault="007D3A0D" w:rsidP="004719DF">
      <w:pPr>
        <w:rPr>
          <w:b/>
        </w:rPr>
      </w:pPr>
    </w:p>
    <w:p w:rsidR="007D3A0D" w:rsidRDefault="007D3A0D" w:rsidP="004719DF">
      <w:pPr>
        <w:rPr>
          <w:b/>
        </w:rPr>
      </w:pPr>
    </w:p>
    <w:p w:rsidR="007D3A0D" w:rsidRDefault="007D3A0D" w:rsidP="004719DF">
      <w:pPr>
        <w:rPr>
          <w:b/>
        </w:rPr>
      </w:pPr>
    </w:p>
    <w:p w:rsidR="007D3A0D" w:rsidRDefault="007D3A0D" w:rsidP="004719DF">
      <w:pPr>
        <w:rPr>
          <w:b/>
        </w:rPr>
      </w:pPr>
    </w:p>
    <w:p w:rsidR="007D3A0D" w:rsidRDefault="007D3A0D" w:rsidP="004719DF">
      <w:pPr>
        <w:rPr>
          <w:b/>
        </w:rPr>
      </w:pPr>
    </w:p>
    <w:p w:rsidR="007D3A0D" w:rsidRDefault="007D3A0D" w:rsidP="004719DF">
      <w:pPr>
        <w:rPr>
          <w:b/>
        </w:rPr>
      </w:pPr>
    </w:p>
    <w:p w:rsidR="007D3A0D" w:rsidRDefault="007D3A0D" w:rsidP="004719DF">
      <w:pPr>
        <w:rPr>
          <w:b/>
        </w:rPr>
      </w:pPr>
    </w:p>
    <w:p w:rsidR="007D3A0D" w:rsidRDefault="007D3A0D" w:rsidP="004719DF">
      <w:pPr>
        <w:rPr>
          <w:b/>
        </w:rPr>
      </w:pPr>
    </w:p>
    <w:p w:rsidR="007D3A0D" w:rsidRDefault="007D3A0D" w:rsidP="004719DF">
      <w:pPr>
        <w:rPr>
          <w:b/>
        </w:rPr>
      </w:pPr>
    </w:p>
    <w:p w:rsidR="007D3A0D" w:rsidRDefault="007D3A0D" w:rsidP="007D3A0D">
      <w:pPr>
        <w:tabs>
          <w:tab w:val="left" w:pos="1515"/>
        </w:tabs>
        <w:rPr>
          <w:b/>
        </w:rPr>
      </w:pPr>
      <w:r>
        <w:rPr>
          <w:b/>
        </w:rPr>
        <w:tab/>
      </w:r>
    </w:p>
    <w:p w:rsidR="007D3A0D" w:rsidRDefault="007D3A0D" w:rsidP="007D3A0D">
      <w:pPr>
        <w:tabs>
          <w:tab w:val="left" w:pos="1515"/>
        </w:tabs>
        <w:rPr>
          <w:b/>
        </w:rPr>
      </w:pPr>
      <w:r>
        <w:rPr>
          <w:b/>
        </w:rPr>
        <w:lastRenderedPageBreak/>
        <w:t xml:space="preserve">GRAPH: </w:t>
      </w:r>
    </w:p>
    <w:p w:rsidR="007D3A0D" w:rsidRDefault="007D3A0D" w:rsidP="007D3A0D">
      <w:pPr>
        <w:jc w:val="center"/>
        <w:rPr>
          <w:b/>
        </w:rPr>
      </w:pPr>
      <w:r w:rsidRPr="007D3A0D">
        <w:rPr>
          <w:b/>
        </w:rPr>
        <w:drawing>
          <wp:inline distT="0" distB="0" distL="0" distR="0">
            <wp:extent cx="4572000" cy="2743200"/>
            <wp:effectExtent l="19050" t="0" r="1905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D3A0D" w:rsidRDefault="007D3A0D" w:rsidP="007D3A0D">
      <w:pPr>
        <w:jc w:val="center"/>
        <w:rPr>
          <w:b/>
        </w:rPr>
      </w:pPr>
    </w:p>
    <w:tbl>
      <w:tblPr>
        <w:tblStyle w:val="LightList-Accent2"/>
        <w:tblW w:w="0" w:type="auto"/>
        <w:jc w:val="center"/>
        <w:tblLook w:val="04A0"/>
      </w:tblPr>
      <w:tblGrid>
        <w:gridCol w:w="610"/>
        <w:gridCol w:w="1053"/>
      </w:tblGrid>
      <w:tr w:rsidR="007D3A0D" w:rsidRPr="007D3A0D" w:rsidTr="007D3A0D">
        <w:trPr>
          <w:cnfStyle w:val="1000000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P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1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BETA</w:t>
            </w:r>
          </w:p>
        </w:tc>
      </w:tr>
      <w:tr w:rsidR="007D3A0D" w:rsidRPr="007D3A0D" w:rsidTr="007D3A0D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D3A0D" w:rsidRPr="007D3A0D" w:rsidTr="007D3A0D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0.05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0.999864</w:t>
            </w:r>
          </w:p>
        </w:tc>
      </w:tr>
      <w:tr w:rsidR="007D3A0D" w:rsidRPr="007D3A0D" w:rsidTr="007D3A0D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0.927427</w:t>
            </w:r>
          </w:p>
        </w:tc>
      </w:tr>
      <w:tr w:rsidR="007D3A0D" w:rsidRPr="007D3A0D" w:rsidTr="007D3A0D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0.15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0.457224</w:t>
            </w:r>
          </w:p>
        </w:tc>
      </w:tr>
      <w:tr w:rsidR="007D3A0D" w:rsidRPr="007D3A0D" w:rsidTr="007D3A0D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0.2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0.080444</w:t>
            </w:r>
          </w:p>
        </w:tc>
      </w:tr>
      <w:tr w:rsidR="007D3A0D" w:rsidRPr="007D3A0D" w:rsidTr="007D3A0D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0.25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0.005421</w:t>
            </w:r>
          </w:p>
        </w:tc>
      </w:tr>
      <w:tr w:rsidR="007D3A0D" w:rsidRPr="007D3A0D" w:rsidTr="007D3A0D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0.3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0.000157</w:t>
            </w:r>
          </w:p>
        </w:tc>
      </w:tr>
      <w:tr w:rsidR="007D3A0D" w:rsidRPr="007D3A0D" w:rsidTr="007D3A0D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0.35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2.09E-06</w:t>
            </w:r>
          </w:p>
        </w:tc>
      </w:tr>
      <w:tr w:rsidR="007D3A0D" w:rsidRPr="007D3A0D" w:rsidTr="007D3A0D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0.4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1.29E-08</w:t>
            </w:r>
          </w:p>
        </w:tc>
      </w:tr>
      <w:tr w:rsidR="007D3A0D" w:rsidRPr="007D3A0D" w:rsidTr="007D3A0D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0.45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3.59E-11</w:t>
            </w:r>
          </w:p>
        </w:tc>
      </w:tr>
      <w:tr w:rsidR="007D3A0D" w:rsidRPr="007D3A0D" w:rsidTr="007D3A0D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4.14E-14</w:t>
            </w:r>
          </w:p>
        </w:tc>
      </w:tr>
      <w:tr w:rsidR="007D3A0D" w:rsidRPr="007D3A0D" w:rsidTr="007D3A0D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0.55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1.77E-17</w:t>
            </w:r>
          </w:p>
        </w:tc>
      </w:tr>
      <w:tr w:rsidR="007D3A0D" w:rsidRPr="007D3A0D" w:rsidTr="007D3A0D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0.6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2.32E-21</w:t>
            </w:r>
          </w:p>
        </w:tc>
      </w:tr>
      <w:tr w:rsidR="007D3A0D" w:rsidRPr="007D3A0D" w:rsidTr="007D3A0D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0.65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7.16E-26</w:t>
            </w:r>
          </w:p>
        </w:tc>
      </w:tr>
      <w:tr w:rsidR="007D3A0D" w:rsidRPr="007D3A0D" w:rsidTr="007D3A0D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0.7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3.47E-31</w:t>
            </w:r>
          </w:p>
        </w:tc>
      </w:tr>
      <w:tr w:rsidR="007D3A0D" w:rsidRPr="007D3A0D" w:rsidTr="007D3A0D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0.75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1.39E-37</w:t>
            </w:r>
          </w:p>
        </w:tc>
      </w:tr>
      <w:tr w:rsidR="007D3A0D" w:rsidRPr="007D3A0D" w:rsidTr="007D3A0D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0.8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1.57E-45</w:t>
            </w:r>
          </w:p>
        </w:tc>
      </w:tr>
      <w:tr w:rsidR="007D3A0D" w:rsidRPr="007D3A0D" w:rsidTr="007D3A0D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0.85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6.51E-56</w:t>
            </w:r>
          </w:p>
        </w:tc>
      </w:tr>
      <w:tr w:rsidR="007D3A0D" w:rsidRPr="007D3A0D" w:rsidTr="007D3A0D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1.03E-70</w:t>
            </w:r>
          </w:p>
        </w:tc>
      </w:tr>
      <w:tr w:rsidR="007D3A0D" w:rsidRPr="007D3A0D" w:rsidTr="007D3A0D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0.95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2.81E-96</w:t>
            </w:r>
          </w:p>
        </w:tc>
      </w:tr>
      <w:tr w:rsidR="007D3A0D" w:rsidRPr="007D3A0D" w:rsidTr="007D3A0D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0" w:type="auto"/>
            <w:noWrap/>
            <w:vAlign w:val="center"/>
            <w:hideMark/>
          </w:tcPr>
          <w:p w:rsidR="007D3A0D" w:rsidRPr="007D3A0D" w:rsidRDefault="007D3A0D" w:rsidP="007D3A0D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w:r w:rsidRPr="007D3A0D">
              <w:rPr>
                <w:rFonts w:ascii="Calibri" w:eastAsia="Times New Roman" w:hAnsi="Calibri" w:cs="Times New Roman"/>
              </w:rPr>
              <w:t>3.8E-156</w:t>
            </w:r>
          </w:p>
        </w:tc>
      </w:tr>
    </w:tbl>
    <w:p w:rsidR="007D3A0D" w:rsidRDefault="007D3A0D" w:rsidP="004719DF">
      <w:pPr>
        <w:rPr>
          <w:b/>
        </w:rPr>
      </w:pPr>
    </w:p>
    <w:p w:rsidR="007D3A0D" w:rsidRDefault="007D3A0D" w:rsidP="004719DF">
      <w:pPr>
        <w:rPr>
          <w:b/>
        </w:rPr>
      </w:pPr>
      <w:r>
        <w:rPr>
          <w:b/>
        </w:rPr>
        <w:lastRenderedPageBreak/>
        <w:t>GRAPH:</w:t>
      </w:r>
    </w:p>
    <w:p w:rsidR="007D3A0D" w:rsidRDefault="009E09FE" w:rsidP="009E09FE">
      <w:pPr>
        <w:jc w:val="center"/>
        <w:rPr>
          <w:b/>
        </w:rPr>
      </w:pPr>
      <w:r w:rsidRPr="009E09FE">
        <w:rPr>
          <w:b/>
        </w:rPr>
        <w:drawing>
          <wp:inline distT="0" distB="0" distL="0" distR="0">
            <wp:extent cx="4572000" cy="2743200"/>
            <wp:effectExtent l="19050" t="0" r="19050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719DF" w:rsidRDefault="00ED1FA8" w:rsidP="004719DF">
      <w:r w:rsidRPr="00ED1FA8">
        <w:rPr>
          <w:b/>
        </w:rPr>
        <w:t>INFERENCE:</w:t>
      </w:r>
    </w:p>
    <w:p w:rsidR="00F62A93" w:rsidRDefault="009E09FE" w:rsidP="00F62A93">
      <w:pPr>
        <w:pStyle w:val="ListParagraph"/>
        <w:numPr>
          <w:ilvl w:val="0"/>
          <w:numId w:val="5"/>
        </w:numPr>
      </w:pPr>
      <w:r>
        <w:t xml:space="preserve">As it is observable Alpha, the probability of causing type 1 error increases as p increases. </w:t>
      </w:r>
    </w:p>
    <w:p w:rsidR="0080505E" w:rsidRDefault="009E09FE" w:rsidP="00F62A93">
      <w:pPr>
        <w:pStyle w:val="ListParagraph"/>
        <w:numPr>
          <w:ilvl w:val="0"/>
          <w:numId w:val="5"/>
        </w:numPr>
      </w:pPr>
      <w:r>
        <w:t>Where Beta, the probability of causing Type 2 distribution decreases as p increases.</w:t>
      </w:r>
    </w:p>
    <w:sectPr w:rsidR="0080505E" w:rsidSect="00164577">
      <w:pgSz w:w="12240" w:h="15840"/>
      <w:pgMar w:top="1440" w:right="1440" w:bottom="1440" w:left="1440" w:header="720" w:footer="720" w:gutter="0"/>
      <w:pgBorders w:offsetFrom="page">
        <w:top w:val="thinThickMediumGap" w:sz="24" w:space="24" w:color="800000"/>
        <w:left w:val="thinThickMediumGap" w:sz="24" w:space="24" w:color="800000"/>
        <w:bottom w:val="thickThinMediumGap" w:sz="24" w:space="24" w:color="800000"/>
        <w:right w:val="thickThinMediumGap" w:sz="24" w:space="24" w:color="8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6128A"/>
    <w:multiLevelType w:val="hybridMultilevel"/>
    <w:tmpl w:val="964C7ABA"/>
    <w:lvl w:ilvl="0" w:tplc="85F466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41F6C"/>
    <w:multiLevelType w:val="hybridMultilevel"/>
    <w:tmpl w:val="8B1E7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B74A3"/>
    <w:multiLevelType w:val="hybridMultilevel"/>
    <w:tmpl w:val="41E66470"/>
    <w:lvl w:ilvl="0" w:tplc="EA345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477A8C"/>
    <w:multiLevelType w:val="hybridMultilevel"/>
    <w:tmpl w:val="851E3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83F8A"/>
    <w:multiLevelType w:val="hybridMultilevel"/>
    <w:tmpl w:val="3434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4523A5"/>
    <w:multiLevelType w:val="hybridMultilevel"/>
    <w:tmpl w:val="41E66470"/>
    <w:lvl w:ilvl="0" w:tplc="EA345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C74326"/>
    <w:multiLevelType w:val="hybridMultilevel"/>
    <w:tmpl w:val="41E66470"/>
    <w:lvl w:ilvl="0" w:tplc="EA345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3258ED"/>
    <w:multiLevelType w:val="hybridMultilevel"/>
    <w:tmpl w:val="66E24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001B7D"/>
    <w:multiLevelType w:val="hybridMultilevel"/>
    <w:tmpl w:val="8B1E7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4577"/>
    <w:rsid w:val="00164577"/>
    <w:rsid w:val="001761B2"/>
    <w:rsid w:val="001D291A"/>
    <w:rsid w:val="001E240E"/>
    <w:rsid w:val="00262529"/>
    <w:rsid w:val="002A44FE"/>
    <w:rsid w:val="003347CD"/>
    <w:rsid w:val="004719DF"/>
    <w:rsid w:val="005730BB"/>
    <w:rsid w:val="00592061"/>
    <w:rsid w:val="0060208A"/>
    <w:rsid w:val="006F165D"/>
    <w:rsid w:val="007127FE"/>
    <w:rsid w:val="0076398F"/>
    <w:rsid w:val="007C466A"/>
    <w:rsid w:val="007D3A0D"/>
    <w:rsid w:val="0080505E"/>
    <w:rsid w:val="00881AB4"/>
    <w:rsid w:val="008A6E08"/>
    <w:rsid w:val="008D5932"/>
    <w:rsid w:val="009C0C21"/>
    <w:rsid w:val="009E0258"/>
    <w:rsid w:val="009E09FE"/>
    <w:rsid w:val="00AA4503"/>
    <w:rsid w:val="00B962B8"/>
    <w:rsid w:val="00C2571D"/>
    <w:rsid w:val="00D054D9"/>
    <w:rsid w:val="00DD3308"/>
    <w:rsid w:val="00DE2D5B"/>
    <w:rsid w:val="00E429A5"/>
    <w:rsid w:val="00E755AF"/>
    <w:rsid w:val="00ED1FA8"/>
    <w:rsid w:val="00F52B35"/>
    <w:rsid w:val="00F62A93"/>
    <w:rsid w:val="00FF6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20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5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C257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8D593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6F16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20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2571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8D593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6F16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160;\DEEPTI_2014315_stats\TYPE1%20TYPE%2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160;\DEEPTI_2014315_stats\TYPE1%20TYPE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4"/>
  <c:chart>
    <c:title>
      <c:tx>
        <c:rich>
          <a:bodyPr/>
          <a:lstStyle/>
          <a:p>
            <a:pPr>
              <a:defRPr/>
            </a:pPr>
            <a:r>
              <a:rPr lang="en-US"/>
              <a:t>ALPHA DISTRIBUTION</a:t>
            </a:r>
          </a:p>
        </c:rich>
      </c:tx>
      <c:layout/>
    </c:title>
    <c:plotArea>
      <c:layout/>
      <c:scatterChart>
        <c:scatterStyle val="smoothMarker"/>
        <c:ser>
          <c:idx val="0"/>
          <c:order val="0"/>
          <c:xVal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  <c:pt idx="11">
                  <c:v>0.54999999999999993</c:v>
                </c:pt>
                <c:pt idx="12">
                  <c:v>0.6</c:v>
                </c:pt>
                <c:pt idx="13">
                  <c:v>0.65</c:v>
                </c:pt>
                <c:pt idx="14">
                  <c:v>0.70000000000000007</c:v>
                </c:pt>
                <c:pt idx="15">
                  <c:v>0.75000000000000011</c:v>
                </c:pt>
                <c:pt idx="16">
                  <c:v>0.80000000000000016</c:v>
                </c:pt>
                <c:pt idx="17">
                  <c:v>0.8500000000000002</c:v>
                </c:pt>
                <c:pt idx="18">
                  <c:v>0.90000000000000024</c:v>
                </c:pt>
                <c:pt idx="19">
                  <c:v>0.95000000000000029</c:v>
                </c:pt>
                <c:pt idx="20">
                  <c:v>0.99</c:v>
                </c:pt>
              </c:numCache>
            </c:numRef>
          </c:xVal>
          <c:y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3.7054076177822637E-5</c:v>
                </c:pt>
                <c:pt idx="2">
                  <c:v>3.9890527111083318E-2</c:v>
                </c:pt>
                <c:pt idx="3">
                  <c:v>0.43168483487428388</c:v>
                </c:pt>
                <c:pt idx="4">
                  <c:v>0.8714944851612082</c:v>
                </c:pt>
                <c:pt idx="5">
                  <c:v>0.98891673249254253</c:v>
                </c:pt>
                <c:pt idx="6">
                  <c:v>0.99959500045804739</c:v>
                </c:pt>
                <c:pt idx="7">
                  <c:v>0.99999330942121423</c:v>
                </c:pt>
                <c:pt idx="8">
                  <c:v>0.99999994926803826</c:v>
                </c:pt>
                <c:pt idx="9">
                  <c:v>0.99999999982839838</c:v>
                </c:pt>
                <c:pt idx="10">
                  <c:v>0.99999999999975553</c:v>
                </c:pt>
                <c:pt idx="11">
                  <c:v>1.0000000000000007</c:v>
                </c:pt>
                <c:pt idx="12">
                  <c:v>1</c:v>
                </c:pt>
                <c:pt idx="13">
                  <c:v>0.99999999999999634</c:v>
                </c:pt>
                <c:pt idx="14">
                  <c:v>1.0000000000000029</c:v>
                </c:pt>
                <c:pt idx="15">
                  <c:v>1.0000000000000009</c:v>
                </c:pt>
                <c:pt idx="16">
                  <c:v>0.99999999999999889</c:v>
                </c:pt>
                <c:pt idx="17">
                  <c:v>0.99999999999999911</c:v>
                </c:pt>
                <c:pt idx="18">
                  <c:v>1.0000000000000002</c:v>
                </c:pt>
                <c:pt idx="19">
                  <c:v>1.0000000000000007</c:v>
                </c:pt>
                <c:pt idx="20">
                  <c:v>0.99999999999999944</c:v>
                </c:pt>
              </c:numCache>
            </c:numRef>
          </c:yVal>
          <c:smooth val="1"/>
        </c:ser>
        <c:axId val="101446016"/>
        <c:axId val="101447936"/>
      </c:scatterChart>
      <c:valAx>
        <c:axId val="101446016"/>
        <c:scaling>
          <c:orientation val="minMax"/>
        </c:scaling>
        <c:axPos val="b"/>
        <c:title>
          <c:layout/>
        </c:title>
        <c:numFmt formatCode="General" sourceLinked="1"/>
        <c:majorTickMark val="none"/>
        <c:tickLblPos val="nextTo"/>
        <c:crossAx val="101447936"/>
        <c:crosses val="autoZero"/>
        <c:crossBetween val="midCat"/>
      </c:valAx>
      <c:valAx>
        <c:axId val="101447936"/>
        <c:scaling>
          <c:orientation val="minMax"/>
        </c:scaling>
        <c:axPos val="l"/>
        <c:majorGridlines/>
        <c:title>
          <c:layout/>
        </c:title>
        <c:numFmt formatCode="General" sourceLinked="1"/>
        <c:majorTickMark val="none"/>
        <c:tickLblPos val="nextTo"/>
        <c:crossAx val="101446016"/>
        <c:crosses val="autoZero"/>
        <c:crossBetween val="midCat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4"/>
  <c:chart>
    <c:title>
      <c:tx>
        <c:rich>
          <a:bodyPr/>
          <a:lstStyle/>
          <a:p>
            <a:pPr>
              <a:defRPr/>
            </a:pPr>
            <a:r>
              <a:rPr lang="en-US"/>
              <a:t>BETA DISTRIBUTION</a:t>
            </a:r>
          </a:p>
        </c:rich>
      </c:tx>
      <c:layout/>
    </c:title>
    <c:plotArea>
      <c:layout/>
      <c:scatterChart>
        <c:scatterStyle val="smoothMarker"/>
        <c:ser>
          <c:idx val="0"/>
          <c:order val="0"/>
          <c:xVal>
            <c:numRef>
              <c:f>Sheet1!$A$25:$A$45</c:f>
              <c:numCache>
                <c:formatCode>General</c:formatCode>
                <c:ptCount val="2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  <c:pt idx="11">
                  <c:v>0.54999999999999993</c:v>
                </c:pt>
                <c:pt idx="12">
                  <c:v>0.6</c:v>
                </c:pt>
                <c:pt idx="13">
                  <c:v>0.65</c:v>
                </c:pt>
                <c:pt idx="14">
                  <c:v>0.70000000000000007</c:v>
                </c:pt>
                <c:pt idx="15">
                  <c:v>0.75000000000000011</c:v>
                </c:pt>
                <c:pt idx="16">
                  <c:v>0.80000000000000016</c:v>
                </c:pt>
                <c:pt idx="17">
                  <c:v>0.8500000000000002</c:v>
                </c:pt>
                <c:pt idx="18">
                  <c:v>0.90000000000000024</c:v>
                </c:pt>
                <c:pt idx="19">
                  <c:v>0.95000000000000029</c:v>
                </c:pt>
                <c:pt idx="20">
                  <c:v>0.99</c:v>
                </c:pt>
              </c:numCache>
            </c:numRef>
          </c:xVal>
          <c:yVal>
            <c:numRef>
              <c:f>Sheet1!$B$25:$B$45</c:f>
              <c:numCache>
                <c:formatCode>General</c:formatCode>
                <c:ptCount val="21"/>
                <c:pt idx="0">
                  <c:v>1</c:v>
                </c:pt>
                <c:pt idx="1">
                  <c:v>0.99986414576100413</c:v>
                </c:pt>
                <c:pt idx="2">
                  <c:v>0.92742703473512289</c:v>
                </c:pt>
                <c:pt idx="3">
                  <c:v>0.45722420577594935</c:v>
                </c:pt>
                <c:pt idx="4">
                  <c:v>8.0443721138051039E-2</c:v>
                </c:pt>
                <c:pt idx="5">
                  <c:v>5.4207616527989499E-3</c:v>
                </c:pt>
                <c:pt idx="6">
                  <c:v>1.5734096810014135E-4</c:v>
                </c:pt>
                <c:pt idx="7">
                  <c:v>2.0948210605892283E-6</c:v>
                </c:pt>
                <c:pt idx="8">
                  <c:v>1.293497385554849E-8</c:v>
                </c:pt>
                <c:pt idx="9">
                  <c:v>3.5854973455627178E-11</c:v>
                </c:pt>
                <c:pt idx="10">
                  <c:v>4.1422259360400444E-14</c:v>
                </c:pt>
                <c:pt idx="11">
                  <c:v>1.7667112304292405E-17</c:v>
                </c:pt>
                <c:pt idx="12">
                  <c:v>2.3192819590804934E-21</c:v>
                </c:pt>
                <c:pt idx="13">
                  <c:v>7.1611144482005648E-26</c:v>
                </c:pt>
                <c:pt idx="14">
                  <c:v>3.4668585213860579E-31</c:v>
                </c:pt>
                <c:pt idx="15">
                  <c:v>1.3893856470801602E-37</c:v>
                </c:pt>
                <c:pt idx="16">
                  <c:v>1.5664052174791938E-45</c:v>
                </c:pt>
                <c:pt idx="17">
                  <c:v>6.5086115352182104E-56</c:v>
                </c:pt>
                <c:pt idx="18">
                  <c:v>1.0292307373755912E-70</c:v>
                </c:pt>
                <c:pt idx="19">
                  <c:v>2.8088988922527078E-96</c:v>
                </c:pt>
                <c:pt idx="20">
                  <c:v>3.8449711169970902E-156</c:v>
                </c:pt>
              </c:numCache>
            </c:numRef>
          </c:yVal>
          <c:smooth val="1"/>
        </c:ser>
        <c:axId val="101406208"/>
        <c:axId val="102607104"/>
      </c:scatterChart>
      <c:valAx>
        <c:axId val="101406208"/>
        <c:scaling>
          <c:orientation val="minMax"/>
        </c:scaling>
        <c:axPos val="b"/>
        <c:title>
          <c:layout/>
        </c:title>
        <c:numFmt formatCode="General" sourceLinked="1"/>
        <c:majorTickMark val="none"/>
        <c:tickLblPos val="nextTo"/>
        <c:crossAx val="102607104"/>
        <c:crosses val="autoZero"/>
        <c:crossBetween val="midCat"/>
      </c:valAx>
      <c:valAx>
        <c:axId val="102607104"/>
        <c:scaling>
          <c:orientation val="minMax"/>
        </c:scaling>
        <c:axPos val="l"/>
        <c:majorGridlines/>
        <c:title>
          <c:layout/>
        </c:title>
        <c:numFmt formatCode="General" sourceLinked="1"/>
        <c:majorTickMark val="none"/>
        <c:tickLblPos val="nextTo"/>
        <c:crossAx val="101406208"/>
        <c:crosses val="autoZero"/>
        <c:crossBetween val="midCat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ANDEE</cp:lastModifiedBy>
  <cp:revision>14</cp:revision>
  <dcterms:created xsi:type="dcterms:W3CDTF">2017-02-18T17:37:00Z</dcterms:created>
  <dcterms:modified xsi:type="dcterms:W3CDTF">2017-04-24T03:10:00Z</dcterms:modified>
</cp:coreProperties>
</file>