
<file path=[Content_Types].xml><?xml version="1.0" encoding="utf-8"?>
<Types xmlns="http://schemas.openxmlformats.org/package/2006/content-types">
  <Default Extension="png" ContentType="image/png"/>
  <Default Extension="bin" ContentType="application/vnd.openxmlformats-officedocument.oleObject"/>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1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50"/>
        <w:gridCol w:w="3544"/>
        <w:gridCol w:w="2332"/>
        <w:gridCol w:w="219"/>
        <w:gridCol w:w="522"/>
        <w:gridCol w:w="2030"/>
        <w:gridCol w:w="292"/>
      </w:tblGrid>
      <w:tr w:rsidR="002901B3" w:rsidRPr="00F66E44" w:rsidTr="00297887">
        <w:trPr>
          <w:cantSplit/>
          <w:trHeight w:val="1408"/>
        </w:trPr>
        <w:tc>
          <w:tcPr>
            <w:tcW w:w="6126" w:type="dxa"/>
            <w:gridSpan w:val="3"/>
            <w:tcBorders>
              <w:bottom w:val="single" w:sz="4" w:space="0" w:color="auto"/>
            </w:tcBorders>
            <w:vAlign w:val="center"/>
          </w:tcPr>
          <w:p w:rsidR="002901B3" w:rsidRPr="00F66E44" w:rsidRDefault="00703795">
            <w:pPr>
              <w:pStyle w:val="Heading1"/>
              <w:spacing w:before="40" w:after="40"/>
              <w:jc w:val="center"/>
              <w:rPr>
                <w:rFonts w:cs="Arial"/>
                <w:color w:val="808000"/>
                <w:sz w:val="32"/>
              </w:rPr>
            </w:pPr>
            <w:bookmarkStart w:id="0" w:name="_Toc492277425"/>
            <w:bookmarkStart w:id="1" w:name="_Toc90097185"/>
            <w:bookmarkStart w:id="2" w:name="_Toc90097357"/>
            <w:bookmarkStart w:id="3" w:name="_Toc90097583"/>
            <w:bookmarkStart w:id="4" w:name="_Toc481314384"/>
            <w:r w:rsidRPr="00F66E44">
              <w:rPr>
                <w:rFonts w:cs="Arial"/>
                <w:color w:val="808000"/>
                <w:szCs w:val="32"/>
              </w:rPr>
              <w:t>Habitats Directive: Form for recording likely significant effect (Stage 2)</w:t>
            </w:r>
            <w:bookmarkEnd w:id="0"/>
            <w:bookmarkEnd w:id="1"/>
            <w:bookmarkEnd w:id="2"/>
            <w:bookmarkEnd w:id="3"/>
          </w:p>
        </w:tc>
        <w:tc>
          <w:tcPr>
            <w:tcW w:w="3063" w:type="dxa"/>
            <w:gridSpan w:val="4"/>
            <w:vAlign w:val="center"/>
          </w:tcPr>
          <w:p w:rsidR="002901B3" w:rsidRPr="00F66E44" w:rsidRDefault="00297887">
            <w:pPr>
              <w:pStyle w:val="Heading4"/>
              <w:rPr>
                <w:rFonts w:ascii="Arial" w:hAnsi="Arial" w:cs="Arial"/>
                <w:sz w:val="24"/>
              </w:rPr>
            </w:pPr>
            <w:r w:rsidRPr="00F66E44">
              <w:rPr>
                <w:rFonts w:ascii="Arial" w:hAnsi="Arial" w:cs="Arial"/>
                <w:sz w:val="20"/>
              </w:rPr>
              <w:object w:dxaOrig="9802" w:dyaOrig="40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4.45pt;height:59.2pt" o:ole="" fillcolor="window">
                  <v:imagedata r:id="rId6" o:title=""/>
                </v:shape>
                <o:OLEObject Type="Embed" ProgID="PBrush" ShapeID="_x0000_i1025" DrawAspect="Content" ObjectID="_1422863321" r:id="rId7"/>
              </w:object>
            </w:r>
          </w:p>
        </w:tc>
      </w:tr>
      <w:tr w:rsidR="002901B3" w:rsidRPr="00F66E44" w:rsidTr="00703795">
        <w:trPr>
          <w:cantSplit/>
        </w:trPr>
        <w:tc>
          <w:tcPr>
            <w:tcW w:w="9189" w:type="dxa"/>
            <w:gridSpan w:val="7"/>
            <w:tcBorders>
              <w:bottom w:val="single" w:sz="4" w:space="0" w:color="auto"/>
            </w:tcBorders>
          </w:tcPr>
          <w:p w:rsidR="002901B3" w:rsidRPr="00F66E44" w:rsidRDefault="00703795" w:rsidP="00E00D35">
            <w:pPr>
              <w:pStyle w:val="BodyText3"/>
              <w:jc w:val="center"/>
              <w:rPr>
                <w:rFonts w:cs="Arial"/>
              </w:rPr>
            </w:pPr>
            <w:r w:rsidRPr="00F66E44">
              <w:rPr>
                <w:rFonts w:cs="Arial"/>
                <w:color w:val="808000"/>
                <w:sz w:val="32"/>
                <w:szCs w:val="32"/>
              </w:rPr>
              <w:t xml:space="preserve">For information </w:t>
            </w:r>
          </w:p>
          <w:p w:rsidR="00703795" w:rsidRPr="00F66E44" w:rsidRDefault="00703795">
            <w:pPr>
              <w:pStyle w:val="BodyText3"/>
              <w:rPr>
                <w:rFonts w:cs="Arial"/>
              </w:rPr>
            </w:pPr>
          </w:p>
          <w:p w:rsidR="00E00D35" w:rsidRPr="00F66E44" w:rsidRDefault="00E00D35">
            <w:pPr>
              <w:pStyle w:val="BodyText3"/>
              <w:rPr>
                <w:rFonts w:cs="Arial"/>
              </w:rPr>
            </w:pPr>
          </w:p>
          <w:p w:rsidR="00E00D35" w:rsidRPr="00F66E44" w:rsidRDefault="00E00D35">
            <w:pPr>
              <w:pStyle w:val="BodyText3"/>
              <w:rPr>
                <w:rFonts w:cs="Arial"/>
              </w:rPr>
            </w:pPr>
          </w:p>
          <w:p w:rsidR="00E00D35" w:rsidRPr="00F66E44" w:rsidRDefault="00E00D35">
            <w:pPr>
              <w:pStyle w:val="BodyText3"/>
              <w:rPr>
                <w:rFonts w:cs="Arial"/>
              </w:rPr>
            </w:pPr>
          </w:p>
          <w:p w:rsidR="002901B3" w:rsidRPr="00F66E44" w:rsidRDefault="002901B3">
            <w:pPr>
              <w:pStyle w:val="BodyText3"/>
              <w:rPr>
                <w:rFonts w:cs="Arial"/>
              </w:rPr>
            </w:pPr>
          </w:p>
        </w:tc>
      </w:tr>
      <w:tr w:rsidR="002901B3" w:rsidRPr="00F66E44" w:rsidTr="00703795">
        <w:trPr>
          <w:cantSplit/>
        </w:trPr>
        <w:tc>
          <w:tcPr>
            <w:tcW w:w="9189" w:type="dxa"/>
            <w:gridSpan w:val="7"/>
            <w:shd w:val="clear" w:color="000000" w:fill="FFFF99"/>
          </w:tcPr>
          <w:p w:rsidR="00703795" w:rsidRPr="00F66E44" w:rsidRDefault="00703795" w:rsidP="00703795">
            <w:pPr>
              <w:rPr>
                <w:rFonts w:ascii="Arial" w:hAnsi="Arial" w:cs="Arial"/>
                <w:b/>
                <w:color w:val="808000"/>
              </w:rPr>
            </w:pPr>
            <w:r w:rsidRPr="00F66E44">
              <w:rPr>
                <w:rFonts w:ascii="Arial" w:hAnsi="Arial" w:cs="Arial"/>
                <w:b/>
                <w:color w:val="808000"/>
              </w:rPr>
              <w:t>Part A</w:t>
            </w:r>
          </w:p>
          <w:p w:rsidR="002901B3" w:rsidRPr="00F66E44" w:rsidRDefault="00703795" w:rsidP="00703795">
            <w:pPr>
              <w:rPr>
                <w:rFonts w:ascii="Arial" w:hAnsi="Arial" w:cs="Arial"/>
                <w:b/>
                <w:i/>
                <w:sz w:val="20"/>
              </w:rPr>
            </w:pPr>
            <w:r w:rsidRPr="00F66E44">
              <w:rPr>
                <w:rFonts w:ascii="Arial" w:hAnsi="Arial" w:cs="Arial"/>
                <w:b/>
                <w:color w:val="808000"/>
                <w:sz w:val="20"/>
              </w:rPr>
              <w:t>Permitting officer to complete this section in consultation with Conservation/Ecology section and Natural England/Countryside Council for Wales (CCW)</w:t>
            </w:r>
          </w:p>
        </w:tc>
      </w:tr>
      <w:tr w:rsidR="002901B3" w:rsidRPr="00F66E44">
        <w:trPr>
          <w:cantSplit/>
        </w:trPr>
        <w:tc>
          <w:tcPr>
            <w:tcW w:w="3794" w:type="dxa"/>
            <w:gridSpan w:val="2"/>
          </w:tcPr>
          <w:p w:rsidR="002901B3" w:rsidRPr="00F66E44" w:rsidRDefault="002901B3" w:rsidP="00703795">
            <w:pPr>
              <w:pStyle w:val="AgencySubHeadings"/>
            </w:pPr>
            <w:r w:rsidRPr="00F66E44">
              <w:t>Type of permission/activity:</w:t>
            </w:r>
          </w:p>
        </w:tc>
        <w:tc>
          <w:tcPr>
            <w:tcW w:w="5395" w:type="dxa"/>
            <w:gridSpan w:val="5"/>
          </w:tcPr>
          <w:p w:rsidR="002901B3" w:rsidRPr="00F66E44" w:rsidRDefault="00FF3F5F">
            <w:pPr>
              <w:pStyle w:val="Header"/>
              <w:tabs>
                <w:tab w:val="clear" w:pos="4153"/>
                <w:tab w:val="clear" w:pos="8306"/>
              </w:tabs>
              <w:rPr>
                <w:rFonts w:ascii="Arial" w:hAnsi="Arial" w:cs="Arial"/>
                <w:sz w:val="20"/>
              </w:rPr>
            </w:pPr>
            <w:bookmarkStart w:id="5" w:name="bmkPermission2"/>
            <w:r w:rsidRPr="00F66E44">
              <w:rPr>
                <w:rFonts w:ascii="Arial" w:hAnsi="Arial" w:cs="Arial"/>
                <w:sz w:val="20"/>
              </w:rPr>
              <w:t>Discharge Consents</w:t>
            </w:r>
            <w:bookmarkEnd w:id="5"/>
          </w:p>
        </w:tc>
      </w:tr>
      <w:tr w:rsidR="002901B3" w:rsidRPr="00F66E44">
        <w:trPr>
          <w:cantSplit/>
        </w:trPr>
        <w:tc>
          <w:tcPr>
            <w:tcW w:w="3794" w:type="dxa"/>
            <w:gridSpan w:val="2"/>
          </w:tcPr>
          <w:p w:rsidR="002901B3" w:rsidRPr="00F66E44" w:rsidRDefault="00703795">
            <w:pPr>
              <w:rPr>
                <w:rFonts w:ascii="Arial" w:hAnsi="Arial" w:cs="Arial"/>
                <w:b/>
                <w:sz w:val="20"/>
              </w:rPr>
            </w:pPr>
            <w:r w:rsidRPr="00F66E44">
              <w:rPr>
                <w:rFonts w:ascii="Arial" w:hAnsi="Arial" w:cs="Arial"/>
                <w:b/>
                <w:sz w:val="20"/>
              </w:rPr>
              <w:t xml:space="preserve">Environment </w:t>
            </w:r>
            <w:r w:rsidR="002901B3" w:rsidRPr="00F66E44">
              <w:rPr>
                <w:rFonts w:ascii="Arial" w:hAnsi="Arial" w:cs="Arial"/>
                <w:b/>
                <w:sz w:val="20"/>
              </w:rPr>
              <w:t>Agency reference no:</w:t>
            </w:r>
            <w:r w:rsidR="002901B3" w:rsidRPr="00F66E44">
              <w:rPr>
                <w:rFonts w:ascii="Arial" w:hAnsi="Arial" w:cs="Arial"/>
                <w:b/>
                <w:sz w:val="20"/>
              </w:rPr>
              <w:tab/>
            </w:r>
          </w:p>
        </w:tc>
        <w:tc>
          <w:tcPr>
            <w:tcW w:w="5395" w:type="dxa"/>
            <w:gridSpan w:val="5"/>
          </w:tcPr>
          <w:p w:rsidR="002901B3" w:rsidRPr="00F66E44" w:rsidRDefault="00FF3F5F">
            <w:pPr>
              <w:rPr>
                <w:rFonts w:ascii="Arial" w:hAnsi="Arial" w:cs="Arial"/>
                <w:sz w:val="20"/>
              </w:rPr>
            </w:pPr>
            <w:bookmarkStart w:id="6" w:name="bmkReferenceNo"/>
            <w:r w:rsidRPr="00F66E44">
              <w:rPr>
                <w:rFonts w:ascii="Arial" w:hAnsi="Arial" w:cs="Arial"/>
                <w:sz w:val="20"/>
              </w:rPr>
              <w:t>EPR/ZP3821GK</w:t>
            </w:r>
            <w:bookmarkEnd w:id="6"/>
          </w:p>
        </w:tc>
      </w:tr>
      <w:tr w:rsidR="002901B3" w:rsidRPr="00F66E44">
        <w:trPr>
          <w:cantSplit/>
        </w:trPr>
        <w:tc>
          <w:tcPr>
            <w:tcW w:w="3794" w:type="dxa"/>
            <w:gridSpan w:val="2"/>
          </w:tcPr>
          <w:p w:rsidR="002901B3" w:rsidRPr="00F66E44" w:rsidRDefault="00703795">
            <w:pPr>
              <w:rPr>
                <w:rFonts w:ascii="Arial" w:hAnsi="Arial" w:cs="Arial"/>
                <w:b/>
                <w:sz w:val="20"/>
              </w:rPr>
            </w:pPr>
            <w:r w:rsidRPr="00F66E44">
              <w:rPr>
                <w:rFonts w:ascii="Arial" w:hAnsi="Arial" w:cs="Arial"/>
                <w:b/>
                <w:sz w:val="20"/>
              </w:rPr>
              <w:t>National g</w:t>
            </w:r>
            <w:r w:rsidR="002901B3" w:rsidRPr="00F66E44">
              <w:rPr>
                <w:rFonts w:ascii="Arial" w:hAnsi="Arial" w:cs="Arial"/>
                <w:b/>
                <w:sz w:val="20"/>
              </w:rPr>
              <w:t>rid reference:</w:t>
            </w:r>
          </w:p>
        </w:tc>
        <w:tc>
          <w:tcPr>
            <w:tcW w:w="5395" w:type="dxa"/>
            <w:gridSpan w:val="5"/>
          </w:tcPr>
          <w:p w:rsidR="002901B3" w:rsidRPr="00F66E44" w:rsidRDefault="00FF3F5F">
            <w:pPr>
              <w:rPr>
                <w:rFonts w:ascii="Arial" w:hAnsi="Arial" w:cs="Arial"/>
                <w:sz w:val="20"/>
              </w:rPr>
            </w:pPr>
            <w:bookmarkStart w:id="7" w:name="bmkNGR"/>
            <w:r w:rsidRPr="00F66E44">
              <w:rPr>
                <w:rFonts w:ascii="Arial" w:hAnsi="Arial" w:cs="Arial"/>
                <w:sz w:val="20"/>
              </w:rPr>
              <w:t>ST 58142 60252</w:t>
            </w:r>
            <w:bookmarkEnd w:id="7"/>
          </w:p>
        </w:tc>
      </w:tr>
      <w:tr w:rsidR="002901B3" w:rsidRPr="00F66E44">
        <w:trPr>
          <w:cantSplit/>
        </w:trPr>
        <w:tc>
          <w:tcPr>
            <w:tcW w:w="3794" w:type="dxa"/>
            <w:gridSpan w:val="2"/>
          </w:tcPr>
          <w:p w:rsidR="002901B3" w:rsidRPr="00F66E44" w:rsidRDefault="00703795" w:rsidP="00703795">
            <w:pPr>
              <w:pStyle w:val="AgencySubHeadings"/>
            </w:pPr>
            <w:r w:rsidRPr="00F66E44">
              <w:t>Site description</w:t>
            </w:r>
            <w:r w:rsidR="002901B3" w:rsidRPr="00F66E44">
              <w:t>:</w:t>
            </w:r>
          </w:p>
        </w:tc>
        <w:tc>
          <w:tcPr>
            <w:tcW w:w="5395" w:type="dxa"/>
            <w:gridSpan w:val="5"/>
          </w:tcPr>
          <w:p w:rsidR="002901B3" w:rsidRPr="007B30C4" w:rsidRDefault="007B30C4" w:rsidP="007B30C4">
            <w:pPr>
              <w:pStyle w:val="EndnoteText"/>
              <w:rPr>
                <w:rFonts w:cs="Arial"/>
                <w:sz w:val="20"/>
              </w:rPr>
            </w:pPr>
            <w:r>
              <w:rPr>
                <w:rFonts w:cs="Arial"/>
                <w:sz w:val="20"/>
              </w:rPr>
              <w:t>Sewage pumping station at Bishop Sutton, Ham Lane, Bishop Sutton, Bristol, BS39 5TY.</w:t>
            </w:r>
          </w:p>
        </w:tc>
      </w:tr>
      <w:tr w:rsidR="002901B3" w:rsidRPr="00F66E44">
        <w:trPr>
          <w:cantSplit/>
        </w:trPr>
        <w:tc>
          <w:tcPr>
            <w:tcW w:w="3794" w:type="dxa"/>
            <w:gridSpan w:val="2"/>
          </w:tcPr>
          <w:p w:rsidR="002901B3" w:rsidRPr="00F66E44" w:rsidRDefault="002901B3" w:rsidP="00703795">
            <w:pPr>
              <w:pStyle w:val="AgencySubHeadings"/>
            </w:pPr>
            <w:r w:rsidRPr="00F66E44">
              <w:t>Brief description of proposal:</w:t>
            </w:r>
          </w:p>
        </w:tc>
        <w:tc>
          <w:tcPr>
            <w:tcW w:w="5395" w:type="dxa"/>
            <w:gridSpan w:val="5"/>
          </w:tcPr>
          <w:p w:rsidR="007B30C4" w:rsidRDefault="007B30C4" w:rsidP="007B30C4">
            <w:pPr>
              <w:pStyle w:val="EndnoteText"/>
              <w:rPr>
                <w:rFonts w:cs="Arial"/>
                <w:sz w:val="20"/>
                <w:lang w:val="en-US"/>
              </w:rPr>
            </w:pPr>
          </w:p>
          <w:p w:rsidR="007B30C4" w:rsidRPr="00F66E44" w:rsidRDefault="007B30C4" w:rsidP="007B30C4">
            <w:pPr>
              <w:pStyle w:val="EndnoteText"/>
              <w:rPr>
                <w:rFonts w:cs="Arial"/>
                <w:sz w:val="20"/>
                <w:lang w:val="en-US"/>
              </w:rPr>
            </w:pPr>
            <w:r w:rsidRPr="00F66E44">
              <w:rPr>
                <w:rFonts w:cs="Arial"/>
                <w:sz w:val="20"/>
                <w:lang w:val="en-US"/>
              </w:rPr>
              <w:t xml:space="preserve">Wessex Water Services Limited have applied for a permit for an existing intermittent discharge of storm sewage and sewage discharged in an emergency from a Pumping Station at Bishop Sutton.  The </w:t>
            </w:r>
            <w:r w:rsidR="00055E18">
              <w:rPr>
                <w:rFonts w:cs="Arial"/>
                <w:sz w:val="20"/>
                <w:lang w:val="en-US"/>
              </w:rPr>
              <w:t xml:space="preserve">location of the discharge is </w:t>
            </w:r>
            <w:r w:rsidRPr="00F66E44">
              <w:rPr>
                <w:rFonts w:cs="Arial"/>
                <w:sz w:val="20"/>
                <w:lang w:val="en-US"/>
              </w:rPr>
              <w:t>approximately 130m upstream of Chew Valley Lake (see attached map).</w:t>
            </w:r>
          </w:p>
          <w:p w:rsidR="007B30C4" w:rsidRDefault="007B30C4" w:rsidP="00750355">
            <w:pPr>
              <w:pStyle w:val="EndnoteText"/>
              <w:rPr>
                <w:rFonts w:cs="Arial"/>
                <w:sz w:val="20"/>
                <w:lang w:val="en-US"/>
              </w:rPr>
            </w:pPr>
          </w:p>
          <w:p w:rsidR="00750355" w:rsidRPr="00F66E44" w:rsidRDefault="00750355" w:rsidP="00750355">
            <w:pPr>
              <w:pStyle w:val="EndnoteText"/>
              <w:rPr>
                <w:rFonts w:cs="Arial"/>
                <w:sz w:val="20"/>
                <w:lang w:val="en-US"/>
              </w:rPr>
            </w:pPr>
            <w:r w:rsidRPr="00F66E44">
              <w:rPr>
                <w:rFonts w:cs="Arial"/>
                <w:sz w:val="20"/>
                <w:lang w:val="en-US"/>
              </w:rPr>
              <w:t>The Emergency Overflow (EO) and Combined Sewer Overflow (CSO) have been in place</w:t>
            </w:r>
            <w:r w:rsidR="004C6C3D">
              <w:rPr>
                <w:rFonts w:cs="Arial"/>
                <w:sz w:val="20"/>
                <w:lang w:val="en-US"/>
              </w:rPr>
              <w:t xml:space="preserve"> and operating for many years. The </w:t>
            </w:r>
            <w:r w:rsidRPr="00F66E44">
              <w:rPr>
                <w:rFonts w:cs="Arial"/>
                <w:sz w:val="20"/>
                <w:lang w:val="en-US"/>
              </w:rPr>
              <w:t xml:space="preserve">discharge </w:t>
            </w:r>
            <w:r w:rsidR="004C6C3D">
              <w:rPr>
                <w:rFonts w:cs="Arial"/>
                <w:sz w:val="20"/>
                <w:lang w:val="en-US"/>
              </w:rPr>
              <w:t xml:space="preserve">will consist </w:t>
            </w:r>
            <w:r w:rsidRPr="00F66E44">
              <w:rPr>
                <w:rFonts w:cs="Arial"/>
                <w:sz w:val="20"/>
                <w:lang w:val="en-US"/>
              </w:rPr>
              <w:t xml:space="preserve">of domestic sewage </w:t>
            </w:r>
            <w:r w:rsidR="004C6C3D">
              <w:rPr>
                <w:rFonts w:cs="Arial"/>
                <w:sz w:val="20"/>
                <w:lang w:val="en-US"/>
              </w:rPr>
              <w:t xml:space="preserve">effluent with </w:t>
            </w:r>
            <w:r w:rsidRPr="00F66E44">
              <w:rPr>
                <w:rFonts w:cs="Arial"/>
                <w:sz w:val="20"/>
                <w:lang w:val="en-US"/>
              </w:rPr>
              <w:t>no trade component.  Wessex Water are improving the facility by increasing the volume of storm storage and providing improved screening of the discharge.  The proposed improvements will reduce spill frequencies and volumes and improve screening</w:t>
            </w:r>
            <w:r w:rsidR="00055E18">
              <w:rPr>
                <w:rFonts w:cs="Arial"/>
                <w:sz w:val="20"/>
                <w:lang w:val="en-US"/>
              </w:rPr>
              <w:t>/asthetic impacts</w:t>
            </w:r>
            <w:r w:rsidRPr="00F66E44">
              <w:rPr>
                <w:rFonts w:cs="Arial"/>
                <w:sz w:val="20"/>
                <w:lang w:val="en-US"/>
              </w:rPr>
              <w:t xml:space="preserve"> considerably.  </w:t>
            </w:r>
          </w:p>
          <w:p w:rsidR="002901B3" w:rsidRPr="00F66E44" w:rsidRDefault="002901B3" w:rsidP="00F66E44">
            <w:pPr>
              <w:rPr>
                <w:rFonts w:ascii="Arial" w:hAnsi="Arial" w:cs="Arial"/>
                <w:i/>
                <w:sz w:val="20"/>
              </w:rPr>
            </w:pPr>
          </w:p>
        </w:tc>
      </w:tr>
      <w:tr w:rsidR="002901B3" w:rsidRPr="00F66E44">
        <w:trPr>
          <w:cantSplit/>
        </w:trPr>
        <w:tc>
          <w:tcPr>
            <w:tcW w:w="3794" w:type="dxa"/>
            <w:gridSpan w:val="2"/>
          </w:tcPr>
          <w:p w:rsidR="002901B3" w:rsidRPr="00F66E44" w:rsidRDefault="002901B3">
            <w:pPr>
              <w:rPr>
                <w:rFonts w:ascii="Arial" w:hAnsi="Arial" w:cs="Arial"/>
                <w:sz w:val="20"/>
              </w:rPr>
            </w:pPr>
            <w:r w:rsidRPr="00F66E44">
              <w:rPr>
                <w:rFonts w:ascii="Arial" w:hAnsi="Arial" w:cs="Arial"/>
                <w:b/>
                <w:sz w:val="20"/>
              </w:rPr>
              <w:t>European site name(s) and</w:t>
            </w:r>
            <w:r w:rsidR="00C71213" w:rsidRPr="00F66E44">
              <w:rPr>
                <w:rFonts w:ascii="Arial" w:hAnsi="Arial" w:cs="Arial"/>
                <w:b/>
                <w:sz w:val="20"/>
              </w:rPr>
              <w:t xml:space="preserve"> </w:t>
            </w:r>
            <w:r w:rsidRPr="00F66E44">
              <w:rPr>
                <w:rFonts w:ascii="Arial" w:hAnsi="Arial" w:cs="Arial"/>
                <w:b/>
                <w:sz w:val="20"/>
              </w:rPr>
              <w:t>status</w:t>
            </w:r>
            <w:r w:rsidRPr="00F66E44">
              <w:rPr>
                <w:rFonts w:ascii="Arial" w:hAnsi="Arial" w:cs="Arial"/>
                <w:sz w:val="20"/>
              </w:rPr>
              <w:t>:</w:t>
            </w:r>
          </w:p>
          <w:p w:rsidR="00C71213" w:rsidRPr="00F66E44" w:rsidRDefault="00C71213">
            <w:pPr>
              <w:rPr>
                <w:rFonts w:ascii="Arial" w:hAnsi="Arial" w:cs="Arial"/>
                <w:b/>
                <w:sz w:val="20"/>
              </w:rPr>
            </w:pPr>
          </w:p>
        </w:tc>
        <w:tc>
          <w:tcPr>
            <w:tcW w:w="5395" w:type="dxa"/>
            <w:gridSpan w:val="5"/>
          </w:tcPr>
          <w:p w:rsidR="002901B3" w:rsidRPr="007B30C4" w:rsidRDefault="00FF3F5F" w:rsidP="00750355">
            <w:pPr>
              <w:rPr>
                <w:rFonts w:ascii="Arial" w:hAnsi="Arial" w:cs="Arial"/>
                <w:b/>
                <w:sz w:val="20"/>
              </w:rPr>
            </w:pPr>
            <w:bookmarkStart w:id="8" w:name="bmkSiteNames"/>
            <w:r w:rsidRPr="007B30C4">
              <w:rPr>
                <w:rFonts w:ascii="Arial" w:hAnsi="Arial" w:cs="Arial"/>
                <w:b/>
                <w:sz w:val="20"/>
              </w:rPr>
              <w:t xml:space="preserve">Chew Valley Lake SPA </w:t>
            </w:r>
            <w:bookmarkEnd w:id="8"/>
          </w:p>
        </w:tc>
      </w:tr>
      <w:tr w:rsidR="002901B3" w:rsidRPr="00F66E44">
        <w:trPr>
          <w:cantSplit/>
        </w:trPr>
        <w:tc>
          <w:tcPr>
            <w:tcW w:w="3794" w:type="dxa"/>
            <w:gridSpan w:val="2"/>
          </w:tcPr>
          <w:p w:rsidR="002901B3" w:rsidRPr="00F66E44" w:rsidRDefault="002901B3">
            <w:pPr>
              <w:rPr>
                <w:rFonts w:ascii="Arial" w:hAnsi="Arial" w:cs="Arial"/>
                <w:b/>
                <w:sz w:val="20"/>
              </w:rPr>
            </w:pPr>
            <w:r w:rsidRPr="00F66E44">
              <w:rPr>
                <w:rFonts w:ascii="Arial" w:hAnsi="Arial" w:cs="Arial"/>
                <w:b/>
                <w:sz w:val="20"/>
              </w:rPr>
              <w:t>List of interest features</w:t>
            </w:r>
            <w:r w:rsidR="003634CE" w:rsidRPr="00F66E44">
              <w:rPr>
                <w:rFonts w:ascii="Arial" w:hAnsi="Arial" w:cs="Arial"/>
                <w:b/>
                <w:sz w:val="20"/>
              </w:rPr>
              <w:t xml:space="preserve"> (relevant to this type of permission)</w:t>
            </w:r>
            <w:r w:rsidRPr="00F66E44">
              <w:rPr>
                <w:rFonts w:ascii="Arial" w:hAnsi="Arial" w:cs="Arial"/>
                <w:b/>
                <w:sz w:val="20"/>
              </w:rPr>
              <w:t>:</w:t>
            </w:r>
          </w:p>
        </w:tc>
        <w:tc>
          <w:tcPr>
            <w:tcW w:w="5395" w:type="dxa"/>
            <w:gridSpan w:val="5"/>
          </w:tcPr>
          <w:p w:rsidR="00FF3F5F" w:rsidRPr="00F66E44" w:rsidRDefault="00FF3F5F">
            <w:pPr>
              <w:rPr>
                <w:rFonts w:ascii="Arial" w:hAnsi="Arial" w:cs="Arial"/>
                <w:sz w:val="20"/>
              </w:rPr>
            </w:pPr>
            <w:bookmarkStart w:id="9" w:name="bmkFeatures"/>
          </w:p>
          <w:p w:rsidR="002901B3" w:rsidRPr="00F66E44" w:rsidRDefault="00FF3F5F">
            <w:pPr>
              <w:rPr>
                <w:rFonts w:ascii="Arial" w:hAnsi="Arial" w:cs="Arial"/>
                <w:sz w:val="20"/>
              </w:rPr>
            </w:pPr>
            <w:r w:rsidRPr="00F66E44">
              <w:rPr>
                <w:rFonts w:ascii="Arial" w:hAnsi="Arial" w:cs="Arial"/>
                <w:sz w:val="20"/>
              </w:rPr>
              <w:t>3.9 Birds of estuarine habitats (Shoveler (3.9))</w:t>
            </w:r>
            <w:bookmarkEnd w:id="9"/>
          </w:p>
          <w:p w:rsidR="00FF3F5F" w:rsidRPr="00F66E44" w:rsidRDefault="00FF3F5F">
            <w:pPr>
              <w:rPr>
                <w:rFonts w:ascii="Arial" w:hAnsi="Arial" w:cs="Arial"/>
                <w:sz w:val="20"/>
              </w:rPr>
            </w:pPr>
          </w:p>
        </w:tc>
      </w:tr>
      <w:tr w:rsidR="002901B3" w:rsidRPr="00F66E44">
        <w:trPr>
          <w:cantSplit/>
        </w:trPr>
        <w:tc>
          <w:tcPr>
            <w:tcW w:w="3794" w:type="dxa"/>
            <w:gridSpan w:val="2"/>
            <w:tcBorders>
              <w:bottom w:val="nil"/>
            </w:tcBorders>
          </w:tcPr>
          <w:p w:rsidR="00703795" w:rsidRPr="00F66E44" w:rsidRDefault="00703795" w:rsidP="00C71213">
            <w:pPr>
              <w:rPr>
                <w:rFonts w:ascii="Arial" w:hAnsi="Arial" w:cs="Arial"/>
                <w:b/>
                <w:sz w:val="20"/>
              </w:rPr>
            </w:pPr>
            <w:r w:rsidRPr="00F66E44">
              <w:rPr>
                <w:rFonts w:ascii="Arial" w:hAnsi="Arial" w:cs="Arial"/>
                <w:b/>
                <w:sz w:val="20"/>
              </w:rPr>
              <w:t>I</w:t>
            </w:r>
            <w:r w:rsidR="00C71213" w:rsidRPr="00F66E44">
              <w:rPr>
                <w:rFonts w:ascii="Arial" w:hAnsi="Arial" w:cs="Arial"/>
                <w:b/>
                <w:sz w:val="20"/>
              </w:rPr>
              <w:t xml:space="preserve">s this application necessary to </w:t>
            </w:r>
            <w:r w:rsidRPr="00F66E44">
              <w:rPr>
                <w:rFonts w:ascii="Arial" w:hAnsi="Arial" w:cs="Arial"/>
                <w:b/>
                <w:sz w:val="20"/>
              </w:rPr>
              <w:t>manage the site for nature conservation?</w:t>
            </w:r>
          </w:p>
        </w:tc>
        <w:tc>
          <w:tcPr>
            <w:tcW w:w="5395" w:type="dxa"/>
            <w:gridSpan w:val="5"/>
            <w:tcBorders>
              <w:bottom w:val="nil"/>
            </w:tcBorders>
          </w:tcPr>
          <w:p w:rsidR="002901B3" w:rsidRPr="00F66E44" w:rsidRDefault="0061513F" w:rsidP="00703795">
            <w:pPr>
              <w:rPr>
                <w:rFonts w:ascii="Arial" w:hAnsi="Arial" w:cs="Arial"/>
                <w:sz w:val="20"/>
              </w:rPr>
            </w:pPr>
            <w:r w:rsidRPr="00F66E44">
              <w:rPr>
                <w:rFonts w:ascii="Arial" w:hAnsi="Arial" w:cs="Arial"/>
                <w:sz w:val="20"/>
              </w:rPr>
              <w:t>No</w:t>
            </w:r>
          </w:p>
        </w:tc>
      </w:tr>
      <w:tr w:rsidR="002901B3" w:rsidRPr="00F66E44">
        <w:trPr>
          <w:cantSplit/>
        </w:trPr>
        <w:tc>
          <w:tcPr>
            <w:tcW w:w="9189" w:type="dxa"/>
            <w:gridSpan w:val="7"/>
            <w:tcBorders>
              <w:bottom w:val="nil"/>
            </w:tcBorders>
          </w:tcPr>
          <w:p w:rsidR="002901B3" w:rsidRPr="00F66E44" w:rsidRDefault="00703795" w:rsidP="00703795">
            <w:pPr>
              <w:rPr>
                <w:rFonts w:ascii="Arial" w:hAnsi="Arial" w:cs="Arial"/>
                <w:b/>
                <w:sz w:val="20"/>
              </w:rPr>
            </w:pPr>
            <w:r w:rsidRPr="00F66E44">
              <w:rPr>
                <w:rFonts w:ascii="Arial" w:hAnsi="Arial" w:cs="Arial"/>
                <w:b/>
                <w:sz w:val="20"/>
              </w:rPr>
              <w:t>What potential hazards are likely to affect the interest features</w:t>
            </w:r>
            <w:r w:rsidR="003634CE" w:rsidRPr="00F66E44">
              <w:rPr>
                <w:rFonts w:ascii="Arial" w:hAnsi="Arial" w:cs="Arial"/>
                <w:b/>
                <w:sz w:val="20"/>
              </w:rPr>
              <w:t xml:space="preserve"> (relevant to this type of permission</w:t>
            </w:r>
            <w:r w:rsidRPr="00F66E44">
              <w:rPr>
                <w:rFonts w:ascii="Arial" w:hAnsi="Arial" w:cs="Arial"/>
                <w:b/>
                <w:sz w:val="20"/>
              </w:rPr>
              <w:t xml:space="preserve">?  </w:t>
            </w:r>
          </w:p>
        </w:tc>
      </w:tr>
      <w:tr w:rsidR="002901B3" w:rsidRPr="00F66E44" w:rsidTr="006559AB">
        <w:trPr>
          <w:cantSplit/>
        </w:trPr>
        <w:tc>
          <w:tcPr>
            <w:tcW w:w="250" w:type="dxa"/>
            <w:tcBorders>
              <w:top w:val="nil"/>
              <w:bottom w:val="nil"/>
              <w:right w:val="nil"/>
            </w:tcBorders>
          </w:tcPr>
          <w:p w:rsidR="002901B3" w:rsidRPr="00F66E44" w:rsidRDefault="002901B3">
            <w:pPr>
              <w:rPr>
                <w:rFonts w:ascii="Arial" w:hAnsi="Arial" w:cs="Arial"/>
                <w:sz w:val="20"/>
              </w:rPr>
            </w:pPr>
          </w:p>
        </w:tc>
        <w:tc>
          <w:tcPr>
            <w:tcW w:w="3544" w:type="dxa"/>
            <w:tcBorders>
              <w:top w:val="nil"/>
              <w:left w:val="nil"/>
              <w:bottom w:val="single" w:sz="4" w:space="0" w:color="auto"/>
              <w:right w:val="nil"/>
            </w:tcBorders>
          </w:tcPr>
          <w:p w:rsidR="002901B3" w:rsidRPr="00F66E44" w:rsidRDefault="002901B3">
            <w:pPr>
              <w:rPr>
                <w:rFonts w:ascii="Arial" w:hAnsi="Arial" w:cs="Arial"/>
                <w:sz w:val="20"/>
              </w:rPr>
            </w:pPr>
          </w:p>
        </w:tc>
        <w:tc>
          <w:tcPr>
            <w:tcW w:w="2551" w:type="dxa"/>
            <w:gridSpan w:val="2"/>
            <w:tcBorders>
              <w:top w:val="nil"/>
              <w:left w:val="nil"/>
              <w:bottom w:val="single" w:sz="4" w:space="0" w:color="auto"/>
              <w:right w:val="nil"/>
            </w:tcBorders>
          </w:tcPr>
          <w:p w:rsidR="002901B3" w:rsidRPr="00F66E44" w:rsidRDefault="002901B3">
            <w:pPr>
              <w:rPr>
                <w:rFonts w:ascii="Arial" w:hAnsi="Arial" w:cs="Arial"/>
                <w:sz w:val="20"/>
              </w:rPr>
            </w:pPr>
          </w:p>
        </w:tc>
        <w:tc>
          <w:tcPr>
            <w:tcW w:w="2552" w:type="dxa"/>
            <w:gridSpan w:val="2"/>
            <w:tcBorders>
              <w:top w:val="nil"/>
              <w:left w:val="nil"/>
              <w:bottom w:val="single" w:sz="4" w:space="0" w:color="auto"/>
              <w:right w:val="nil"/>
            </w:tcBorders>
          </w:tcPr>
          <w:p w:rsidR="002901B3" w:rsidRPr="00F66E44" w:rsidRDefault="002901B3">
            <w:pPr>
              <w:rPr>
                <w:rFonts w:ascii="Arial" w:hAnsi="Arial" w:cs="Arial"/>
                <w:sz w:val="20"/>
              </w:rPr>
            </w:pPr>
          </w:p>
        </w:tc>
        <w:tc>
          <w:tcPr>
            <w:tcW w:w="292" w:type="dxa"/>
            <w:tcBorders>
              <w:top w:val="nil"/>
              <w:left w:val="nil"/>
              <w:bottom w:val="nil"/>
            </w:tcBorders>
          </w:tcPr>
          <w:p w:rsidR="002901B3" w:rsidRPr="00F66E44" w:rsidRDefault="002901B3">
            <w:pPr>
              <w:rPr>
                <w:rFonts w:ascii="Arial" w:hAnsi="Arial" w:cs="Arial"/>
                <w:sz w:val="20"/>
              </w:rPr>
            </w:pPr>
          </w:p>
        </w:tc>
      </w:tr>
      <w:tr w:rsidR="006559AB" w:rsidRPr="00F66E44" w:rsidTr="006559AB">
        <w:trPr>
          <w:cantSplit/>
        </w:trPr>
        <w:tc>
          <w:tcPr>
            <w:tcW w:w="250" w:type="dxa"/>
            <w:tcBorders>
              <w:top w:val="nil"/>
              <w:bottom w:val="nil"/>
            </w:tcBorders>
          </w:tcPr>
          <w:p w:rsidR="006559AB" w:rsidRPr="00F66E44" w:rsidRDefault="006559AB">
            <w:pPr>
              <w:rPr>
                <w:rFonts w:ascii="Arial" w:hAnsi="Arial" w:cs="Arial"/>
                <w:sz w:val="20"/>
              </w:rPr>
            </w:pPr>
          </w:p>
        </w:tc>
        <w:tc>
          <w:tcPr>
            <w:tcW w:w="3544" w:type="dxa"/>
            <w:shd w:val="clear" w:color="auto" w:fill="FFFF99"/>
          </w:tcPr>
          <w:p w:rsidR="006559AB" w:rsidRPr="00F66E44" w:rsidRDefault="006559AB" w:rsidP="00B74442">
            <w:pPr>
              <w:jc w:val="center"/>
              <w:rPr>
                <w:rFonts w:ascii="Arial" w:hAnsi="Arial" w:cs="Arial"/>
                <w:color w:val="808000"/>
                <w:sz w:val="20"/>
              </w:rPr>
            </w:pPr>
            <w:r w:rsidRPr="00F66E44">
              <w:rPr>
                <w:rFonts w:ascii="Arial" w:hAnsi="Arial" w:cs="Arial"/>
                <w:b/>
                <w:color w:val="808000"/>
                <w:sz w:val="20"/>
              </w:rPr>
              <w:t>Sensitive interest feature</w:t>
            </w:r>
            <w:r w:rsidRPr="00F66E44">
              <w:rPr>
                <w:rFonts w:ascii="Arial" w:hAnsi="Arial" w:cs="Arial"/>
                <w:color w:val="808000"/>
                <w:sz w:val="20"/>
              </w:rPr>
              <w:t>:</w:t>
            </w:r>
          </w:p>
        </w:tc>
        <w:tc>
          <w:tcPr>
            <w:tcW w:w="2551" w:type="dxa"/>
            <w:gridSpan w:val="2"/>
            <w:shd w:val="clear" w:color="auto" w:fill="FFFF99"/>
          </w:tcPr>
          <w:p w:rsidR="006559AB" w:rsidRPr="00F66E44" w:rsidRDefault="006559AB" w:rsidP="00B74442">
            <w:pPr>
              <w:jc w:val="center"/>
              <w:rPr>
                <w:rFonts w:ascii="Arial" w:hAnsi="Arial" w:cs="Arial"/>
                <w:b/>
                <w:color w:val="808000"/>
                <w:sz w:val="20"/>
              </w:rPr>
            </w:pPr>
            <w:r w:rsidRPr="00F66E44">
              <w:rPr>
                <w:rFonts w:ascii="Arial" w:hAnsi="Arial" w:cs="Arial"/>
                <w:b/>
                <w:color w:val="808000"/>
                <w:sz w:val="20"/>
              </w:rPr>
              <w:t>Potential hazard:</w:t>
            </w:r>
          </w:p>
        </w:tc>
        <w:tc>
          <w:tcPr>
            <w:tcW w:w="2552" w:type="dxa"/>
            <w:gridSpan w:val="2"/>
            <w:shd w:val="clear" w:color="auto" w:fill="FFFF99"/>
          </w:tcPr>
          <w:p w:rsidR="006559AB" w:rsidRPr="00F66E44" w:rsidRDefault="006559AB" w:rsidP="00B74442">
            <w:pPr>
              <w:rPr>
                <w:rFonts w:ascii="Arial" w:hAnsi="Arial" w:cs="Arial"/>
                <w:b/>
                <w:color w:val="808000"/>
                <w:sz w:val="20"/>
              </w:rPr>
            </w:pPr>
            <w:r w:rsidRPr="00F66E44">
              <w:rPr>
                <w:rFonts w:ascii="Arial" w:hAnsi="Arial" w:cs="Arial"/>
                <w:b/>
                <w:color w:val="808000"/>
                <w:sz w:val="20"/>
              </w:rPr>
              <w:t>Potential exposure to hazard and mechanism of effect/impact if known:</w:t>
            </w:r>
          </w:p>
        </w:tc>
        <w:tc>
          <w:tcPr>
            <w:tcW w:w="292" w:type="dxa"/>
            <w:tcBorders>
              <w:top w:val="nil"/>
              <w:bottom w:val="nil"/>
            </w:tcBorders>
          </w:tcPr>
          <w:p w:rsidR="006559AB" w:rsidRPr="00F66E44" w:rsidRDefault="006559AB">
            <w:pPr>
              <w:rPr>
                <w:rFonts w:ascii="Arial" w:hAnsi="Arial" w:cs="Arial"/>
                <w:sz w:val="20"/>
              </w:rPr>
            </w:pPr>
          </w:p>
        </w:tc>
      </w:tr>
      <w:tr w:rsidR="00FF3F5F" w:rsidRPr="00F66E44">
        <w:trPr>
          <w:cantSplit/>
        </w:trPr>
        <w:tc>
          <w:tcPr>
            <w:tcW w:w="250" w:type="dxa"/>
            <w:tcBorders>
              <w:top w:val="nil"/>
              <w:bottom w:val="nil"/>
            </w:tcBorders>
          </w:tcPr>
          <w:p w:rsidR="00FF3F5F" w:rsidRPr="00F66E44" w:rsidRDefault="00FF3F5F">
            <w:pPr>
              <w:pStyle w:val="Heading1"/>
              <w:spacing w:before="40" w:after="40"/>
              <w:rPr>
                <w:rFonts w:cs="Arial"/>
                <w:sz w:val="20"/>
              </w:rPr>
            </w:pPr>
          </w:p>
        </w:tc>
        <w:tc>
          <w:tcPr>
            <w:tcW w:w="3544" w:type="dxa"/>
            <w:vMerge w:val="restart"/>
          </w:tcPr>
          <w:p w:rsidR="00FF3F5F" w:rsidRPr="00F66E44" w:rsidRDefault="00FF3F5F">
            <w:pPr>
              <w:rPr>
                <w:rFonts w:ascii="Arial" w:hAnsi="Arial" w:cs="Arial"/>
                <w:sz w:val="20"/>
              </w:rPr>
            </w:pPr>
            <w:r w:rsidRPr="00F66E44">
              <w:rPr>
                <w:rFonts w:ascii="Arial" w:hAnsi="Arial" w:cs="Arial"/>
                <w:sz w:val="20"/>
              </w:rPr>
              <w:t>3.9 Birds of estuarine habitats (Shoveler (3.9))</w:t>
            </w:r>
          </w:p>
        </w:tc>
        <w:tc>
          <w:tcPr>
            <w:tcW w:w="2551" w:type="dxa"/>
            <w:gridSpan w:val="2"/>
          </w:tcPr>
          <w:p w:rsidR="00FF3F5F" w:rsidRPr="00F66E44" w:rsidRDefault="00FF3F5F">
            <w:pPr>
              <w:rPr>
                <w:rFonts w:ascii="Arial" w:hAnsi="Arial" w:cs="Arial"/>
                <w:sz w:val="20"/>
              </w:rPr>
            </w:pPr>
            <w:r w:rsidRPr="00F66E44">
              <w:rPr>
                <w:rFonts w:ascii="Arial" w:hAnsi="Arial" w:cs="Arial"/>
                <w:sz w:val="20"/>
              </w:rPr>
              <w:t>Changes in thermal regime</w:t>
            </w:r>
          </w:p>
        </w:tc>
        <w:tc>
          <w:tcPr>
            <w:tcW w:w="2552" w:type="dxa"/>
            <w:gridSpan w:val="2"/>
          </w:tcPr>
          <w:p w:rsidR="00FF3F5F" w:rsidRPr="00F66E44" w:rsidRDefault="00F66E44" w:rsidP="0082663F">
            <w:pPr>
              <w:rPr>
                <w:rFonts w:ascii="Arial" w:hAnsi="Arial" w:cs="Arial"/>
                <w:sz w:val="20"/>
              </w:rPr>
            </w:pPr>
            <w:r w:rsidRPr="00F66E44">
              <w:rPr>
                <w:rFonts w:ascii="Arial" w:hAnsi="Arial" w:cs="Arial"/>
                <w:sz w:val="20"/>
              </w:rPr>
              <w:t>No exposure, the discharge is</w:t>
            </w:r>
            <w:r w:rsidR="0082663F">
              <w:rPr>
                <w:rFonts w:ascii="Arial" w:hAnsi="Arial" w:cs="Arial"/>
                <w:sz w:val="20"/>
              </w:rPr>
              <w:t xml:space="preserve"> intermittent and consists of domestic sewage only, it </w:t>
            </w:r>
            <w:r w:rsidRPr="00F66E44">
              <w:rPr>
                <w:rFonts w:ascii="Arial" w:hAnsi="Arial" w:cs="Arial"/>
                <w:sz w:val="20"/>
              </w:rPr>
              <w:t>will be at ambient temperature.</w:t>
            </w:r>
          </w:p>
        </w:tc>
        <w:tc>
          <w:tcPr>
            <w:tcW w:w="292" w:type="dxa"/>
            <w:tcBorders>
              <w:top w:val="nil"/>
              <w:bottom w:val="nil"/>
            </w:tcBorders>
          </w:tcPr>
          <w:p w:rsidR="00FF3F5F" w:rsidRPr="00F66E44" w:rsidRDefault="00FF3F5F">
            <w:pPr>
              <w:pStyle w:val="Heading1"/>
              <w:spacing w:before="40" w:after="40"/>
              <w:rPr>
                <w:rFonts w:cs="Arial"/>
                <w:b w:val="0"/>
                <w:sz w:val="20"/>
              </w:rPr>
            </w:pPr>
          </w:p>
        </w:tc>
      </w:tr>
      <w:tr w:rsidR="00FF3F5F" w:rsidRPr="00F66E44">
        <w:trPr>
          <w:cantSplit/>
        </w:trPr>
        <w:tc>
          <w:tcPr>
            <w:tcW w:w="250" w:type="dxa"/>
            <w:tcBorders>
              <w:top w:val="nil"/>
              <w:bottom w:val="nil"/>
            </w:tcBorders>
          </w:tcPr>
          <w:p w:rsidR="00FF3F5F" w:rsidRPr="00F66E44" w:rsidRDefault="00FF3F5F">
            <w:pPr>
              <w:pStyle w:val="Heading1"/>
              <w:spacing w:before="40" w:after="40"/>
              <w:rPr>
                <w:rFonts w:cs="Arial"/>
                <w:sz w:val="20"/>
              </w:rPr>
            </w:pPr>
          </w:p>
        </w:tc>
        <w:tc>
          <w:tcPr>
            <w:tcW w:w="3544" w:type="dxa"/>
            <w:vMerge/>
          </w:tcPr>
          <w:p w:rsidR="00FF3F5F" w:rsidRPr="00F66E44" w:rsidRDefault="00FF3F5F">
            <w:pPr>
              <w:rPr>
                <w:rFonts w:ascii="Arial" w:hAnsi="Arial" w:cs="Arial"/>
                <w:sz w:val="20"/>
              </w:rPr>
            </w:pPr>
          </w:p>
        </w:tc>
        <w:tc>
          <w:tcPr>
            <w:tcW w:w="2551" w:type="dxa"/>
            <w:gridSpan w:val="2"/>
          </w:tcPr>
          <w:p w:rsidR="00FF3F5F" w:rsidRPr="00F66E44" w:rsidRDefault="00FF3F5F">
            <w:pPr>
              <w:rPr>
                <w:rFonts w:ascii="Arial" w:hAnsi="Arial" w:cs="Arial"/>
                <w:sz w:val="20"/>
              </w:rPr>
            </w:pPr>
            <w:r w:rsidRPr="00F66E44">
              <w:rPr>
                <w:rFonts w:ascii="Arial" w:hAnsi="Arial" w:cs="Arial"/>
                <w:sz w:val="20"/>
              </w:rPr>
              <w:t>Nutrient Enrichment</w:t>
            </w:r>
          </w:p>
        </w:tc>
        <w:tc>
          <w:tcPr>
            <w:tcW w:w="2552" w:type="dxa"/>
            <w:gridSpan w:val="2"/>
          </w:tcPr>
          <w:p w:rsidR="00FF3F5F" w:rsidRPr="00F66E44" w:rsidRDefault="000D3717" w:rsidP="00EA1737">
            <w:pPr>
              <w:rPr>
                <w:rFonts w:ascii="Arial" w:hAnsi="Arial" w:cs="Arial"/>
                <w:sz w:val="20"/>
              </w:rPr>
            </w:pPr>
            <w:r>
              <w:rPr>
                <w:rFonts w:ascii="Arial" w:hAnsi="Arial" w:cs="Arial"/>
                <w:sz w:val="20"/>
              </w:rPr>
              <w:t xml:space="preserve">No exposure, shoveler </w:t>
            </w:r>
            <w:r w:rsidR="00EA1737">
              <w:rPr>
                <w:rFonts w:ascii="Arial" w:hAnsi="Arial" w:cs="Arial"/>
                <w:sz w:val="20"/>
              </w:rPr>
              <w:t>have a low sensitivity to</w:t>
            </w:r>
            <w:r w:rsidR="0082663F">
              <w:rPr>
                <w:rFonts w:ascii="Arial" w:hAnsi="Arial" w:cs="Arial"/>
                <w:sz w:val="20"/>
              </w:rPr>
              <w:t xml:space="preserve"> nutrient enrichment (see below).  </w:t>
            </w:r>
            <w:r>
              <w:rPr>
                <w:rFonts w:ascii="Arial" w:hAnsi="Arial" w:cs="Arial"/>
                <w:sz w:val="20"/>
              </w:rPr>
              <w:t xml:space="preserve">The proposals </w:t>
            </w:r>
            <w:r w:rsidR="00E87ABE">
              <w:rPr>
                <w:rFonts w:ascii="Arial" w:hAnsi="Arial" w:cs="Arial"/>
                <w:sz w:val="20"/>
              </w:rPr>
              <w:t>will</w:t>
            </w:r>
            <w:r>
              <w:rPr>
                <w:rFonts w:ascii="Arial" w:hAnsi="Arial" w:cs="Arial"/>
                <w:sz w:val="20"/>
              </w:rPr>
              <w:t xml:space="preserve"> reduce the input of nutrients into the lake from the EO and CSO.</w:t>
            </w:r>
          </w:p>
        </w:tc>
        <w:tc>
          <w:tcPr>
            <w:tcW w:w="292" w:type="dxa"/>
            <w:tcBorders>
              <w:top w:val="nil"/>
              <w:bottom w:val="nil"/>
            </w:tcBorders>
          </w:tcPr>
          <w:p w:rsidR="00FF3F5F" w:rsidRPr="00F66E44" w:rsidRDefault="00FF3F5F">
            <w:pPr>
              <w:pStyle w:val="Heading1"/>
              <w:spacing w:before="40" w:after="40"/>
              <w:rPr>
                <w:rFonts w:cs="Arial"/>
                <w:b w:val="0"/>
                <w:sz w:val="20"/>
              </w:rPr>
            </w:pPr>
          </w:p>
        </w:tc>
      </w:tr>
      <w:tr w:rsidR="00FF3F5F" w:rsidRPr="00F66E44">
        <w:trPr>
          <w:cantSplit/>
        </w:trPr>
        <w:tc>
          <w:tcPr>
            <w:tcW w:w="250" w:type="dxa"/>
            <w:tcBorders>
              <w:top w:val="nil"/>
              <w:bottom w:val="nil"/>
            </w:tcBorders>
          </w:tcPr>
          <w:p w:rsidR="00FF3F5F" w:rsidRPr="00F66E44" w:rsidRDefault="00FF3F5F">
            <w:pPr>
              <w:pStyle w:val="Heading1"/>
              <w:spacing w:before="40" w:after="40"/>
              <w:rPr>
                <w:rFonts w:cs="Arial"/>
                <w:sz w:val="20"/>
              </w:rPr>
            </w:pPr>
          </w:p>
        </w:tc>
        <w:tc>
          <w:tcPr>
            <w:tcW w:w="3544" w:type="dxa"/>
            <w:vMerge/>
          </w:tcPr>
          <w:p w:rsidR="00FF3F5F" w:rsidRPr="00F66E44" w:rsidRDefault="00FF3F5F">
            <w:pPr>
              <w:rPr>
                <w:rFonts w:ascii="Arial" w:hAnsi="Arial" w:cs="Arial"/>
                <w:sz w:val="20"/>
              </w:rPr>
            </w:pPr>
          </w:p>
        </w:tc>
        <w:tc>
          <w:tcPr>
            <w:tcW w:w="2551" w:type="dxa"/>
            <w:gridSpan w:val="2"/>
          </w:tcPr>
          <w:p w:rsidR="00FF3F5F" w:rsidRPr="00F66E44" w:rsidRDefault="00FF3F5F">
            <w:pPr>
              <w:rPr>
                <w:rFonts w:ascii="Arial" w:hAnsi="Arial" w:cs="Arial"/>
                <w:sz w:val="20"/>
              </w:rPr>
            </w:pPr>
            <w:r w:rsidRPr="00F66E44">
              <w:rPr>
                <w:rFonts w:ascii="Arial" w:hAnsi="Arial" w:cs="Arial"/>
                <w:sz w:val="20"/>
              </w:rPr>
              <w:t>Physical Damage</w:t>
            </w:r>
          </w:p>
        </w:tc>
        <w:tc>
          <w:tcPr>
            <w:tcW w:w="2552" w:type="dxa"/>
            <w:gridSpan w:val="2"/>
          </w:tcPr>
          <w:p w:rsidR="00FF3F5F" w:rsidRPr="00F66E44" w:rsidRDefault="000D3717" w:rsidP="0082663F">
            <w:pPr>
              <w:rPr>
                <w:rFonts w:ascii="Arial" w:hAnsi="Arial" w:cs="Arial"/>
                <w:sz w:val="20"/>
              </w:rPr>
            </w:pPr>
            <w:r>
              <w:rPr>
                <w:rFonts w:ascii="Arial" w:hAnsi="Arial" w:cs="Arial"/>
                <w:sz w:val="20"/>
              </w:rPr>
              <w:t>No</w:t>
            </w:r>
            <w:r w:rsidR="0082663F">
              <w:rPr>
                <w:rFonts w:ascii="Arial" w:hAnsi="Arial" w:cs="Arial"/>
                <w:sz w:val="20"/>
              </w:rPr>
              <w:t xml:space="preserve"> exposure, the pumping station and </w:t>
            </w:r>
            <w:r>
              <w:rPr>
                <w:rFonts w:ascii="Arial" w:hAnsi="Arial" w:cs="Arial"/>
                <w:sz w:val="20"/>
              </w:rPr>
              <w:t>associated pipework are outside the SPA.  The discharge will not cause any physical damage or disturbance to habitats which support the birds or impact on their food supply.</w:t>
            </w:r>
          </w:p>
        </w:tc>
        <w:tc>
          <w:tcPr>
            <w:tcW w:w="292" w:type="dxa"/>
            <w:tcBorders>
              <w:top w:val="nil"/>
              <w:bottom w:val="nil"/>
            </w:tcBorders>
          </w:tcPr>
          <w:p w:rsidR="00FF3F5F" w:rsidRPr="00F66E44" w:rsidRDefault="00FF3F5F">
            <w:pPr>
              <w:pStyle w:val="Heading1"/>
              <w:spacing w:before="40" w:after="40"/>
              <w:rPr>
                <w:rFonts w:cs="Arial"/>
                <w:b w:val="0"/>
                <w:sz w:val="20"/>
              </w:rPr>
            </w:pPr>
          </w:p>
        </w:tc>
      </w:tr>
      <w:tr w:rsidR="00FF3F5F" w:rsidRPr="00F66E44">
        <w:trPr>
          <w:cantSplit/>
        </w:trPr>
        <w:tc>
          <w:tcPr>
            <w:tcW w:w="250" w:type="dxa"/>
            <w:tcBorders>
              <w:top w:val="nil"/>
              <w:bottom w:val="nil"/>
            </w:tcBorders>
          </w:tcPr>
          <w:p w:rsidR="00FF3F5F" w:rsidRPr="00F66E44" w:rsidRDefault="00FF3F5F">
            <w:pPr>
              <w:pStyle w:val="Heading1"/>
              <w:spacing w:before="40" w:after="40"/>
              <w:rPr>
                <w:rFonts w:cs="Arial"/>
                <w:sz w:val="20"/>
              </w:rPr>
            </w:pPr>
          </w:p>
        </w:tc>
        <w:tc>
          <w:tcPr>
            <w:tcW w:w="3544" w:type="dxa"/>
            <w:vMerge/>
          </w:tcPr>
          <w:p w:rsidR="00FF3F5F" w:rsidRPr="00F66E44" w:rsidRDefault="00FF3F5F">
            <w:pPr>
              <w:rPr>
                <w:rFonts w:ascii="Arial" w:hAnsi="Arial" w:cs="Arial"/>
                <w:sz w:val="20"/>
              </w:rPr>
            </w:pPr>
          </w:p>
        </w:tc>
        <w:tc>
          <w:tcPr>
            <w:tcW w:w="2551" w:type="dxa"/>
            <w:gridSpan w:val="2"/>
          </w:tcPr>
          <w:p w:rsidR="00FF3F5F" w:rsidRPr="00F66E44" w:rsidRDefault="00FF3F5F">
            <w:pPr>
              <w:rPr>
                <w:rFonts w:ascii="Arial" w:hAnsi="Arial" w:cs="Arial"/>
                <w:sz w:val="20"/>
              </w:rPr>
            </w:pPr>
            <w:r w:rsidRPr="00F66E44">
              <w:rPr>
                <w:rFonts w:ascii="Arial" w:hAnsi="Arial" w:cs="Arial"/>
                <w:sz w:val="20"/>
              </w:rPr>
              <w:t>Salinity</w:t>
            </w:r>
          </w:p>
        </w:tc>
        <w:tc>
          <w:tcPr>
            <w:tcW w:w="2552" w:type="dxa"/>
            <w:gridSpan w:val="2"/>
          </w:tcPr>
          <w:p w:rsidR="00FF3F5F" w:rsidRPr="00F66E44" w:rsidRDefault="00F66E44">
            <w:pPr>
              <w:rPr>
                <w:rFonts w:ascii="Arial" w:hAnsi="Arial" w:cs="Arial"/>
                <w:sz w:val="20"/>
              </w:rPr>
            </w:pPr>
            <w:r w:rsidRPr="00F66E44">
              <w:rPr>
                <w:rFonts w:ascii="Arial" w:hAnsi="Arial" w:cs="Arial"/>
                <w:sz w:val="20"/>
              </w:rPr>
              <w:t>No exposure, the discharge is of domestic sewage only</w:t>
            </w:r>
            <w:r w:rsidR="00E87ABE">
              <w:rPr>
                <w:rFonts w:ascii="Arial" w:hAnsi="Arial" w:cs="Arial"/>
                <w:sz w:val="20"/>
              </w:rPr>
              <w:t xml:space="preserve"> to a fresh</w:t>
            </w:r>
            <w:r w:rsidR="000D3717">
              <w:rPr>
                <w:rFonts w:ascii="Arial" w:hAnsi="Arial" w:cs="Arial"/>
                <w:sz w:val="20"/>
              </w:rPr>
              <w:t>water environment.</w:t>
            </w:r>
          </w:p>
        </w:tc>
        <w:tc>
          <w:tcPr>
            <w:tcW w:w="292" w:type="dxa"/>
            <w:tcBorders>
              <w:top w:val="nil"/>
              <w:bottom w:val="nil"/>
            </w:tcBorders>
          </w:tcPr>
          <w:p w:rsidR="00FF3F5F" w:rsidRPr="00F66E44" w:rsidRDefault="00FF3F5F">
            <w:pPr>
              <w:pStyle w:val="Heading1"/>
              <w:spacing w:before="40" w:after="40"/>
              <w:rPr>
                <w:rFonts w:cs="Arial"/>
                <w:b w:val="0"/>
                <w:sz w:val="20"/>
              </w:rPr>
            </w:pPr>
          </w:p>
        </w:tc>
      </w:tr>
      <w:tr w:rsidR="00FF3F5F" w:rsidRPr="00F66E44">
        <w:trPr>
          <w:cantSplit/>
        </w:trPr>
        <w:tc>
          <w:tcPr>
            <w:tcW w:w="250" w:type="dxa"/>
            <w:tcBorders>
              <w:top w:val="nil"/>
              <w:bottom w:val="nil"/>
            </w:tcBorders>
          </w:tcPr>
          <w:p w:rsidR="00FF3F5F" w:rsidRPr="00F66E44" w:rsidRDefault="00FF3F5F">
            <w:pPr>
              <w:pStyle w:val="Heading1"/>
              <w:spacing w:before="40" w:after="40"/>
              <w:rPr>
                <w:rFonts w:cs="Arial"/>
                <w:sz w:val="20"/>
              </w:rPr>
            </w:pPr>
          </w:p>
        </w:tc>
        <w:tc>
          <w:tcPr>
            <w:tcW w:w="3544" w:type="dxa"/>
            <w:vMerge/>
          </w:tcPr>
          <w:p w:rsidR="00FF3F5F" w:rsidRPr="00F66E44" w:rsidRDefault="00FF3F5F">
            <w:pPr>
              <w:rPr>
                <w:rFonts w:ascii="Arial" w:hAnsi="Arial" w:cs="Arial"/>
                <w:sz w:val="20"/>
              </w:rPr>
            </w:pPr>
          </w:p>
        </w:tc>
        <w:tc>
          <w:tcPr>
            <w:tcW w:w="2551" w:type="dxa"/>
            <w:gridSpan w:val="2"/>
          </w:tcPr>
          <w:p w:rsidR="00FF3F5F" w:rsidRPr="00F66E44" w:rsidRDefault="00FF3F5F">
            <w:pPr>
              <w:rPr>
                <w:rFonts w:ascii="Arial" w:hAnsi="Arial" w:cs="Arial"/>
                <w:sz w:val="20"/>
              </w:rPr>
            </w:pPr>
            <w:r w:rsidRPr="00F66E44">
              <w:rPr>
                <w:rFonts w:ascii="Arial" w:hAnsi="Arial" w:cs="Arial"/>
                <w:sz w:val="20"/>
              </w:rPr>
              <w:t>Siltation</w:t>
            </w:r>
          </w:p>
        </w:tc>
        <w:tc>
          <w:tcPr>
            <w:tcW w:w="2552" w:type="dxa"/>
            <w:gridSpan w:val="2"/>
          </w:tcPr>
          <w:p w:rsidR="000D3717" w:rsidRPr="00F66E44" w:rsidRDefault="000D3717" w:rsidP="00C56B57">
            <w:pPr>
              <w:rPr>
                <w:rFonts w:ascii="Arial" w:hAnsi="Arial" w:cs="Arial"/>
                <w:sz w:val="20"/>
              </w:rPr>
            </w:pPr>
            <w:r>
              <w:rPr>
                <w:rFonts w:ascii="Arial" w:hAnsi="Arial" w:cs="Arial"/>
                <w:sz w:val="20"/>
              </w:rPr>
              <w:t xml:space="preserve">No exposure, </w:t>
            </w:r>
            <w:r w:rsidR="00C56B57">
              <w:rPr>
                <w:rFonts w:ascii="Arial" w:hAnsi="Arial" w:cs="Arial"/>
                <w:sz w:val="20"/>
              </w:rPr>
              <w:t>shoveler have a low sensitivity to water quality (see below).  Th</w:t>
            </w:r>
            <w:r>
              <w:rPr>
                <w:rFonts w:ascii="Arial" w:hAnsi="Arial" w:cs="Arial"/>
                <w:sz w:val="20"/>
              </w:rPr>
              <w:t>e improvement</w:t>
            </w:r>
            <w:r w:rsidR="0082663F">
              <w:rPr>
                <w:rFonts w:ascii="Arial" w:hAnsi="Arial" w:cs="Arial"/>
                <w:sz w:val="20"/>
              </w:rPr>
              <w:t>s proposed will reduce the input</w:t>
            </w:r>
            <w:r w:rsidR="00E87ABE">
              <w:rPr>
                <w:rFonts w:ascii="Arial" w:hAnsi="Arial" w:cs="Arial"/>
                <w:sz w:val="20"/>
              </w:rPr>
              <w:t xml:space="preserve"> of suspended solids</w:t>
            </w:r>
            <w:r w:rsidR="0082663F">
              <w:rPr>
                <w:rFonts w:ascii="Arial" w:hAnsi="Arial" w:cs="Arial"/>
                <w:sz w:val="20"/>
              </w:rPr>
              <w:t xml:space="preserve">  from the EO and CSO</w:t>
            </w:r>
            <w:r w:rsidR="003A35DF">
              <w:rPr>
                <w:rFonts w:ascii="Arial" w:hAnsi="Arial" w:cs="Arial"/>
                <w:sz w:val="20"/>
              </w:rPr>
              <w:t xml:space="preserve"> and reduce </w:t>
            </w:r>
            <w:r w:rsidR="00C56B57">
              <w:rPr>
                <w:rFonts w:ascii="Arial" w:hAnsi="Arial" w:cs="Arial"/>
                <w:sz w:val="20"/>
              </w:rPr>
              <w:t>the level of siltation.</w:t>
            </w:r>
          </w:p>
        </w:tc>
        <w:tc>
          <w:tcPr>
            <w:tcW w:w="292" w:type="dxa"/>
            <w:tcBorders>
              <w:top w:val="nil"/>
              <w:bottom w:val="nil"/>
            </w:tcBorders>
          </w:tcPr>
          <w:p w:rsidR="00FF3F5F" w:rsidRPr="00F66E44" w:rsidRDefault="00FF3F5F">
            <w:pPr>
              <w:pStyle w:val="Heading1"/>
              <w:spacing w:before="40" w:after="40"/>
              <w:rPr>
                <w:rFonts w:cs="Arial"/>
                <w:b w:val="0"/>
                <w:sz w:val="20"/>
              </w:rPr>
            </w:pPr>
          </w:p>
        </w:tc>
      </w:tr>
      <w:tr w:rsidR="00FF3F5F" w:rsidRPr="00F66E44">
        <w:trPr>
          <w:cantSplit/>
        </w:trPr>
        <w:tc>
          <w:tcPr>
            <w:tcW w:w="250" w:type="dxa"/>
            <w:tcBorders>
              <w:top w:val="nil"/>
              <w:bottom w:val="nil"/>
            </w:tcBorders>
          </w:tcPr>
          <w:p w:rsidR="00FF3F5F" w:rsidRPr="00F66E44" w:rsidRDefault="00FF3F5F">
            <w:pPr>
              <w:pStyle w:val="Heading1"/>
              <w:spacing w:before="40" w:after="40"/>
              <w:rPr>
                <w:rFonts w:cs="Arial"/>
                <w:sz w:val="20"/>
              </w:rPr>
            </w:pPr>
          </w:p>
        </w:tc>
        <w:tc>
          <w:tcPr>
            <w:tcW w:w="3544" w:type="dxa"/>
            <w:vMerge/>
          </w:tcPr>
          <w:p w:rsidR="00FF3F5F" w:rsidRPr="00F66E44" w:rsidRDefault="00FF3F5F">
            <w:pPr>
              <w:rPr>
                <w:rFonts w:ascii="Arial" w:hAnsi="Arial" w:cs="Arial"/>
                <w:sz w:val="20"/>
              </w:rPr>
            </w:pPr>
          </w:p>
        </w:tc>
        <w:tc>
          <w:tcPr>
            <w:tcW w:w="2551" w:type="dxa"/>
            <w:gridSpan w:val="2"/>
          </w:tcPr>
          <w:p w:rsidR="00FF3F5F" w:rsidRPr="00F66E44" w:rsidRDefault="00FF3F5F">
            <w:pPr>
              <w:rPr>
                <w:rFonts w:ascii="Arial" w:hAnsi="Arial" w:cs="Arial"/>
                <w:sz w:val="20"/>
              </w:rPr>
            </w:pPr>
            <w:r w:rsidRPr="00F66E44">
              <w:rPr>
                <w:rFonts w:ascii="Arial" w:hAnsi="Arial" w:cs="Arial"/>
                <w:sz w:val="20"/>
              </w:rPr>
              <w:t>Toxic contamination</w:t>
            </w:r>
          </w:p>
        </w:tc>
        <w:tc>
          <w:tcPr>
            <w:tcW w:w="2552" w:type="dxa"/>
            <w:gridSpan w:val="2"/>
          </w:tcPr>
          <w:p w:rsidR="00FF3F5F" w:rsidRPr="00F66E44" w:rsidRDefault="00F66E44">
            <w:pPr>
              <w:rPr>
                <w:rFonts w:ascii="Arial" w:hAnsi="Arial" w:cs="Arial"/>
                <w:sz w:val="20"/>
              </w:rPr>
            </w:pPr>
            <w:r w:rsidRPr="00F66E44">
              <w:rPr>
                <w:rFonts w:ascii="Arial" w:hAnsi="Arial" w:cs="Arial"/>
                <w:sz w:val="20"/>
              </w:rPr>
              <w:t>No exposure, the discharge is of domestic sewage only.</w:t>
            </w:r>
          </w:p>
        </w:tc>
        <w:tc>
          <w:tcPr>
            <w:tcW w:w="292" w:type="dxa"/>
            <w:tcBorders>
              <w:top w:val="nil"/>
              <w:bottom w:val="nil"/>
            </w:tcBorders>
          </w:tcPr>
          <w:p w:rsidR="00FF3F5F" w:rsidRPr="00F66E44" w:rsidRDefault="00FF3F5F">
            <w:pPr>
              <w:pStyle w:val="Heading1"/>
              <w:spacing w:before="40" w:after="40"/>
              <w:rPr>
                <w:rFonts w:cs="Arial"/>
                <w:b w:val="0"/>
                <w:sz w:val="20"/>
              </w:rPr>
            </w:pPr>
          </w:p>
        </w:tc>
      </w:tr>
      <w:tr w:rsidR="00FF3F5F" w:rsidRPr="00F66E44">
        <w:trPr>
          <w:cantSplit/>
        </w:trPr>
        <w:tc>
          <w:tcPr>
            <w:tcW w:w="250" w:type="dxa"/>
            <w:tcBorders>
              <w:top w:val="nil"/>
              <w:bottom w:val="nil"/>
            </w:tcBorders>
          </w:tcPr>
          <w:p w:rsidR="00FF3F5F" w:rsidRPr="00F66E44" w:rsidRDefault="00FF3F5F">
            <w:pPr>
              <w:pStyle w:val="Heading1"/>
              <w:spacing w:before="40" w:after="40"/>
              <w:rPr>
                <w:rFonts w:cs="Arial"/>
                <w:sz w:val="20"/>
              </w:rPr>
            </w:pPr>
          </w:p>
        </w:tc>
        <w:tc>
          <w:tcPr>
            <w:tcW w:w="3544" w:type="dxa"/>
            <w:vMerge/>
          </w:tcPr>
          <w:p w:rsidR="00FF3F5F" w:rsidRPr="00F66E44" w:rsidRDefault="00FF3F5F">
            <w:pPr>
              <w:rPr>
                <w:rFonts w:ascii="Arial" w:hAnsi="Arial" w:cs="Arial"/>
                <w:sz w:val="20"/>
              </w:rPr>
            </w:pPr>
            <w:bookmarkStart w:id="10" w:name="bmkHazards"/>
            <w:bookmarkEnd w:id="10"/>
          </w:p>
        </w:tc>
        <w:tc>
          <w:tcPr>
            <w:tcW w:w="2551" w:type="dxa"/>
            <w:gridSpan w:val="2"/>
          </w:tcPr>
          <w:p w:rsidR="00FF3F5F" w:rsidRPr="00F66E44" w:rsidRDefault="00FF3F5F">
            <w:pPr>
              <w:rPr>
                <w:rFonts w:ascii="Arial" w:hAnsi="Arial" w:cs="Arial"/>
                <w:sz w:val="20"/>
              </w:rPr>
            </w:pPr>
            <w:r w:rsidRPr="00F66E44">
              <w:rPr>
                <w:rFonts w:ascii="Arial" w:hAnsi="Arial" w:cs="Arial"/>
                <w:sz w:val="20"/>
              </w:rPr>
              <w:t>Turbidity</w:t>
            </w:r>
          </w:p>
        </w:tc>
        <w:tc>
          <w:tcPr>
            <w:tcW w:w="2552" w:type="dxa"/>
            <w:gridSpan w:val="2"/>
          </w:tcPr>
          <w:p w:rsidR="00FF3F5F" w:rsidRPr="00F66E44" w:rsidRDefault="00C56B57" w:rsidP="00C56B57">
            <w:pPr>
              <w:rPr>
                <w:rFonts w:ascii="Arial" w:hAnsi="Arial" w:cs="Arial"/>
                <w:sz w:val="20"/>
              </w:rPr>
            </w:pPr>
            <w:r>
              <w:rPr>
                <w:rFonts w:ascii="Arial" w:hAnsi="Arial" w:cs="Arial"/>
                <w:sz w:val="20"/>
              </w:rPr>
              <w:t>No exposure, shoveler have a low sensitivity to water quality (see below).  T</w:t>
            </w:r>
            <w:r w:rsidR="003A35DF">
              <w:rPr>
                <w:rFonts w:ascii="Arial" w:hAnsi="Arial" w:cs="Arial"/>
                <w:sz w:val="20"/>
              </w:rPr>
              <w:t>he improvements proposed will reduce the input of suspended solids  from the EO and CSO and reduce turbidity levels.</w:t>
            </w:r>
          </w:p>
        </w:tc>
        <w:tc>
          <w:tcPr>
            <w:tcW w:w="292" w:type="dxa"/>
            <w:tcBorders>
              <w:top w:val="nil"/>
              <w:bottom w:val="nil"/>
            </w:tcBorders>
          </w:tcPr>
          <w:p w:rsidR="00FF3F5F" w:rsidRPr="00F66E44" w:rsidRDefault="00FF3F5F">
            <w:pPr>
              <w:pStyle w:val="Heading1"/>
              <w:spacing w:before="40" w:after="40"/>
              <w:rPr>
                <w:rFonts w:cs="Arial"/>
                <w:b w:val="0"/>
                <w:sz w:val="20"/>
              </w:rPr>
            </w:pPr>
          </w:p>
        </w:tc>
      </w:tr>
      <w:tr w:rsidR="002901B3" w:rsidRPr="00F66E44">
        <w:trPr>
          <w:cantSplit/>
          <w:trHeight w:val="261"/>
        </w:trPr>
        <w:tc>
          <w:tcPr>
            <w:tcW w:w="250" w:type="dxa"/>
            <w:tcBorders>
              <w:top w:val="nil"/>
              <w:right w:val="nil"/>
            </w:tcBorders>
          </w:tcPr>
          <w:p w:rsidR="002901B3" w:rsidRPr="00F66E44" w:rsidRDefault="002901B3">
            <w:pPr>
              <w:pStyle w:val="Heading1"/>
              <w:spacing w:before="40" w:after="40"/>
              <w:rPr>
                <w:rFonts w:cs="Arial"/>
                <w:sz w:val="10"/>
              </w:rPr>
            </w:pPr>
          </w:p>
        </w:tc>
        <w:tc>
          <w:tcPr>
            <w:tcW w:w="3544" w:type="dxa"/>
            <w:tcBorders>
              <w:left w:val="nil"/>
              <w:right w:val="nil"/>
            </w:tcBorders>
          </w:tcPr>
          <w:p w:rsidR="002901B3" w:rsidRPr="00F66E44" w:rsidRDefault="002901B3">
            <w:pPr>
              <w:rPr>
                <w:rFonts w:ascii="Arial" w:hAnsi="Arial" w:cs="Arial"/>
                <w:sz w:val="10"/>
              </w:rPr>
            </w:pPr>
          </w:p>
        </w:tc>
        <w:tc>
          <w:tcPr>
            <w:tcW w:w="2551" w:type="dxa"/>
            <w:gridSpan w:val="2"/>
            <w:tcBorders>
              <w:left w:val="nil"/>
              <w:right w:val="nil"/>
            </w:tcBorders>
          </w:tcPr>
          <w:p w:rsidR="002901B3" w:rsidRPr="00F66E44" w:rsidRDefault="002901B3">
            <w:pPr>
              <w:rPr>
                <w:rFonts w:ascii="Arial" w:hAnsi="Arial" w:cs="Arial"/>
                <w:sz w:val="10"/>
              </w:rPr>
            </w:pPr>
          </w:p>
        </w:tc>
        <w:tc>
          <w:tcPr>
            <w:tcW w:w="2552" w:type="dxa"/>
            <w:gridSpan w:val="2"/>
            <w:tcBorders>
              <w:left w:val="nil"/>
              <w:right w:val="nil"/>
            </w:tcBorders>
          </w:tcPr>
          <w:p w:rsidR="002901B3" w:rsidRPr="00F66E44" w:rsidRDefault="002901B3">
            <w:pPr>
              <w:rPr>
                <w:rFonts w:ascii="Arial" w:hAnsi="Arial" w:cs="Arial"/>
                <w:sz w:val="10"/>
              </w:rPr>
            </w:pPr>
          </w:p>
        </w:tc>
        <w:tc>
          <w:tcPr>
            <w:tcW w:w="292" w:type="dxa"/>
            <w:tcBorders>
              <w:top w:val="nil"/>
              <w:left w:val="nil"/>
            </w:tcBorders>
          </w:tcPr>
          <w:p w:rsidR="002901B3" w:rsidRPr="00F66E44" w:rsidRDefault="002901B3">
            <w:pPr>
              <w:pStyle w:val="Heading1"/>
              <w:spacing w:before="40" w:after="40"/>
              <w:rPr>
                <w:rFonts w:cs="Arial"/>
                <w:b w:val="0"/>
                <w:sz w:val="10"/>
              </w:rPr>
            </w:pPr>
          </w:p>
        </w:tc>
      </w:tr>
      <w:tr w:rsidR="002901B3" w:rsidRPr="00F66E44">
        <w:trPr>
          <w:cantSplit/>
        </w:trPr>
        <w:tc>
          <w:tcPr>
            <w:tcW w:w="9189" w:type="dxa"/>
            <w:gridSpan w:val="7"/>
          </w:tcPr>
          <w:p w:rsidR="002901B3" w:rsidRPr="00F66E44" w:rsidRDefault="006559AB" w:rsidP="00703795">
            <w:pPr>
              <w:pStyle w:val="AgencySubHeadings"/>
            </w:pPr>
            <w:r w:rsidRPr="00F66E44">
              <w:t>Is the potential scale or magnitude of any effect likely to be significant?</w:t>
            </w:r>
          </w:p>
        </w:tc>
      </w:tr>
      <w:tr w:rsidR="006559AB" w:rsidRPr="00F66E44">
        <w:trPr>
          <w:cantSplit/>
        </w:trPr>
        <w:tc>
          <w:tcPr>
            <w:tcW w:w="3794" w:type="dxa"/>
            <w:gridSpan w:val="2"/>
          </w:tcPr>
          <w:p w:rsidR="006559AB" w:rsidRPr="00F66E44" w:rsidRDefault="006559AB" w:rsidP="00B74442">
            <w:pPr>
              <w:rPr>
                <w:rFonts w:ascii="Arial" w:hAnsi="Arial" w:cs="Arial"/>
                <w:b/>
                <w:sz w:val="20"/>
              </w:rPr>
            </w:pPr>
            <w:r w:rsidRPr="00F66E44">
              <w:rPr>
                <w:rFonts w:ascii="Arial" w:hAnsi="Arial" w:cs="Arial"/>
                <w:b/>
                <w:sz w:val="20"/>
              </w:rPr>
              <w:lastRenderedPageBreak/>
              <w:t>Alone?</w:t>
            </w:r>
          </w:p>
          <w:p w:rsidR="006559AB" w:rsidRPr="00F66E44" w:rsidRDefault="006559AB" w:rsidP="00B74442">
            <w:pPr>
              <w:rPr>
                <w:rFonts w:ascii="Arial" w:hAnsi="Arial" w:cs="Arial"/>
                <w:sz w:val="20"/>
              </w:rPr>
            </w:pPr>
          </w:p>
        </w:tc>
        <w:tc>
          <w:tcPr>
            <w:tcW w:w="5395" w:type="dxa"/>
            <w:gridSpan w:val="5"/>
          </w:tcPr>
          <w:p w:rsidR="006559AB" w:rsidRDefault="006559AB" w:rsidP="00F66E44">
            <w:pPr>
              <w:rPr>
                <w:rFonts w:ascii="Arial" w:hAnsi="Arial" w:cs="Arial"/>
                <w:sz w:val="20"/>
              </w:rPr>
            </w:pPr>
            <w:r w:rsidRPr="00F66E44">
              <w:rPr>
                <w:rFonts w:ascii="Arial" w:hAnsi="Arial" w:cs="Arial"/>
                <w:sz w:val="20"/>
              </w:rPr>
              <w:t>No</w:t>
            </w:r>
            <w:r w:rsidR="00F66E44">
              <w:rPr>
                <w:rFonts w:ascii="Arial" w:hAnsi="Arial" w:cs="Arial"/>
                <w:sz w:val="20"/>
              </w:rPr>
              <w:t>.</w:t>
            </w:r>
          </w:p>
          <w:p w:rsidR="00E87ABE" w:rsidRDefault="00E87ABE" w:rsidP="00E87ABE">
            <w:pPr>
              <w:rPr>
                <w:rFonts w:ascii="Arial" w:hAnsi="Arial" w:cs="Arial"/>
                <w:sz w:val="20"/>
              </w:rPr>
            </w:pPr>
          </w:p>
          <w:p w:rsidR="000D3717" w:rsidRDefault="00E87ABE" w:rsidP="00E87ABE">
            <w:pPr>
              <w:rPr>
                <w:rFonts w:ascii="Arial" w:hAnsi="Arial" w:cs="Arial"/>
                <w:sz w:val="20"/>
              </w:rPr>
            </w:pPr>
            <w:r>
              <w:rPr>
                <w:rFonts w:ascii="Arial" w:hAnsi="Arial" w:cs="Arial"/>
                <w:sz w:val="20"/>
              </w:rPr>
              <w:t xml:space="preserve">Shoveler are present on the lake </w:t>
            </w:r>
            <w:r w:rsidR="009B01C4">
              <w:rPr>
                <w:rFonts w:ascii="Arial" w:hAnsi="Arial" w:cs="Arial"/>
                <w:sz w:val="20"/>
              </w:rPr>
              <w:t>during the autumn and</w:t>
            </w:r>
            <w:r>
              <w:rPr>
                <w:rFonts w:ascii="Arial" w:hAnsi="Arial" w:cs="Arial"/>
                <w:sz w:val="20"/>
              </w:rPr>
              <w:t xml:space="preserve"> winter</w:t>
            </w:r>
            <w:r w:rsidR="009B01C4">
              <w:rPr>
                <w:rFonts w:ascii="Arial" w:hAnsi="Arial" w:cs="Arial"/>
                <w:sz w:val="20"/>
              </w:rPr>
              <w:t xml:space="preserve"> months</w:t>
            </w:r>
            <w:r w:rsidR="001979ED">
              <w:rPr>
                <w:rFonts w:ascii="Arial" w:hAnsi="Arial" w:cs="Arial"/>
                <w:sz w:val="20"/>
              </w:rPr>
              <w:t xml:space="preserve">. Whilst spills are </w:t>
            </w:r>
            <w:r>
              <w:rPr>
                <w:rFonts w:ascii="Arial" w:hAnsi="Arial" w:cs="Arial"/>
                <w:sz w:val="20"/>
              </w:rPr>
              <w:t xml:space="preserve">more likely to take place in the </w:t>
            </w:r>
            <w:r w:rsidR="009B01C4">
              <w:rPr>
                <w:rFonts w:ascii="Arial" w:hAnsi="Arial" w:cs="Arial"/>
                <w:sz w:val="20"/>
              </w:rPr>
              <w:t>autumn/</w:t>
            </w:r>
            <w:r>
              <w:rPr>
                <w:rFonts w:ascii="Arial" w:hAnsi="Arial" w:cs="Arial"/>
                <w:sz w:val="20"/>
              </w:rPr>
              <w:t xml:space="preserve">winter period </w:t>
            </w:r>
            <w:r w:rsidR="009B01C4">
              <w:rPr>
                <w:rFonts w:ascii="Arial" w:hAnsi="Arial" w:cs="Arial"/>
                <w:sz w:val="20"/>
              </w:rPr>
              <w:t>when</w:t>
            </w:r>
            <w:r>
              <w:rPr>
                <w:rFonts w:ascii="Arial" w:hAnsi="Arial" w:cs="Arial"/>
                <w:sz w:val="20"/>
              </w:rPr>
              <w:t xml:space="preserve"> adverse weather conditions</w:t>
            </w:r>
            <w:r w:rsidR="009B01C4">
              <w:rPr>
                <w:rFonts w:ascii="Arial" w:hAnsi="Arial" w:cs="Arial"/>
                <w:sz w:val="20"/>
              </w:rPr>
              <w:t xml:space="preserve"> are more likely</w:t>
            </w:r>
            <w:r>
              <w:rPr>
                <w:rFonts w:ascii="Arial" w:hAnsi="Arial" w:cs="Arial"/>
                <w:sz w:val="20"/>
              </w:rPr>
              <w:t xml:space="preserve">, </w:t>
            </w:r>
            <w:r w:rsidR="00287CA6">
              <w:rPr>
                <w:rFonts w:ascii="Arial" w:hAnsi="Arial" w:cs="Arial"/>
                <w:sz w:val="20"/>
              </w:rPr>
              <w:t>the storm conditions will</w:t>
            </w:r>
            <w:r w:rsidR="004C6C3D">
              <w:rPr>
                <w:rFonts w:ascii="Arial" w:hAnsi="Arial" w:cs="Arial"/>
                <w:sz w:val="20"/>
              </w:rPr>
              <w:t xml:space="preserve"> mean the effluent will be well </w:t>
            </w:r>
            <w:r w:rsidR="00287CA6">
              <w:rPr>
                <w:rFonts w:ascii="Arial" w:hAnsi="Arial" w:cs="Arial"/>
                <w:sz w:val="20"/>
              </w:rPr>
              <w:t>diluted in</w:t>
            </w:r>
            <w:r w:rsidR="004C6C3D">
              <w:rPr>
                <w:rFonts w:ascii="Arial" w:hAnsi="Arial" w:cs="Arial"/>
                <w:sz w:val="20"/>
              </w:rPr>
              <w:t xml:space="preserve"> both the sewer and</w:t>
            </w:r>
            <w:r w:rsidR="00287CA6">
              <w:rPr>
                <w:rFonts w:ascii="Arial" w:hAnsi="Arial" w:cs="Arial"/>
                <w:sz w:val="20"/>
              </w:rPr>
              <w:t xml:space="preserve"> the</w:t>
            </w:r>
            <w:r>
              <w:rPr>
                <w:rFonts w:ascii="Arial" w:hAnsi="Arial" w:cs="Arial"/>
                <w:sz w:val="20"/>
              </w:rPr>
              <w:t xml:space="preserve"> rece</w:t>
            </w:r>
            <w:r w:rsidR="004C6C3D">
              <w:rPr>
                <w:rFonts w:ascii="Arial" w:hAnsi="Arial" w:cs="Arial"/>
                <w:sz w:val="20"/>
              </w:rPr>
              <w:t>i</w:t>
            </w:r>
            <w:r>
              <w:rPr>
                <w:rFonts w:ascii="Arial" w:hAnsi="Arial" w:cs="Arial"/>
                <w:sz w:val="20"/>
              </w:rPr>
              <w:t>ving watercourse before it reaches the lake and within the lake its</w:t>
            </w:r>
            <w:r w:rsidR="001979ED">
              <w:rPr>
                <w:rFonts w:ascii="Arial" w:hAnsi="Arial" w:cs="Arial"/>
                <w:sz w:val="20"/>
              </w:rPr>
              <w:t xml:space="preserve">elf. </w:t>
            </w:r>
            <w:r w:rsidR="00287CA6">
              <w:rPr>
                <w:rFonts w:ascii="Arial" w:hAnsi="Arial" w:cs="Arial"/>
                <w:sz w:val="20"/>
              </w:rPr>
              <w:t>Owing to the high levels of dilution</w:t>
            </w:r>
            <w:r w:rsidR="009B01C4">
              <w:rPr>
                <w:rFonts w:ascii="Arial" w:hAnsi="Arial" w:cs="Arial"/>
                <w:sz w:val="20"/>
              </w:rPr>
              <w:t xml:space="preserve"> at this time</w:t>
            </w:r>
            <w:r w:rsidR="00287CA6">
              <w:rPr>
                <w:rFonts w:ascii="Arial" w:hAnsi="Arial" w:cs="Arial"/>
                <w:sz w:val="20"/>
              </w:rPr>
              <w:t xml:space="preserve">, a significant adverse impact on water quality is considered unlikely.  </w:t>
            </w:r>
          </w:p>
          <w:p w:rsidR="00E87ABE" w:rsidRDefault="00E87ABE" w:rsidP="00E87ABE">
            <w:pPr>
              <w:rPr>
                <w:rFonts w:ascii="Arial" w:hAnsi="Arial" w:cs="Arial"/>
                <w:sz w:val="20"/>
              </w:rPr>
            </w:pPr>
          </w:p>
          <w:p w:rsidR="008F06A7" w:rsidRDefault="009B01C4" w:rsidP="00E87ABE">
            <w:pPr>
              <w:rPr>
                <w:rFonts w:ascii="Arial" w:hAnsi="Arial" w:cs="Arial"/>
                <w:sz w:val="20"/>
              </w:rPr>
            </w:pPr>
            <w:r>
              <w:rPr>
                <w:rFonts w:ascii="Arial" w:hAnsi="Arial" w:cs="Arial"/>
                <w:sz w:val="20"/>
              </w:rPr>
              <w:t>Furthermore, the</w:t>
            </w:r>
            <w:r w:rsidR="008F06A7">
              <w:rPr>
                <w:rFonts w:ascii="Arial" w:hAnsi="Arial" w:cs="Arial"/>
                <w:sz w:val="20"/>
              </w:rPr>
              <w:t xml:space="preserve"> proposals will result in an improvement in water quality; there will be fewer spills and reduced spill volume, and the better screening will improve the level of treatment.</w:t>
            </w:r>
          </w:p>
          <w:p w:rsidR="00B76220" w:rsidRDefault="00B76220" w:rsidP="00E87ABE">
            <w:pPr>
              <w:rPr>
                <w:rFonts w:ascii="Arial" w:hAnsi="Arial" w:cs="Arial"/>
                <w:sz w:val="20"/>
              </w:rPr>
            </w:pPr>
          </w:p>
          <w:p w:rsidR="00096413" w:rsidRDefault="00B76220" w:rsidP="00B76220">
            <w:pPr>
              <w:rPr>
                <w:rFonts w:ascii="Arial" w:hAnsi="Arial" w:cs="Arial"/>
                <w:color w:val="000000"/>
                <w:sz w:val="20"/>
              </w:rPr>
            </w:pPr>
            <w:r w:rsidRPr="00B76220">
              <w:rPr>
                <w:rFonts w:ascii="Arial" w:hAnsi="Arial" w:cs="Arial"/>
                <w:color w:val="000000"/>
                <w:sz w:val="20"/>
              </w:rPr>
              <w:t>The conservation objectives</w:t>
            </w:r>
            <w:r w:rsidR="00096413">
              <w:rPr>
                <w:rFonts w:ascii="Arial" w:hAnsi="Arial" w:cs="Arial"/>
                <w:color w:val="000000"/>
                <w:sz w:val="20"/>
              </w:rPr>
              <w:t xml:space="preserve"> for the SPA</w:t>
            </w:r>
            <w:r w:rsidRPr="00B76220">
              <w:rPr>
                <w:rFonts w:ascii="Arial" w:hAnsi="Arial" w:cs="Arial"/>
                <w:color w:val="000000"/>
                <w:sz w:val="20"/>
              </w:rPr>
              <w:t xml:space="preserve"> refer to requirements for extent of open water and extensive shallows &lt;25cm, food availability and low levels of disturbance in feeding and roosting area, but do not indicate a requirement for any water quality standard.</w:t>
            </w:r>
            <w:r w:rsidR="00096413">
              <w:rPr>
                <w:rFonts w:ascii="Arial" w:hAnsi="Arial" w:cs="Arial"/>
                <w:color w:val="000000"/>
                <w:sz w:val="20"/>
              </w:rPr>
              <w:t xml:space="preserve">  </w:t>
            </w:r>
          </w:p>
          <w:p w:rsidR="00096413" w:rsidRDefault="00096413" w:rsidP="00B76220">
            <w:pPr>
              <w:rPr>
                <w:rFonts w:ascii="Arial" w:hAnsi="Arial" w:cs="Arial"/>
                <w:color w:val="000000"/>
                <w:sz w:val="20"/>
              </w:rPr>
            </w:pPr>
          </w:p>
          <w:p w:rsidR="00096413" w:rsidRDefault="00096413" w:rsidP="00096413">
            <w:pPr>
              <w:rPr>
                <w:color w:val="000000"/>
                <w:sz w:val="22"/>
                <w:szCs w:val="22"/>
              </w:rPr>
            </w:pPr>
            <w:r>
              <w:rPr>
                <w:rFonts w:ascii="Arial" w:hAnsi="Arial" w:cs="Arial"/>
                <w:color w:val="000000"/>
                <w:sz w:val="20"/>
              </w:rPr>
              <w:t>The Site Action Plan for Chew Valley SPA concluded that shoveler have a low sensitivity to water quality.  This is because t</w:t>
            </w:r>
            <w:r w:rsidRPr="00096413">
              <w:rPr>
                <w:rFonts w:ascii="Arial" w:hAnsi="Arial" w:cs="Arial"/>
                <w:color w:val="000000"/>
                <w:sz w:val="20"/>
              </w:rPr>
              <w:t>he shoveler’s plant and invertebrate food requirements are not highly specialised or restricted to particular species, and so not dependent on water quality.</w:t>
            </w:r>
            <w:r>
              <w:rPr>
                <w:color w:val="000000"/>
                <w:sz w:val="22"/>
                <w:szCs w:val="22"/>
              </w:rPr>
              <w:t xml:space="preserve"> </w:t>
            </w:r>
            <w:r w:rsidRPr="00D64640">
              <w:rPr>
                <w:rFonts w:ascii="Arial" w:hAnsi="Arial" w:cs="Arial"/>
                <w:color w:val="000000"/>
                <w:sz w:val="20"/>
              </w:rPr>
              <w:t>Potential vegetation or invertebrate community changes as a result of nutrient enrichment would not compromise their food supply, unless there was excessive eu</w:t>
            </w:r>
            <w:r w:rsidR="00D64640">
              <w:rPr>
                <w:rFonts w:ascii="Arial" w:hAnsi="Arial" w:cs="Arial"/>
                <w:color w:val="000000"/>
                <w:sz w:val="20"/>
              </w:rPr>
              <w:t>trophication</w:t>
            </w:r>
            <w:r w:rsidRPr="00D64640">
              <w:rPr>
                <w:rFonts w:ascii="Arial" w:hAnsi="Arial" w:cs="Arial"/>
                <w:color w:val="000000"/>
                <w:sz w:val="20"/>
              </w:rPr>
              <w:t xml:space="preserve">.  This discharge would </w:t>
            </w:r>
            <w:r w:rsidR="006C1D5F">
              <w:rPr>
                <w:rFonts w:ascii="Arial" w:hAnsi="Arial" w:cs="Arial"/>
                <w:color w:val="000000"/>
                <w:sz w:val="20"/>
              </w:rPr>
              <w:t>not cause</w:t>
            </w:r>
            <w:r w:rsidRPr="00D64640">
              <w:rPr>
                <w:rFonts w:ascii="Arial" w:hAnsi="Arial" w:cs="Arial"/>
                <w:color w:val="000000"/>
                <w:sz w:val="20"/>
              </w:rPr>
              <w:t xml:space="preserve"> excessive eutrophicatio</w:t>
            </w:r>
            <w:r w:rsidR="00D64640">
              <w:rPr>
                <w:rFonts w:ascii="Arial" w:hAnsi="Arial" w:cs="Arial"/>
                <w:color w:val="000000"/>
                <w:sz w:val="20"/>
              </w:rPr>
              <w:t>n.</w:t>
            </w:r>
            <w:r>
              <w:rPr>
                <w:color w:val="000000"/>
                <w:sz w:val="22"/>
                <w:szCs w:val="22"/>
              </w:rPr>
              <w:t xml:space="preserve"> </w:t>
            </w:r>
          </w:p>
          <w:p w:rsidR="00096413" w:rsidRDefault="00096413" w:rsidP="00096413">
            <w:pPr>
              <w:rPr>
                <w:color w:val="000000"/>
                <w:sz w:val="22"/>
                <w:szCs w:val="22"/>
              </w:rPr>
            </w:pPr>
          </w:p>
          <w:p w:rsidR="00E87ABE" w:rsidRPr="00F66E44" w:rsidRDefault="00E87ABE" w:rsidP="00D64640">
            <w:pPr>
              <w:pStyle w:val="Default"/>
              <w:rPr>
                <w:rFonts w:ascii="Arial" w:hAnsi="Arial" w:cs="Arial"/>
                <w:sz w:val="20"/>
              </w:rPr>
            </w:pPr>
          </w:p>
        </w:tc>
      </w:tr>
      <w:tr w:rsidR="006559AB" w:rsidRPr="00F66E44">
        <w:trPr>
          <w:cantSplit/>
        </w:trPr>
        <w:tc>
          <w:tcPr>
            <w:tcW w:w="3794" w:type="dxa"/>
            <w:gridSpan w:val="2"/>
          </w:tcPr>
          <w:p w:rsidR="006559AB" w:rsidRPr="00F66E44" w:rsidRDefault="006559AB" w:rsidP="00B74442">
            <w:pPr>
              <w:pStyle w:val="BodyTextIndent"/>
              <w:ind w:left="0" w:firstLine="0"/>
              <w:jc w:val="left"/>
              <w:rPr>
                <w:rFonts w:cs="Arial"/>
                <w:b w:val="0"/>
                <w:sz w:val="20"/>
              </w:rPr>
            </w:pPr>
            <w:r w:rsidRPr="00F66E44">
              <w:rPr>
                <w:rFonts w:cs="Arial"/>
                <w:sz w:val="20"/>
              </w:rPr>
              <w:t>In combination</w:t>
            </w:r>
            <w:r w:rsidRPr="00F66E44">
              <w:rPr>
                <w:rFonts w:cs="Arial"/>
                <w:b w:val="0"/>
                <w:sz w:val="20"/>
              </w:rPr>
              <w:t xml:space="preserve"> with other Environment Agency permissions, plans or projects?</w:t>
            </w:r>
          </w:p>
          <w:p w:rsidR="006559AB" w:rsidRPr="00F66E44" w:rsidRDefault="006559AB" w:rsidP="00B74442">
            <w:pPr>
              <w:rPr>
                <w:rFonts w:ascii="Arial" w:hAnsi="Arial" w:cs="Arial"/>
              </w:rPr>
            </w:pPr>
          </w:p>
        </w:tc>
        <w:tc>
          <w:tcPr>
            <w:tcW w:w="5395" w:type="dxa"/>
            <w:gridSpan w:val="5"/>
          </w:tcPr>
          <w:p w:rsidR="006559AB" w:rsidRPr="00F66E44" w:rsidRDefault="00F66E44" w:rsidP="00B74442">
            <w:pPr>
              <w:rPr>
                <w:rFonts w:ascii="Arial" w:hAnsi="Arial" w:cs="Arial"/>
                <w:sz w:val="20"/>
              </w:rPr>
            </w:pPr>
            <w:r w:rsidRPr="00F66E44">
              <w:rPr>
                <w:rFonts w:ascii="Arial" w:hAnsi="Arial" w:cs="Arial"/>
                <w:sz w:val="20"/>
              </w:rPr>
              <w:t>No.</w:t>
            </w:r>
          </w:p>
          <w:p w:rsidR="00F66E44" w:rsidRPr="00F66E44" w:rsidRDefault="00F66E44" w:rsidP="00B74442">
            <w:pPr>
              <w:rPr>
                <w:rFonts w:ascii="Arial" w:hAnsi="Arial" w:cs="Arial"/>
                <w:sz w:val="20"/>
              </w:rPr>
            </w:pPr>
          </w:p>
          <w:p w:rsidR="00B76220" w:rsidRDefault="008F06A7" w:rsidP="00B74442">
            <w:pPr>
              <w:rPr>
                <w:rFonts w:ascii="Arial" w:hAnsi="Arial" w:cs="Arial"/>
                <w:sz w:val="20"/>
              </w:rPr>
            </w:pPr>
            <w:r>
              <w:rPr>
                <w:rFonts w:ascii="Arial" w:hAnsi="Arial" w:cs="Arial"/>
                <w:sz w:val="20"/>
              </w:rPr>
              <w:t xml:space="preserve">The discharge was </w:t>
            </w:r>
            <w:r w:rsidR="006C1D5F">
              <w:rPr>
                <w:rFonts w:ascii="Arial" w:hAnsi="Arial" w:cs="Arial"/>
                <w:sz w:val="20"/>
              </w:rPr>
              <w:t>covered by</w:t>
            </w:r>
            <w:r w:rsidR="003D3580">
              <w:rPr>
                <w:rFonts w:ascii="Arial" w:hAnsi="Arial" w:cs="Arial"/>
                <w:sz w:val="20"/>
              </w:rPr>
              <w:t xml:space="preserve"> a previous</w:t>
            </w:r>
            <w:r w:rsidR="006C1D5F">
              <w:rPr>
                <w:rFonts w:ascii="Arial" w:hAnsi="Arial" w:cs="Arial"/>
                <w:sz w:val="20"/>
              </w:rPr>
              <w:t xml:space="preserve"> permit </w:t>
            </w:r>
            <w:r w:rsidR="003D3580">
              <w:rPr>
                <w:rFonts w:ascii="Arial" w:hAnsi="Arial" w:cs="Arial"/>
                <w:sz w:val="20"/>
              </w:rPr>
              <w:t>(</w:t>
            </w:r>
            <w:r w:rsidR="006C1D5F">
              <w:rPr>
                <w:rFonts w:ascii="Arial" w:hAnsi="Arial" w:cs="Arial"/>
                <w:sz w:val="20"/>
              </w:rPr>
              <w:t>011482</w:t>
            </w:r>
            <w:r w:rsidR="003D3580">
              <w:rPr>
                <w:rFonts w:ascii="Arial" w:hAnsi="Arial" w:cs="Arial"/>
                <w:sz w:val="20"/>
              </w:rPr>
              <w:t>)</w:t>
            </w:r>
            <w:r w:rsidR="006C1D5F">
              <w:rPr>
                <w:rFonts w:ascii="Arial" w:hAnsi="Arial" w:cs="Arial"/>
                <w:sz w:val="20"/>
              </w:rPr>
              <w:t>;</w:t>
            </w:r>
            <w:r>
              <w:rPr>
                <w:rFonts w:ascii="Arial" w:hAnsi="Arial" w:cs="Arial"/>
                <w:sz w:val="20"/>
              </w:rPr>
              <w:t xml:space="preserve"> however this permit was mistakenly revoked by Wessex Water in 2008 as they incorrectly believed there was no EO or CSO at the site.</w:t>
            </w:r>
            <w:r w:rsidR="00B76220">
              <w:rPr>
                <w:rFonts w:ascii="Arial" w:hAnsi="Arial" w:cs="Arial"/>
                <w:sz w:val="20"/>
              </w:rPr>
              <w:t xml:space="preserve">  It has since been established that there is an EO and CSO at the site and it has been in place</w:t>
            </w:r>
            <w:r w:rsidR="006C1D5F">
              <w:rPr>
                <w:rFonts w:ascii="Arial" w:hAnsi="Arial" w:cs="Arial"/>
                <w:sz w:val="20"/>
              </w:rPr>
              <w:t>, unchanged,</w:t>
            </w:r>
            <w:r w:rsidR="00B76220">
              <w:rPr>
                <w:rFonts w:ascii="Arial" w:hAnsi="Arial" w:cs="Arial"/>
                <w:sz w:val="20"/>
              </w:rPr>
              <w:t xml:space="preserve"> for many years.</w:t>
            </w:r>
            <w:r>
              <w:rPr>
                <w:rFonts w:ascii="Arial" w:hAnsi="Arial" w:cs="Arial"/>
                <w:sz w:val="20"/>
              </w:rPr>
              <w:t xml:space="preserve">  </w:t>
            </w:r>
          </w:p>
          <w:p w:rsidR="00B76220" w:rsidRDefault="00B76220" w:rsidP="00B74442">
            <w:pPr>
              <w:rPr>
                <w:rFonts w:ascii="Arial" w:hAnsi="Arial" w:cs="Arial"/>
                <w:sz w:val="20"/>
              </w:rPr>
            </w:pPr>
          </w:p>
          <w:p w:rsidR="00F66E44" w:rsidRDefault="008F06A7" w:rsidP="00B74442">
            <w:pPr>
              <w:rPr>
                <w:rFonts w:ascii="Arial" w:hAnsi="Arial" w:cs="Arial"/>
                <w:sz w:val="20"/>
              </w:rPr>
            </w:pPr>
            <w:r>
              <w:rPr>
                <w:rFonts w:ascii="Arial" w:hAnsi="Arial" w:cs="Arial"/>
                <w:sz w:val="20"/>
              </w:rPr>
              <w:t xml:space="preserve">Permit number 011482 was included in the Review of Consents assessment for Chew Valley SPA.  It was found </w:t>
            </w:r>
            <w:r w:rsidR="00B76220">
              <w:rPr>
                <w:rFonts w:ascii="Arial" w:hAnsi="Arial" w:cs="Arial"/>
                <w:sz w:val="20"/>
              </w:rPr>
              <w:t>‘</w:t>
            </w:r>
            <w:r>
              <w:rPr>
                <w:rFonts w:ascii="Arial" w:hAnsi="Arial" w:cs="Arial"/>
                <w:sz w:val="20"/>
              </w:rPr>
              <w:t>not likely to cause a significant effect alone or in</w:t>
            </w:r>
            <w:r w:rsidR="00D237A8">
              <w:rPr>
                <w:rFonts w:ascii="Arial" w:hAnsi="Arial" w:cs="Arial"/>
                <w:sz w:val="20"/>
              </w:rPr>
              <w:t xml:space="preserve"> </w:t>
            </w:r>
            <w:r>
              <w:rPr>
                <w:rFonts w:ascii="Arial" w:hAnsi="Arial" w:cs="Arial"/>
                <w:sz w:val="20"/>
              </w:rPr>
              <w:t>combination</w:t>
            </w:r>
            <w:r w:rsidR="00B76220">
              <w:rPr>
                <w:rFonts w:ascii="Arial" w:hAnsi="Arial" w:cs="Arial"/>
                <w:sz w:val="20"/>
              </w:rPr>
              <w:t>’.</w:t>
            </w:r>
            <w:r>
              <w:rPr>
                <w:rFonts w:ascii="Arial" w:hAnsi="Arial" w:cs="Arial"/>
                <w:sz w:val="20"/>
              </w:rPr>
              <w:t xml:space="preserve"> </w:t>
            </w:r>
          </w:p>
          <w:p w:rsidR="008F06A7" w:rsidRDefault="008F06A7" w:rsidP="00B74442">
            <w:pPr>
              <w:rPr>
                <w:rFonts w:ascii="Arial" w:hAnsi="Arial" w:cs="Arial"/>
                <w:sz w:val="20"/>
              </w:rPr>
            </w:pPr>
          </w:p>
          <w:p w:rsidR="008F06A7" w:rsidRDefault="008F06A7" w:rsidP="00B74442">
            <w:pPr>
              <w:rPr>
                <w:rFonts w:ascii="Arial" w:hAnsi="Arial" w:cs="Arial"/>
                <w:sz w:val="20"/>
              </w:rPr>
            </w:pPr>
            <w:r>
              <w:rPr>
                <w:rFonts w:ascii="Arial" w:hAnsi="Arial" w:cs="Arial"/>
                <w:sz w:val="20"/>
              </w:rPr>
              <w:t>The Review of Consents did not identify any known water quality problems at the site</w:t>
            </w:r>
            <w:r w:rsidR="00096413">
              <w:rPr>
                <w:rFonts w:ascii="Arial" w:hAnsi="Arial" w:cs="Arial"/>
                <w:sz w:val="20"/>
              </w:rPr>
              <w:t xml:space="preserve"> as a result of the permitted discharges either</w:t>
            </w:r>
            <w:r w:rsidR="00B76220">
              <w:rPr>
                <w:rFonts w:ascii="Arial" w:hAnsi="Arial" w:cs="Arial"/>
                <w:sz w:val="20"/>
              </w:rPr>
              <w:t xml:space="preserve"> alone or incombination</w:t>
            </w:r>
            <w:r>
              <w:rPr>
                <w:rFonts w:ascii="Arial" w:hAnsi="Arial" w:cs="Arial"/>
                <w:sz w:val="20"/>
              </w:rPr>
              <w:t>.</w:t>
            </w:r>
          </w:p>
          <w:p w:rsidR="00485336" w:rsidRDefault="00485336" w:rsidP="00B74442">
            <w:pPr>
              <w:rPr>
                <w:rFonts w:ascii="Arial" w:hAnsi="Arial" w:cs="Arial"/>
                <w:sz w:val="20"/>
              </w:rPr>
            </w:pPr>
          </w:p>
          <w:p w:rsidR="00485336" w:rsidRDefault="00485336" w:rsidP="00B74442">
            <w:pPr>
              <w:rPr>
                <w:rFonts w:ascii="Arial" w:hAnsi="Arial" w:cs="Arial"/>
                <w:sz w:val="20"/>
              </w:rPr>
            </w:pPr>
            <w:r>
              <w:rPr>
                <w:rFonts w:ascii="Arial" w:hAnsi="Arial" w:cs="Arial"/>
                <w:sz w:val="20"/>
              </w:rPr>
              <w:t>There are a number of abstraction l</w:t>
            </w:r>
            <w:r w:rsidR="007F3F86">
              <w:rPr>
                <w:rFonts w:ascii="Arial" w:hAnsi="Arial" w:cs="Arial"/>
                <w:sz w:val="20"/>
              </w:rPr>
              <w:t>icences at the lake for the purpose of public water supply.</w:t>
            </w:r>
            <w:r w:rsidR="00BD6F0D">
              <w:rPr>
                <w:rFonts w:ascii="Arial" w:hAnsi="Arial" w:cs="Arial"/>
                <w:sz w:val="20"/>
              </w:rPr>
              <w:t xml:space="preserve"> </w:t>
            </w:r>
            <w:r w:rsidR="007F3F86">
              <w:rPr>
                <w:rFonts w:ascii="Arial" w:hAnsi="Arial" w:cs="Arial"/>
                <w:sz w:val="20"/>
              </w:rPr>
              <w:t xml:space="preserve">The EO and CSO will not discharge when water levels are low and the discharge will not have any impact on overall water levels in the lake.  There will be no in combination effects as a result of this proposal.  </w:t>
            </w:r>
          </w:p>
          <w:p w:rsidR="001E3441" w:rsidRPr="00F66E44" w:rsidRDefault="001E3441" w:rsidP="0082663F">
            <w:pPr>
              <w:rPr>
                <w:rFonts w:ascii="Arial" w:hAnsi="Arial" w:cs="Arial"/>
                <w:sz w:val="20"/>
              </w:rPr>
            </w:pPr>
          </w:p>
        </w:tc>
      </w:tr>
      <w:tr w:rsidR="002901B3" w:rsidRPr="00F66E44">
        <w:trPr>
          <w:cantSplit/>
        </w:trPr>
        <w:tc>
          <w:tcPr>
            <w:tcW w:w="3794" w:type="dxa"/>
            <w:gridSpan w:val="2"/>
          </w:tcPr>
          <w:p w:rsidR="006559AB" w:rsidRPr="00F66E44" w:rsidRDefault="006559AB" w:rsidP="006559AB">
            <w:pPr>
              <w:rPr>
                <w:rFonts w:ascii="Arial" w:hAnsi="Arial" w:cs="Arial"/>
                <w:sz w:val="20"/>
              </w:rPr>
            </w:pPr>
            <w:r w:rsidRPr="00F66E44">
              <w:rPr>
                <w:rFonts w:ascii="Arial" w:hAnsi="Arial" w:cs="Arial"/>
                <w:b/>
                <w:sz w:val="20"/>
              </w:rPr>
              <w:lastRenderedPageBreak/>
              <w:t>In combination with</w:t>
            </w:r>
            <w:r w:rsidRPr="00F66E44">
              <w:rPr>
                <w:rFonts w:ascii="Arial" w:hAnsi="Arial" w:cs="Arial"/>
                <w:sz w:val="20"/>
              </w:rPr>
              <w:t xml:space="preserve"> permissions, plans or projects with competent authorities?</w:t>
            </w:r>
          </w:p>
          <w:p w:rsidR="006559AB" w:rsidRPr="00F66E44" w:rsidRDefault="006559AB" w:rsidP="006559AB">
            <w:pPr>
              <w:rPr>
                <w:rFonts w:ascii="Arial" w:hAnsi="Arial" w:cs="Arial"/>
                <w:sz w:val="20"/>
              </w:rPr>
            </w:pPr>
          </w:p>
          <w:p w:rsidR="002901B3" w:rsidRPr="00F66E44" w:rsidRDefault="002901B3" w:rsidP="006559AB">
            <w:pPr>
              <w:pStyle w:val="BodyTextIndent"/>
              <w:ind w:left="0" w:firstLine="0"/>
              <w:rPr>
                <w:rFonts w:cs="Arial"/>
                <w:b w:val="0"/>
                <w:sz w:val="20"/>
              </w:rPr>
            </w:pPr>
          </w:p>
        </w:tc>
        <w:tc>
          <w:tcPr>
            <w:tcW w:w="5395" w:type="dxa"/>
            <w:gridSpan w:val="5"/>
          </w:tcPr>
          <w:p w:rsidR="00485336" w:rsidRDefault="00485336" w:rsidP="00F66E44">
            <w:pPr>
              <w:rPr>
                <w:rFonts w:ascii="Arial" w:hAnsi="Arial" w:cs="Arial"/>
                <w:sz w:val="20"/>
              </w:rPr>
            </w:pPr>
          </w:p>
          <w:p w:rsidR="00485336" w:rsidRDefault="007F3F86" w:rsidP="00F66E44">
            <w:pPr>
              <w:rPr>
                <w:rFonts w:ascii="Arial" w:hAnsi="Arial" w:cs="Arial"/>
                <w:sz w:val="20"/>
              </w:rPr>
            </w:pPr>
            <w:r>
              <w:rPr>
                <w:rFonts w:ascii="Arial" w:hAnsi="Arial" w:cs="Arial"/>
                <w:sz w:val="20"/>
              </w:rPr>
              <w:t xml:space="preserve">As Chew Valley Lake is a public water supply storage resevoir, </w:t>
            </w:r>
            <w:r w:rsidR="00485336">
              <w:rPr>
                <w:rFonts w:ascii="Arial" w:hAnsi="Arial" w:cs="Arial"/>
                <w:sz w:val="20"/>
              </w:rPr>
              <w:t>Bristol Water</w:t>
            </w:r>
            <w:r w:rsidR="00BD6F0D">
              <w:rPr>
                <w:rFonts w:ascii="Arial" w:hAnsi="Arial" w:cs="Arial"/>
                <w:sz w:val="20"/>
              </w:rPr>
              <w:t xml:space="preserve"> </w:t>
            </w:r>
            <w:r w:rsidR="00347758">
              <w:rPr>
                <w:rFonts w:ascii="Arial" w:hAnsi="Arial" w:cs="Arial"/>
                <w:sz w:val="20"/>
              </w:rPr>
              <w:t xml:space="preserve">have </w:t>
            </w:r>
            <w:r w:rsidR="00485336">
              <w:rPr>
                <w:rFonts w:ascii="Arial" w:hAnsi="Arial" w:cs="Arial"/>
                <w:sz w:val="20"/>
              </w:rPr>
              <w:t>been consulted on these proposals</w:t>
            </w:r>
            <w:r w:rsidR="00BD6F0D">
              <w:rPr>
                <w:rFonts w:ascii="Arial" w:hAnsi="Arial" w:cs="Arial"/>
                <w:sz w:val="20"/>
              </w:rPr>
              <w:t xml:space="preserve">, </w:t>
            </w:r>
            <w:r w:rsidR="00BD6F0D" w:rsidRPr="00C41217">
              <w:rPr>
                <w:rFonts w:ascii="Arial" w:hAnsi="Arial" w:cs="Arial"/>
                <w:sz w:val="20"/>
              </w:rPr>
              <w:t xml:space="preserve">to date no response has been received (deadline </w:t>
            </w:r>
            <w:r w:rsidR="00D237A8">
              <w:rPr>
                <w:rFonts w:ascii="Arial" w:hAnsi="Arial" w:cs="Arial"/>
                <w:sz w:val="20"/>
              </w:rPr>
              <w:t xml:space="preserve">for response is </w:t>
            </w:r>
            <w:r w:rsidR="00BD6F0D" w:rsidRPr="00C41217">
              <w:rPr>
                <w:rFonts w:ascii="Arial" w:hAnsi="Arial" w:cs="Arial"/>
                <w:sz w:val="20"/>
              </w:rPr>
              <w:t>28/</w:t>
            </w:r>
            <w:r w:rsidR="00D237A8">
              <w:rPr>
                <w:rFonts w:ascii="Arial" w:hAnsi="Arial" w:cs="Arial"/>
                <w:sz w:val="20"/>
              </w:rPr>
              <w:t>0</w:t>
            </w:r>
            <w:r w:rsidR="00BD6F0D" w:rsidRPr="00C41217">
              <w:rPr>
                <w:rFonts w:ascii="Arial" w:hAnsi="Arial" w:cs="Arial"/>
                <w:sz w:val="20"/>
              </w:rPr>
              <w:t>2</w:t>
            </w:r>
            <w:r w:rsidR="00C41217" w:rsidRPr="00C41217">
              <w:rPr>
                <w:rFonts w:ascii="Arial" w:hAnsi="Arial" w:cs="Arial"/>
                <w:sz w:val="20"/>
              </w:rPr>
              <w:t>/2013</w:t>
            </w:r>
            <w:r w:rsidR="00BD6F0D" w:rsidRPr="00C41217">
              <w:rPr>
                <w:rFonts w:ascii="Arial" w:hAnsi="Arial" w:cs="Arial"/>
                <w:sz w:val="20"/>
              </w:rPr>
              <w:t>)</w:t>
            </w:r>
            <w:r w:rsidR="00485336" w:rsidRPr="00C41217">
              <w:rPr>
                <w:rFonts w:ascii="Arial" w:hAnsi="Arial" w:cs="Arial"/>
                <w:sz w:val="20"/>
              </w:rPr>
              <w:t>.</w:t>
            </w:r>
            <w:r w:rsidR="00BD6F0D" w:rsidRPr="00C41217">
              <w:rPr>
                <w:rFonts w:ascii="Arial" w:hAnsi="Arial" w:cs="Arial"/>
                <w:sz w:val="20"/>
              </w:rPr>
              <w:t xml:space="preserve">  As the proposals represent an improvement it is anticipated there should not be any adverse impact on the potable water supply.</w:t>
            </w:r>
          </w:p>
          <w:p w:rsidR="00347758" w:rsidRDefault="00347758" w:rsidP="00F66E44">
            <w:pPr>
              <w:rPr>
                <w:rFonts w:ascii="Arial" w:hAnsi="Arial" w:cs="Arial"/>
                <w:sz w:val="20"/>
              </w:rPr>
            </w:pPr>
          </w:p>
          <w:p w:rsidR="00347758" w:rsidRPr="00F66E44" w:rsidRDefault="00347758" w:rsidP="00347758">
            <w:pPr>
              <w:pStyle w:val="Filename"/>
              <w:rPr>
                <w:rFonts w:ascii="Arial" w:hAnsi="Arial" w:cs="Arial"/>
              </w:rPr>
            </w:pPr>
            <w:r w:rsidRPr="00F66E44">
              <w:rPr>
                <w:rFonts w:ascii="Arial" w:hAnsi="Arial" w:cs="Arial"/>
              </w:rPr>
              <w:t>As a result of this risk assessment, the Environment Agency can conclude:</w:t>
            </w:r>
          </w:p>
          <w:p w:rsidR="00347758" w:rsidRPr="00F66E44" w:rsidRDefault="00347758" w:rsidP="00347758">
            <w:pPr>
              <w:rPr>
                <w:rFonts w:ascii="Arial" w:hAnsi="Arial" w:cs="Arial"/>
                <w:sz w:val="20"/>
              </w:rPr>
            </w:pPr>
          </w:p>
          <w:p w:rsidR="00347758" w:rsidRDefault="00347758" w:rsidP="00347758">
            <w:pPr>
              <w:rPr>
                <w:rFonts w:ascii="Arial" w:hAnsi="Arial" w:cs="Arial"/>
                <w:sz w:val="20"/>
              </w:rPr>
            </w:pPr>
            <w:r w:rsidRPr="00F66E44">
              <w:rPr>
                <w:rFonts w:ascii="Arial" w:hAnsi="Arial" w:cs="Arial"/>
                <w:b/>
                <w:sz w:val="20"/>
              </w:rPr>
              <w:t>No Likely Significant Effect</w:t>
            </w:r>
            <w:r w:rsidRPr="00F66E44">
              <w:rPr>
                <w:rFonts w:ascii="Arial" w:hAnsi="Arial" w:cs="Arial"/>
                <w:sz w:val="20"/>
              </w:rPr>
              <w:t xml:space="preserve"> - this application could </w:t>
            </w:r>
            <w:r>
              <w:rPr>
                <w:rFonts w:ascii="Arial" w:hAnsi="Arial" w:cs="Arial"/>
                <w:sz w:val="20"/>
              </w:rPr>
              <w:t xml:space="preserve">not </w:t>
            </w:r>
            <w:r w:rsidRPr="00F66E44">
              <w:rPr>
                <w:rFonts w:ascii="Arial" w:hAnsi="Arial" w:cs="Arial"/>
                <w:sz w:val="20"/>
              </w:rPr>
              <w:t>act in combination with permissions and/or plans/projects of other competent authorities</w:t>
            </w:r>
            <w:r>
              <w:rPr>
                <w:rFonts w:ascii="Arial" w:hAnsi="Arial" w:cs="Arial"/>
                <w:sz w:val="20"/>
              </w:rPr>
              <w:t xml:space="preserve">.  </w:t>
            </w:r>
          </w:p>
          <w:p w:rsidR="00347758" w:rsidRDefault="00347758" w:rsidP="00F66E44">
            <w:pPr>
              <w:rPr>
                <w:rFonts w:ascii="Arial" w:hAnsi="Arial" w:cs="Arial"/>
                <w:sz w:val="20"/>
              </w:rPr>
            </w:pPr>
          </w:p>
          <w:p w:rsidR="002901B3" w:rsidRPr="00F66E44" w:rsidRDefault="002901B3" w:rsidP="00BD6F0D">
            <w:pPr>
              <w:rPr>
                <w:rFonts w:ascii="Arial" w:hAnsi="Arial" w:cs="Arial"/>
              </w:rPr>
            </w:pPr>
          </w:p>
        </w:tc>
      </w:tr>
      <w:tr w:rsidR="006559AB" w:rsidRPr="00F66E44">
        <w:trPr>
          <w:cantSplit/>
        </w:trPr>
        <w:tc>
          <w:tcPr>
            <w:tcW w:w="3794" w:type="dxa"/>
            <w:gridSpan w:val="2"/>
          </w:tcPr>
          <w:p w:rsidR="006559AB" w:rsidRPr="00F66E44" w:rsidRDefault="006559AB" w:rsidP="00B74442">
            <w:pPr>
              <w:pStyle w:val="Heading4"/>
              <w:jc w:val="left"/>
              <w:rPr>
                <w:rFonts w:ascii="Arial" w:hAnsi="Arial" w:cs="Arial"/>
                <w:sz w:val="20"/>
              </w:rPr>
            </w:pPr>
            <w:r w:rsidRPr="00F66E44">
              <w:rPr>
                <w:rFonts w:ascii="Arial" w:hAnsi="Arial" w:cs="Arial"/>
                <w:sz w:val="20"/>
              </w:rPr>
              <w:t>Conclusion:</w:t>
            </w:r>
          </w:p>
          <w:p w:rsidR="006559AB" w:rsidRPr="00F66E44" w:rsidRDefault="006559AB" w:rsidP="00B74442">
            <w:pPr>
              <w:rPr>
                <w:rFonts w:ascii="Arial" w:hAnsi="Arial" w:cs="Arial"/>
                <w:b/>
                <w:sz w:val="20"/>
              </w:rPr>
            </w:pPr>
            <w:r w:rsidRPr="00F66E44">
              <w:rPr>
                <w:rFonts w:ascii="Arial" w:hAnsi="Arial" w:cs="Arial"/>
                <w:b/>
                <w:sz w:val="20"/>
              </w:rPr>
              <w:t>Is there likely to be a significant effect ‘alone and/or in combination’ on a European site?</w:t>
            </w:r>
          </w:p>
          <w:p w:rsidR="006559AB" w:rsidRPr="00F66E44" w:rsidRDefault="006559AB" w:rsidP="00B74442">
            <w:pPr>
              <w:pStyle w:val="FootnoteText"/>
              <w:jc w:val="left"/>
              <w:rPr>
                <w:rFonts w:ascii="Arial" w:hAnsi="Arial" w:cs="Arial"/>
              </w:rPr>
            </w:pPr>
          </w:p>
        </w:tc>
        <w:tc>
          <w:tcPr>
            <w:tcW w:w="5395" w:type="dxa"/>
            <w:gridSpan w:val="5"/>
          </w:tcPr>
          <w:p w:rsidR="006559AB" w:rsidRPr="00F66E44" w:rsidRDefault="006E6286" w:rsidP="00B74442">
            <w:pPr>
              <w:rPr>
                <w:rFonts w:ascii="Arial" w:hAnsi="Arial" w:cs="Arial"/>
                <w:sz w:val="20"/>
              </w:rPr>
            </w:pPr>
            <w:r>
              <w:rPr>
                <w:rFonts w:ascii="Arial" w:hAnsi="Arial" w:cs="Arial"/>
                <w:sz w:val="20"/>
              </w:rPr>
              <w:t>No, a significant effect ‘alone and/or in combination’ is not likel</w:t>
            </w:r>
            <w:r w:rsidR="0082663F">
              <w:rPr>
                <w:rFonts w:ascii="Arial" w:hAnsi="Arial" w:cs="Arial"/>
                <w:sz w:val="20"/>
              </w:rPr>
              <w:t>y as a result of this discharge, indeed an overall improvement in water quality is anticipated.</w:t>
            </w:r>
          </w:p>
          <w:p w:rsidR="006559AB" w:rsidRPr="00F66E44" w:rsidRDefault="006559AB" w:rsidP="00B74442">
            <w:pPr>
              <w:pStyle w:val="FootnoteText"/>
              <w:rPr>
                <w:rFonts w:ascii="Arial" w:hAnsi="Arial" w:cs="Arial"/>
              </w:rPr>
            </w:pPr>
          </w:p>
          <w:p w:rsidR="006559AB" w:rsidRPr="00F66E44" w:rsidRDefault="006559AB" w:rsidP="00B57B7E">
            <w:pPr>
              <w:pStyle w:val="FootnoteText"/>
              <w:rPr>
                <w:rFonts w:ascii="Arial" w:hAnsi="Arial" w:cs="Arial"/>
              </w:rPr>
            </w:pPr>
          </w:p>
        </w:tc>
      </w:tr>
      <w:tr w:rsidR="006559AB" w:rsidRPr="00F66E44">
        <w:tc>
          <w:tcPr>
            <w:tcW w:w="3794" w:type="dxa"/>
            <w:gridSpan w:val="2"/>
          </w:tcPr>
          <w:p w:rsidR="006559AB" w:rsidRPr="00F66E44" w:rsidRDefault="006559AB" w:rsidP="00B74442">
            <w:pPr>
              <w:rPr>
                <w:rFonts w:ascii="Arial" w:hAnsi="Arial" w:cs="Arial"/>
                <w:b/>
                <w:sz w:val="20"/>
              </w:rPr>
            </w:pPr>
            <w:r w:rsidRPr="00F66E44">
              <w:rPr>
                <w:rFonts w:ascii="Arial" w:hAnsi="Arial" w:cs="Arial"/>
                <w:b/>
                <w:sz w:val="20"/>
              </w:rPr>
              <w:t>EA Officer:</w:t>
            </w:r>
          </w:p>
          <w:p w:rsidR="006559AB" w:rsidRPr="00F66E44" w:rsidRDefault="006559AB" w:rsidP="00B74442">
            <w:pPr>
              <w:ind w:left="720" w:hanging="720"/>
              <w:rPr>
                <w:rFonts w:ascii="Arial" w:hAnsi="Arial" w:cs="Arial"/>
                <w:b/>
                <w:sz w:val="20"/>
              </w:rPr>
            </w:pPr>
          </w:p>
        </w:tc>
        <w:tc>
          <w:tcPr>
            <w:tcW w:w="3073" w:type="dxa"/>
            <w:gridSpan w:val="3"/>
          </w:tcPr>
          <w:p w:rsidR="006559AB" w:rsidRPr="001E3441" w:rsidRDefault="001E3441" w:rsidP="00B74442">
            <w:pPr>
              <w:rPr>
                <w:rFonts w:ascii="Arial" w:hAnsi="Arial" w:cs="Arial"/>
                <w:b/>
                <w:sz w:val="20"/>
              </w:rPr>
            </w:pPr>
            <w:r w:rsidRPr="001E3441">
              <w:rPr>
                <w:rFonts w:ascii="Arial" w:hAnsi="Arial" w:cs="Arial"/>
                <w:b/>
                <w:sz w:val="20"/>
              </w:rPr>
              <w:t>Jessica Liebig</w:t>
            </w:r>
          </w:p>
        </w:tc>
        <w:tc>
          <w:tcPr>
            <w:tcW w:w="2322" w:type="dxa"/>
            <w:gridSpan w:val="2"/>
          </w:tcPr>
          <w:p w:rsidR="006559AB" w:rsidRPr="00F66E44" w:rsidRDefault="006559AB" w:rsidP="00703795">
            <w:pPr>
              <w:pStyle w:val="AgencySubHeadings"/>
            </w:pPr>
            <w:r w:rsidRPr="00F66E44">
              <w:t>Date:</w:t>
            </w:r>
            <w:r w:rsidR="001E3441">
              <w:t xml:space="preserve"> 06/02/2013</w:t>
            </w:r>
          </w:p>
        </w:tc>
      </w:tr>
    </w:tbl>
    <w:p w:rsidR="0061513F" w:rsidRPr="00F66E44" w:rsidRDefault="0061513F">
      <w:pPr>
        <w:rPr>
          <w:rFonts w:ascii="Arial" w:hAnsi="Arial" w:cs="Arial"/>
          <w:b/>
        </w:rPr>
      </w:pPr>
    </w:p>
    <w:p w:rsidR="0061513F" w:rsidRPr="00F66E44" w:rsidRDefault="0061513F">
      <w:pPr>
        <w:rPr>
          <w:rFonts w:ascii="Arial" w:hAnsi="Arial" w:cs="Arial"/>
          <w:b/>
        </w:rPr>
      </w:pPr>
    </w:p>
    <w:p w:rsidR="0061513F" w:rsidRPr="00F66E44" w:rsidRDefault="0061513F">
      <w:pPr>
        <w:rPr>
          <w:rFonts w:ascii="Arial" w:hAnsi="Arial" w:cs="Arial"/>
          <w:b/>
        </w:rPr>
      </w:pPr>
    </w:p>
    <w:p w:rsidR="0061513F" w:rsidRDefault="0061513F">
      <w:pPr>
        <w:rPr>
          <w:rFonts w:ascii="Arial" w:hAnsi="Arial" w:cs="Arial"/>
          <w:b/>
        </w:rPr>
      </w:pPr>
      <w:r w:rsidRPr="00F66E44">
        <w:rPr>
          <w:rFonts w:ascii="Arial" w:hAnsi="Arial" w:cs="Arial"/>
          <w:b/>
        </w:rPr>
        <w:t>Site map</w:t>
      </w:r>
    </w:p>
    <w:p w:rsidR="0082663F" w:rsidRPr="00F66E44" w:rsidRDefault="0082663F">
      <w:pPr>
        <w:rPr>
          <w:rFonts w:ascii="Arial" w:hAnsi="Arial" w:cs="Arial"/>
          <w:b/>
        </w:rPr>
      </w:pPr>
    </w:p>
    <w:p w:rsidR="00750355" w:rsidRPr="00F66E44" w:rsidRDefault="00FA20C4">
      <w:pPr>
        <w:rPr>
          <w:rFonts w:ascii="Arial" w:hAnsi="Arial" w:cs="Arial"/>
          <w:b/>
        </w:rPr>
      </w:pPr>
      <w:r w:rsidRPr="00FA20C4">
        <w:rPr>
          <w:rFonts w:ascii="Arial" w:hAnsi="Arial" w:cs="Arial"/>
          <w:noProof/>
        </w:rPr>
        <w:pict>
          <v:group id="_x0000_s1036" style="position:absolute;margin-left:-36.3pt;margin-top:11.9pt;width:506.25pt;height:351pt;z-index:251673600" coordorigin="684,7366" coordsize="10125,7020">
            <v:shape id="_x0000_s1028" type="#_x0000_t75" style="position:absolute;left:684;top:7366;width:10125;height:7020;mso-position-horizontal-relative:text;mso-position-vertical-relative:text;mso-width-relative:page;mso-height-relative:page" o:regroupid="1" stroked="t" strokeweight="1.5pt">
              <v:imagedata r:id="rId8" o:title="" croptop="16739f" cropbottom="11844f" cropleft="24769f" cropright="711f"/>
            </v:shape>
            <v:shapetype id="_x0000_t202" coordsize="21600,21600" o:spt="202" path="m,l,21600r21600,l21600,xe">
              <v:stroke joinstyle="miter"/>
              <v:path gradientshapeok="t" o:connecttype="rect"/>
            </v:shapetype>
            <v:shape id="_x0000_s1029" type="#_x0000_t202" style="position:absolute;left:7554;top:10104;width:2232;height:412;mso-height-percent:200;mso-height-percent:200;mso-width-relative:margin;mso-height-relative:margin" o:regroupid="1">
              <v:textbox style="mso-fit-shape-to-text:t">
                <w:txbxContent>
                  <w:p w:rsidR="004C6C3D" w:rsidRPr="00750355" w:rsidRDefault="004C6C3D">
                    <w:pPr>
                      <w:rPr>
                        <w:rFonts w:ascii="Arial" w:hAnsi="Arial" w:cs="Arial"/>
                        <w:sz w:val="22"/>
                        <w:szCs w:val="22"/>
                      </w:rPr>
                    </w:pPr>
                    <w:r w:rsidRPr="00750355">
                      <w:rPr>
                        <w:rFonts w:ascii="Arial" w:hAnsi="Arial" w:cs="Arial"/>
                        <w:sz w:val="22"/>
                        <w:szCs w:val="22"/>
                      </w:rPr>
                      <w:t>Point of discharge</w:t>
                    </w:r>
                  </w:p>
                </w:txbxContent>
              </v:textbox>
            </v:shape>
            <v:shapetype id="_x0000_t32" coordsize="21600,21600" o:spt="32" o:oned="t" path="m,l21600,21600e" filled="f">
              <v:path arrowok="t" fillok="f" o:connecttype="none"/>
              <o:lock v:ext="edit" shapetype="t"/>
            </v:shapetype>
            <v:shape id="_x0000_s1030" type="#_x0000_t32" style="position:absolute;left:7089;top:10320;width:457;height:30;flip:x" o:connectortype="straight" o:regroupid="1">
              <v:stroke endarrow="block"/>
            </v:shape>
            <v:shape id="_x0000_s1035" type="#_x0000_t202" style="position:absolute;left:4725;top:11280;width:870;height:420;mso-height-percent:200;mso-height-percent:200;mso-width-relative:margin;mso-height-relative:margin" filled="f" fillcolor="black [3200]" stroked="f" strokecolor="#f2f2f2 [3041]" strokeweight="3pt">
              <v:shadow on="t" type="perspective" color="#7f7f7f [1601]" opacity=".5" offset="1pt" offset2="-1pt"/>
              <v:textbox style="mso-fit-shape-to-text:t">
                <w:txbxContent>
                  <w:p w:rsidR="004C6C3D" w:rsidRPr="001E3441" w:rsidRDefault="004C6C3D">
                    <w:pPr>
                      <w:rPr>
                        <w:rFonts w:ascii="Arial" w:hAnsi="Arial" w:cs="Arial"/>
                        <w:b/>
                      </w:rPr>
                    </w:pPr>
                    <w:r w:rsidRPr="001E3441">
                      <w:rPr>
                        <w:rFonts w:ascii="Arial" w:hAnsi="Arial" w:cs="Arial"/>
                        <w:b/>
                      </w:rPr>
                      <w:t>SPA</w:t>
                    </w:r>
                  </w:p>
                </w:txbxContent>
              </v:textbox>
            </v:shape>
          </v:group>
        </w:pict>
      </w:r>
    </w:p>
    <w:p w:rsidR="0061513F" w:rsidRPr="00F66E44" w:rsidRDefault="0061513F">
      <w:pPr>
        <w:rPr>
          <w:rFonts w:ascii="Arial" w:hAnsi="Arial" w:cs="Arial"/>
          <w:b/>
        </w:rPr>
      </w:pPr>
    </w:p>
    <w:p w:rsidR="0061513F" w:rsidRPr="00F66E44" w:rsidRDefault="0061513F">
      <w:pPr>
        <w:rPr>
          <w:rFonts w:ascii="Arial" w:hAnsi="Arial" w:cs="Arial"/>
          <w:b/>
        </w:rPr>
      </w:pPr>
    </w:p>
    <w:p w:rsidR="0061513F" w:rsidRPr="00F66E44" w:rsidRDefault="0061513F">
      <w:pPr>
        <w:rPr>
          <w:rFonts w:ascii="Arial" w:hAnsi="Arial" w:cs="Arial"/>
          <w:b/>
        </w:rPr>
      </w:pPr>
    </w:p>
    <w:p w:rsidR="0061513F" w:rsidRPr="00F66E44" w:rsidRDefault="0061513F">
      <w:pPr>
        <w:rPr>
          <w:rFonts w:ascii="Arial" w:hAnsi="Arial" w:cs="Arial"/>
          <w:b/>
        </w:rPr>
      </w:pPr>
    </w:p>
    <w:p w:rsidR="0061513F" w:rsidRPr="00F66E44" w:rsidRDefault="0061513F">
      <w:pPr>
        <w:rPr>
          <w:rFonts w:ascii="Arial" w:hAnsi="Arial" w:cs="Arial"/>
          <w:b/>
        </w:rPr>
      </w:pPr>
    </w:p>
    <w:p w:rsidR="0061513F" w:rsidRPr="00F66E44" w:rsidRDefault="0061513F">
      <w:pPr>
        <w:rPr>
          <w:rFonts w:ascii="Arial" w:hAnsi="Arial" w:cs="Arial"/>
          <w:b/>
        </w:rPr>
      </w:pPr>
    </w:p>
    <w:p w:rsidR="0061513F" w:rsidRPr="00F66E44" w:rsidRDefault="0061513F">
      <w:pPr>
        <w:rPr>
          <w:rFonts w:ascii="Arial" w:hAnsi="Arial" w:cs="Arial"/>
          <w:b/>
        </w:rPr>
      </w:pPr>
    </w:p>
    <w:p w:rsidR="0061513F" w:rsidRPr="00F66E44" w:rsidRDefault="0061513F">
      <w:pPr>
        <w:rPr>
          <w:rFonts w:ascii="Arial" w:hAnsi="Arial" w:cs="Arial"/>
          <w:b/>
        </w:rPr>
      </w:pPr>
    </w:p>
    <w:bookmarkEnd w:id="4"/>
    <w:p w:rsidR="002901B3" w:rsidRPr="00F66E44" w:rsidRDefault="00FA20C4">
      <w:pPr>
        <w:rPr>
          <w:rFonts w:ascii="Arial" w:hAnsi="Arial" w:cs="Arial"/>
        </w:rPr>
      </w:pPr>
      <w:r>
        <w:rPr>
          <w:rFonts w:ascii="Arial" w:hAnsi="Arial" w:cs="Arial"/>
          <w:noProof/>
        </w:rPr>
        <w:pict>
          <v:shape id="_x0000_s1027" type="#_x0000_t202" style="position:absolute;margin-left:202.6pt;margin-top:66.2pt;width:41.15pt;height:21pt;z-index:251667456;mso-height-percent:200;mso-height-percent:200;mso-width-relative:margin;mso-height-relative:margin" o:regroupid="1" filled="f" stroked="f">
            <v:textbox style="mso-next-textbox:#_x0000_s1027;mso-fit-shape-to-text:t">
              <w:txbxContent>
                <w:p w:rsidR="004C6C3D" w:rsidRDefault="004C6C3D"/>
              </w:txbxContent>
            </v:textbox>
          </v:shape>
        </w:pict>
      </w:r>
    </w:p>
    <w:sectPr w:rsidR="002901B3" w:rsidRPr="00F66E44" w:rsidSect="00A73304">
      <w:pgSz w:w="11906" w:h="16838"/>
      <w:pgMar w:top="1440" w:right="1800" w:bottom="1440" w:left="1800" w:header="720" w:footer="720" w:gutter="0"/>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84A2E"/>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
    <w:nsid w:val="14287E20"/>
    <w:multiLevelType w:val="singleLevel"/>
    <w:tmpl w:val="E4F06760"/>
    <w:lvl w:ilvl="0">
      <w:start w:val="12"/>
      <w:numFmt w:val="decimal"/>
      <w:lvlText w:val="%1."/>
      <w:lvlJc w:val="left"/>
      <w:pPr>
        <w:tabs>
          <w:tab w:val="num" w:pos="720"/>
        </w:tabs>
        <w:ind w:left="720" w:hanging="720"/>
      </w:pPr>
      <w:rPr>
        <w:rFonts w:hint="default"/>
      </w:rPr>
    </w:lvl>
  </w:abstractNum>
  <w:abstractNum w:abstractNumId="2">
    <w:nsid w:val="1C977AE3"/>
    <w:multiLevelType w:val="singleLevel"/>
    <w:tmpl w:val="6C9055A4"/>
    <w:lvl w:ilvl="0">
      <w:start w:val="1"/>
      <w:numFmt w:val="lowerRoman"/>
      <w:lvlText w:val="%1)"/>
      <w:lvlJc w:val="left"/>
      <w:pPr>
        <w:tabs>
          <w:tab w:val="num" w:pos="720"/>
        </w:tabs>
        <w:ind w:left="720" w:hanging="720"/>
      </w:pPr>
      <w:rPr>
        <w:rFonts w:hint="default"/>
      </w:rPr>
    </w:lvl>
  </w:abstractNum>
  <w:abstractNum w:abstractNumId="3">
    <w:nsid w:val="37807AA0"/>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4">
    <w:nsid w:val="54FB5DBA"/>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5">
    <w:nsid w:val="5FC6068B"/>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6">
    <w:nsid w:val="61B53A35"/>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7">
    <w:nsid w:val="7A212685"/>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8">
    <w:nsid w:val="7B565577"/>
    <w:multiLevelType w:val="singleLevel"/>
    <w:tmpl w:val="4FF0103A"/>
    <w:lvl w:ilvl="0">
      <w:start w:val="2"/>
      <w:numFmt w:val="bullet"/>
      <w:lvlText w:val="-"/>
      <w:lvlJc w:val="left"/>
      <w:pPr>
        <w:tabs>
          <w:tab w:val="num" w:pos="360"/>
        </w:tabs>
        <w:ind w:left="360" w:hanging="360"/>
      </w:pPr>
      <w:rPr>
        <w:rFonts w:hint="default"/>
      </w:rPr>
    </w:lvl>
  </w:abstractNum>
  <w:num w:numId="1">
    <w:abstractNumId w:val="6"/>
  </w:num>
  <w:num w:numId="2">
    <w:abstractNumId w:val="3"/>
  </w:num>
  <w:num w:numId="3">
    <w:abstractNumId w:val="4"/>
  </w:num>
  <w:num w:numId="4">
    <w:abstractNumId w:val="8"/>
  </w:num>
  <w:num w:numId="5">
    <w:abstractNumId w:val="7"/>
  </w:num>
  <w:num w:numId="6">
    <w:abstractNumId w:val="5"/>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stylePaneFormatFilter w:val="3F01"/>
  <w:defaultTabStop w:val="720"/>
  <w:displayHorizontalDrawingGridEvery w:val="0"/>
  <w:displayVerticalDrawingGridEvery w:val="0"/>
  <w:doNotUseMarginsForDrawingGridOrigin/>
  <w:noPunctuationKerning/>
  <w:characterSpacingControl w:val="doNotCompress"/>
  <w:compat/>
  <w:rsids>
    <w:rsidRoot w:val="00FF3F5F"/>
    <w:rsid w:val="00055E18"/>
    <w:rsid w:val="00096413"/>
    <w:rsid w:val="000D3717"/>
    <w:rsid w:val="001979ED"/>
    <w:rsid w:val="001E3441"/>
    <w:rsid w:val="00287CA6"/>
    <w:rsid w:val="002901B3"/>
    <w:rsid w:val="00297887"/>
    <w:rsid w:val="002F7EBA"/>
    <w:rsid w:val="00347758"/>
    <w:rsid w:val="003634CE"/>
    <w:rsid w:val="003643D3"/>
    <w:rsid w:val="003A35DF"/>
    <w:rsid w:val="003D3580"/>
    <w:rsid w:val="00485336"/>
    <w:rsid w:val="004C6C3D"/>
    <w:rsid w:val="0055756F"/>
    <w:rsid w:val="0061513F"/>
    <w:rsid w:val="006559AB"/>
    <w:rsid w:val="006C1D5F"/>
    <w:rsid w:val="006E6286"/>
    <w:rsid w:val="00703795"/>
    <w:rsid w:val="00750355"/>
    <w:rsid w:val="007B30C4"/>
    <w:rsid w:val="007F3F86"/>
    <w:rsid w:val="0082663F"/>
    <w:rsid w:val="008B0111"/>
    <w:rsid w:val="008F06A7"/>
    <w:rsid w:val="0093027F"/>
    <w:rsid w:val="00951F29"/>
    <w:rsid w:val="009B01C4"/>
    <w:rsid w:val="00A72308"/>
    <w:rsid w:val="00A73304"/>
    <w:rsid w:val="00A84717"/>
    <w:rsid w:val="00B57B7E"/>
    <w:rsid w:val="00B74442"/>
    <w:rsid w:val="00B76220"/>
    <w:rsid w:val="00BD6F0D"/>
    <w:rsid w:val="00C41217"/>
    <w:rsid w:val="00C56B57"/>
    <w:rsid w:val="00C71213"/>
    <w:rsid w:val="00CA1277"/>
    <w:rsid w:val="00CC12B9"/>
    <w:rsid w:val="00D237A8"/>
    <w:rsid w:val="00D64640"/>
    <w:rsid w:val="00DE0147"/>
    <w:rsid w:val="00E00D35"/>
    <w:rsid w:val="00E339AA"/>
    <w:rsid w:val="00E65287"/>
    <w:rsid w:val="00E87ABE"/>
    <w:rsid w:val="00EA1737"/>
    <w:rsid w:val="00EF0449"/>
    <w:rsid w:val="00F66E44"/>
    <w:rsid w:val="00FA20C4"/>
    <w:rsid w:val="00FF3F5F"/>
    <w:rsid w:val="00FF47FA"/>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9">
      <o:colormenu v:ext="edit" fillcolor="none" strokecolor="none"/>
    </o:shapedefaults>
    <o:shapelayout v:ext="edit">
      <o:idmap v:ext="edit" data="1"/>
      <o:rules v:ext="edit">
        <o:r id="V:Rule2" type="connector" idref="#_x0000_s1030"/>
      </o:rules>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qFormat="1"/>
    <w:lsdException w:name="heading 8" w:semiHidden="1" w:unhideWhenUsed="1" w:qFormat="1"/>
    <w:lsdException w:name="heading 9" w:semiHidden="1" w:unhideWhenUsed="1" w:qFormat="1"/>
    <w:lsdException w:name="footnote text"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73304"/>
    <w:rPr>
      <w:sz w:val="24"/>
    </w:rPr>
  </w:style>
  <w:style w:type="paragraph" w:styleId="Heading1">
    <w:name w:val="heading 1"/>
    <w:basedOn w:val="Normal"/>
    <w:next w:val="Normal"/>
    <w:qFormat/>
    <w:rsid w:val="00A73304"/>
    <w:pPr>
      <w:keepNext/>
      <w:outlineLvl w:val="0"/>
    </w:pPr>
    <w:rPr>
      <w:rFonts w:ascii="Arial" w:hAnsi="Arial"/>
      <w:b/>
      <w:sz w:val="28"/>
    </w:rPr>
  </w:style>
  <w:style w:type="paragraph" w:styleId="Heading2">
    <w:name w:val="heading 2"/>
    <w:basedOn w:val="Normal"/>
    <w:next w:val="Normal"/>
    <w:qFormat/>
    <w:rsid w:val="00A73304"/>
    <w:pPr>
      <w:keepNext/>
      <w:spacing w:before="240" w:after="60"/>
      <w:jc w:val="both"/>
      <w:outlineLvl w:val="1"/>
    </w:pPr>
    <w:rPr>
      <w:rFonts w:ascii="Arial" w:hAnsi="Arial"/>
      <w:b/>
      <w:i/>
    </w:rPr>
  </w:style>
  <w:style w:type="paragraph" w:styleId="Heading4">
    <w:name w:val="heading 4"/>
    <w:basedOn w:val="Normal"/>
    <w:next w:val="Normal"/>
    <w:qFormat/>
    <w:rsid w:val="00A73304"/>
    <w:pPr>
      <w:keepNext/>
      <w:jc w:val="both"/>
      <w:outlineLvl w:val="3"/>
    </w:pPr>
    <w:rPr>
      <w:b/>
      <w:sz w:val="22"/>
    </w:rPr>
  </w:style>
  <w:style w:type="paragraph" w:styleId="Heading7">
    <w:name w:val="heading 7"/>
    <w:basedOn w:val="Normal"/>
    <w:next w:val="Normal"/>
    <w:qFormat/>
    <w:rsid w:val="00A73304"/>
    <w:pPr>
      <w:keepNext/>
      <w:jc w:val="both"/>
      <w:outlineLvl w:val="6"/>
    </w:pPr>
    <w:rPr>
      <w: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A73304"/>
    <w:pPr>
      <w:tabs>
        <w:tab w:val="center" w:pos="4153"/>
        <w:tab w:val="right" w:pos="8306"/>
      </w:tabs>
      <w:jc w:val="both"/>
    </w:pPr>
  </w:style>
  <w:style w:type="paragraph" w:customStyle="1" w:styleId="AgencyStdParagraph">
    <w:name w:val="Agency Std Paragraph"/>
    <w:autoRedefine/>
    <w:rsid w:val="00A73304"/>
    <w:pPr>
      <w:jc w:val="both"/>
    </w:pPr>
    <w:rPr>
      <w:sz w:val="24"/>
    </w:rPr>
  </w:style>
  <w:style w:type="paragraph" w:customStyle="1" w:styleId="AgencySubHeadings">
    <w:name w:val="Agency Sub Headings"/>
    <w:autoRedefine/>
    <w:rsid w:val="00703795"/>
    <w:pPr>
      <w:jc w:val="both"/>
    </w:pPr>
    <w:rPr>
      <w:rFonts w:ascii="Arial" w:hAnsi="Arial" w:cs="Arial"/>
      <w:b/>
    </w:rPr>
  </w:style>
  <w:style w:type="paragraph" w:styleId="Footer">
    <w:name w:val="footer"/>
    <w:basedOn w:val="Normal"/>
    <w:rsid w:val="00A73304"/>
    <w:pPr>
      <w:tabs>
        <w:tab w:val="center" w:pos="4153"/>
        <w:tab w:val="right" w:pos="8306"/>
      </w:tabs>
      <w:jc w:val="both"/>
    </w:pPr>
  </w:style>
  <w:style w:type="paragraph" w:customStyle="1" w:styleId="Filename">
    <w:name w:val="Filename"/>
    <w:rsid w:val="00A73304"/>
  </w:style>
  <w:style w:type="paragraph" w:styleId="BodyTextIndent">
    <w:name w:val="Body Text Indent"/>
    <w:basedOn w:val="Normal"/>
    <w:link w:val="BodyTextIndentChar"/>
    <w:rsid w:val="00A73304"/>
    <w:pPr>
      <w:tabs>
        <w:tab w:val="left" w:pos="-972"/>
        <w:tab w:val="left" w:pos="-720"/>
        <w:tab w:val="left" w:pos="0"/>
        <w:tab w:val="left" w:pos="720"/>
        <w:tab w:val="left" w:pos="1027"/>
        <w:tab w:val="left" w:pos="2160"/>
      </w:tabs>
      <w:ind w:left="1052" w:hanging="1052"/>
      <w:jc w:val="both"/>
    </w:pPr>
    <w:rPr>
      <w:rFonts w:ascii="Arial" w:hAnsi="Arial"/>
      <w:b/>
      <w:sz w:val="32"/>
    </w:rPr>
  </w:style>
  <w:style w:type="paragraph" w:styleId="BodyText3">
    <w:name w:val="Body Text 3"/>
    <w:basedOn w:val="Normal"/>
    <w:rsid w:val="00A73304"/>
    <w:pPr>
      <w:jc w:val="both"/>
    </w:pPr>
    <w:rPr>
      <w:rFonts w:ascii="Arial" w:hAnsi="Arial"/>
      <w:sz w:val="22"/>
    </w:rPr>
  </w:style>
  <w:style w:type="paragraph" w:styleId="FootnoteText">
    <w:name w:val="footnote text"/>
    <w:basedOn w:val="Normal"/>
    <w:link w:val="FootnoteTextChar"/>
    <w:uiPriority w:val="99"/>
    <w:rsid w:val="00A73304"/>
    <w:pPr>
      <w:jc w:val="both"/>
    </w:pPr>
    <w:rPr>
      <w:sz w:val="20"/>
    </w:rPr>
  </w:style>
  <w:style w:type="paragraph" w:styleId="BalloonText">
    <w:name w:val="Balloon Text"/>
    <w:basedOn w:val="Normal"/>
    <w:semiHidden/>
    <w:rsid w:val="00E65287"/>
    <w:rPr>
      <w:rFonts w:ascii="Tahoma" w:hAnsi="Tahoma" w:cs="Tahoma"/>
      <w:sz w:val="16"/>
      <w:szCs w:val="16"/>
    </w:rPr>
  </w:style>
  <w:style w:type="character" w:styleId="Hyperlink">
    <w:name w:val="Hyperlink"/>
    <w:basedOn w:val="DefaultParagraphFont"/>
    <w:rsid w:val="002F7EBA"/>
    <w:rPr>
      <w:rFonts w:ascii="Arial" w:hAnsi="Arial"/>
      <w:color w:val="0000FF"/>
      <w:u w:val="single"/>
    </w:rPr>
  </w:style>
  <w:style w:type="character" w:customStyle="1" w:styleId="BodyTextIndentChar">
    <w:name w:val="Body Text Indent Char"/>
    <w:basedOn w:val="DefaultParagraphFont"/>
    <w:link w:val="BodyTextIndent"/>
    <w:rsid w:val="006559AB"/>
    <w:rPr>
      <w:rFonts w:ascii="Arial" w:hAnsi="Arial"/>
      <w:b/>
      <w:sz w:val="32"/>
      <w:lang w:val="en-GB" w:eastAsia="en-GB" w:bidi="ar-SA"/>
    </w:rPr>
  </w:style>
  <w:style w:type="paragraph" w:styleId="EndnoteText">
    <w:name w:val="endnote text"/>
    <w:basedOn w:val="Normal"/>
    <w:link w:val="EndnoteTextChar"/>
    <w:rsid w:val="00750355"/>
    <w:pPr>
      <w:widowControl w:val="0"/>
    </w:pPr>
    <w:rPr>
      <w:rFonts w:ascii="Arial" w:hAnsi="Arial"/>
      <w:snapToGrid w:val="0"/>
      <w:lang w:eastAsia="en-US"/>
    </w:rPr>
  </w:style>
  <w:style w:type="character" w:customStyle="1" w:styleId="EndnoteTextChar">
    <w:name w:val="Endnote Text Char"/>
    <w:basedOn w:val="DefaultParagraphFont"/>
    <w:link w:val="EndnoteText"/>
    <w:rsid w:val="00750355"/>
    <w:rPr>
      <w:rFonts w:ascii="Arial" w:hAnsi="Arial"/>
      <w:snapToGrid w:val="0"/>
      <w:sz w:val="24"/>
      <w:lang w:eastAsia="en-US"/>
    </w:rPr>
  </w:style>
  <w:style w:type="paragraph" w:customStyle="1" w:styleId="Default">
    <w:name w:val="Default"/>
    <w:rsid w:val="00B76220"/>
    <w:pPr>
      <w:autoSpaceDE w:val="0"/>
      <w:autoSpaceDN w:val="0"/>
      <w:adjustRightInd w:val="0"/>
    </w:pPr>
    <w:rPr>
      <w:color w:val="000000"/>
      <w:sz w:val="24"/>
      <w:szCs w:val="24"/>
    </w:rPr>
  </w:style>
  <w:style w:type="character" w:customStyle="1" w:styleId="FootnoteTextChar">
    <w:name w:val="Footnote Text Char"/>
    <w:basedOn w:val="DefaultParagraphFont"/>
    <w:link w:val="FootnoteText"/>
    <w:uiPriority w:val="99"/>
    <w:rsid w:val="007F3F86"/>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oleObject" Target="embeddings/oleObject1.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liebig\AppData\Local\Temp\7\HR0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736395-DCBD-43F1-8BD1-6976ED3DEA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HR01</Template>
  <TotalTime>0</TotalTime>
  <Pages>4</Pages>
  <Words>998</Words>
  <Characters>5563</Characters>
  <Application>Microsoft Office Word</Application>
  <DocSecurity>4</DocSecurity>
  <Lines>46</Lines>
  <Paragraphs>13</Paragraphs>
  <ScaleCrop>false</ScaleCrop>
  <HeadingPairs>
    <vt:vector size="2" baseType="variant">
      <vt:variant>
        <vt:lpstr>Title</vt:lpstr>
      </vt:variant>
      <vt:variant>
        <vt:i4>1</vt:i4>
      </vt:variant>
    </vt:vector>
  </HeadingPairs>
  <TitlesOfParts>
    <vt:vector size="1" baseType="lpstr">
      <vt:lpstr>APPENDIX 11</vt:lpstr>
    </vt:vector>
  </TitlesOfParts>
  <Company>Environment Agency</Company>
  <LinksUpToDate>false</LinksUpToDate>
  <CharactersWithSpaces>6548</CharactersWithSpaces>
  <SharedDoc>false</SharedDoc>
  <HLinks>
    <vt:vector size="6" baseType="variant">
      <vt:variant>
        <vt:i4>5570566</vt:i4>
      </vt:variant>
      <vt:variant>
        <vt:i4>3</vt:i4>
      </vt:variant>
      <vt:variant>
        <vt:i4>0</vt:i4>
      </vt:variant>
      <vt:variant>
        <vt:i4>5</vt:i4>
      </vt:variant>
      <vt:variant>
        <vt:lpwstr>http://intranet.ea.gov/ams_document_library/icontent/DocDir29/202_04_SD01.doc</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APPENDIX 11</dc:title>
  <dc:creator>kliebig</dc:creator>
  <cp:lastModifiedBy>kliebig</cp:lastModifiedBy>
  <cp:revision>2</cp:revision>
  <cp:lastPrinted>2013-02-06T10:41:00Z</cp:lastPrinted>
  <dcterms:created xsi:type="dcterms:W3CDTF">2013-02-20T11:02:00Z</dcterms:created>
  <dcterms:modified xsi:type="dcterms:W3CDTF">2013-02-20T11:02:00Z</dcterms:modified>
</cp:coreProperties>
</file>