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lang w:val="en-IN" w:eastAsia="en-IN"/>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A217A0">
            <w:pPr>
              <w:pStyle w:val="BodyText"/>
            </w:pPr>
            <w:r>
              <w:t>Address:</w:t>
            </w:r>
            <w:r w:rsidR="00C556B0" w:rsidRPr="00D670D4">
              <w:rPr>
                <w:noProof/>
              </w:rPr>
              <w:t xml:space="preserve"> </w:t>
            </w:r>
          </w:p>
          <w:p w:rsidR="00A217A0" w:rsidRDefault="00C556B0">
            <w:pPr>
              <w:tabs>
                <w:tab w:val="left" w:pos="175"/>
              </w:tabs>
              <w:rPr>
                <w:sz w:val="16"/>
              </w:rPr>
            </w:pPr>
            <w:r>
              <w:rPr>
                <w:sz w:val="16"/>
              </w:rPr>
              <w:t xml:space="preserve">                                                                                         </w:t>
            </w:r>
            <w:r>
              <w:rPr>
                <w:sz w:val="16"/>
              </w:rPr>
              <w:fldChar w:fldCharType="begin"/>
            </w:r>
            <w:r>
              <w:rPr>
                <w:sz w:val="16"/>
              </w:rPr>
              <w:instrText xml:space="preserve"> MERGEFIELD  Carrier[AnnexMessage]  \* MERGEFORMAT </w:instrText>
            </w:r>
            <w:r>
              <w:rPr>
                <w:sz w:val="16"/>
              </w:rPr>
              <w:fldChar w:fldCharType="separate"/>
            </w:r>
            <w:r>
              <w:rPr>
                <w:noProof/>
                <w:sz w:val="16"/>
              </w:rPr>
              <w:t>«Carrier[AnnexMessage]»</w:t>
            </w:r>
            <w:r>
              <w:rPr>
                <w:sz w:val="16"/>
              </w:rPr>
              <w:fldChar w:fldCharType="end"/>
            </w: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9"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mb6jUQECAADpAwAADgAAAAAA&#10;AAAAAAAAAAAuAgAAZHJzL2Uyb0RvYy54bWxQSwECLQAUAAYACAAAACEAPKEaB98AAAAIAQAADwAA&#10;AAAAAAAAAAAAAABbBAAAZHJzL2Rvd25yZXYueG1sUEsFBgAAAAAEAAQA8wAAAGcFAAAAAA==&#10;" filled="f" stroked="f">
                      <v:textbox inset="0,0,0,0">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fldSimple w:instr=" MERGEFIELD  Facility[Address]  \* MERGEFORMAT ">
              <w:r w:rsidR="00B92E59">
                <w:rPr>
                  <w:noProof/>
                </w:rPr>
                <w:t>«Facility[Address]»</w:t>
              </w:r>
            </w:fldSimple>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0"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A20DZgBAIAAOkDAAAOAAAA&#10;AAAAAAAAAAAAAC4CAABkcnMvZTJvRG9jLnhtbFBLAQItABQABgAIAAAAIQAs/eLQ3gAAAAgBAAAP&#10;AAAAAAAAAAAAAAAAAF4EAABkcnMvZG93bnJldi54bWxQSwUGAAAAAAQABADzAAAAaQUAAAAA&#10;" filled="f" stroked="f">
                      <v:textbox inset="0,0,0,0">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1"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" filled="f" stroked="f">
                      <v:textbox inset="0,0,0,0">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fldSimple w:instr=" MERGEFIELD  Facility[Address]  \* MERGEFORMAT ">
              <w:r w:rsidR="004F03D5">
                <w:rPr>
                  <w:noProof/>
                </w:rPr>
                <w:t>«Facility[Address]»</w:t>
              </w:r>
            </w:fldSimple>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bookmarkStart w:id="2" w:name="_GoBack"/>
      <w:bookmarkEnd w:id="2"/>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2"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" o:allowincell="f" strokecolor="#969696">
                <v:textbo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3"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Cng+Pa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9606;height:11430;visibility:visible;mso-wrap-style:square">
                  <v:fill o:detectmouseclick="t"/>
                  <v:path o:connecttype="none"/>
                </v:shape>
                <v:shape id="Text Box 157" o:spid="_x0000_s1035"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6"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Dd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X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tNmDdLwIAAFkEAAAOAAAAAAAAAAAAAAAAAC4CAABk&#10;cnMvZTJvRG9jLnhtbFBLAQItABQABgAIAAAAIQBI3MNg3QAAAAYBAAAPAAAAAAAAAAAAAAAAAIkE&#10;AABkcnMvZG93bnJldi54bWxQSwUGAAAAAAQABADzAAAAkwUAAAAA&#10;" o:allowincell="f"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7"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K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dvE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GRkbspeAgAA7QQAAA4AAAAAAAAAAAAAAAAALgIAAGRycy9lMm9Eb2Mu&#10;eG1sUEsBAi0AFAAGAAgAAAAhAFQoPITdAAAABAEAAA8AAAAAAAAAAAAAAAAAuAQAAGRycy9kb3du&#10;cmV2LnhtbFBLBQYAAAAABAAEAPMAAADCBQAAAAA=&#10;">
                <v:shape id="_x0000_s1038" type="#_x0000_t75" style="position:absolute;width:49606;height:5715;visibility:visible;mso-wrap-style:square">
                  <v:fill o:detectmouseclick="t"/>
                  <v:path o:connecttype="none"/>
                </v:shape>
                <v:shape id="Text Box 150" o:spid="_x0000_s1039"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wps:txbx>
                        <wps:bodyPr rot="0" vert="horz" wrap="square" lIns="91440" tIns="45720" rIns="91440" bIns="45720" anchor="t" anchorCtr="0" upright="1">
                          <a:noAutofit/>
                        </wps:bodyPr>
                      </wps:wsp>
                    </wpc:wpc>
                  </a:graphicData>
                </a:graphic>
              </wp:inline>
            </w:drawing>
          </mc:Choice>
          <mc:Fallback>
            <w:pict>
              <v:group id="Canvas 145" o:spid="_x0000_s1040"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sm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vR6ErrJ9IXYfTltFXgYwO3Q/OBtqwkvvve3CSM/3BUIfW88UirmQ6JDE5&#10;c+ee6twDRhBUyQNnk7kN0xrvrVNtR5mmmTB4S11tVBL7hdWRPw1xstI6pW4cdz8u7Pk5Rb18oTY/&#10;AQ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YwW7JloCAADpBAAADgAAAAAAAAAAAAAAAAAuAgAAZHJzL2Uyb0RvYy54bWxQ&#10;SwECLQAUAAYACAAAACEAFNxm1t0AAAAEAQAADwAAAAAAAAAAAAAAAAC0BAAAZHJzL2Rvd25yZXYu&#10;eG1sUEsFBgAAAAAEAAQA8wAAAL4FAAAAAA==&#10;">
                <v:shape id="_x0000_s1041" type="#_x0000_t75" style="position:absolute;width:48469;height:5715;visibility:visible;mso-wrap-style:square">
                  <v:fill o:detectmouseclick="t"/>
                  <v:path o:connecttype="none"/>
                </v:shape>
                <v:shape id="Text Box 147" o:spid="_x0000_s1042"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B4F" w:rsidRDefault="00081B4F" w:rsidP="00024113">
      <w:r>
        <w:separator/>
      </w:r>
    </w:p>
  </w:endnote>
  <w:endnote w:type="continuationSeparator" w:id="0">
    <w:p w:rsidR="00081B4F" w:rsidRDefault="00081B4F"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B4F" w:rsidRDefault="00081B4F" w:rsidP="00024113">
      <w:r>
        <w:separator/>
      </w:r>
    </w:p>
  </w:footnote>
  <w:footnote w:type="continuationSeparator" w:id="0">
    <w:p w:rsidR="00081B4F" w:rsidRDefault="00081B4F" w:rsidP="00024113">
      <w:r>
        <w:continuationSeparator/>
      </w:r>
    </w:p>
  </w:footnote>
  <w:footnote w:id="1">
    <w:p w:rsidR="00C556B0" w:rsidRDefault="00C556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C556B0" w:rsidRDefault="00C556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17</Pages>
  <Words>4709</Words>
  <Characters>26846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113</cp:revision>
  <cp:lastPrinted>2015-03-17T09:09:00Z</cp:lastPrinted>
  <dcterms:created xsi:type="dcterms:W3CDTF">2015-04-28T10:07:00Z</dcterms:created>
  <dcterms:modified xsi:type="dcterms:W3CDTF">2015-07-14T10:53:00Z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