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major,com Diabetes ,com hipercolesterolémia familiar e sem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