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major,com Diabetes ,sem hipercolesterolémia familiar e sem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