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pid784</w:t>
      </w:r>
    </w:p>
    <w:p>
      <w:pPr>
        <w:jc w:val="both"/>
      </w:pPr>
      <w:r>
        <w:rPr>
          <w:b/>
        </w:rPr>
        <w:t>Pat ID V2:</w:t>
      </w:r>
      <w:r>
        <w:t xml:space="preserve"> pid666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