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aaaa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aaaa</w:t>
      </w:r>
    </w:p>
    <w:p>
      <w:pPr>
        <w:jc w:val="both"/>
      </w:pPr>
      <w:r>
        <w:rPr>
          <w:b/>
        </w:rPr>
        <w:t>Instituição de Referência:</w:t>
      </w:r>
      <w:r>
        <w:t xml:space="preserve"> ASMAL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174.0 kg</w:t>
      </w:r>
    </w:p>
    <w:p>
      <w:pPr>
        <w:jc w:val="both"/>
      </w:pPr>
      <w:r>
        <w:rPr>
          <w:b/>
        </w:rPr>
        <w:t>Pat:</w:t>
      </w:r>
      <w:r>
        <w:t xml:space="preserve"> pid784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44 cm</w:t>
      </w:r>
    </w:p>
    <w:p>
      <w:pPr>
        <w:jc w:val="both"/>
      </w:pPr>
      <w:r>
        <w:rPr>
          <w:b/>
        </w:rPr>
        <w:t>Colesterol total:</w:t>
      </w:r>
      <w:r>
        <w:t xml:space="preserve"> 33 mg/Dl</w:t>
      </w:r>
    </w:p>
    <w:p>
      <w:pPr>
        <w:jc w:val="both"/>
      </w:pPr>
      <w:r>
        <w:rPr>
          <w:b/>
        </w:rPr>
        <w:t>Colesterol HDL:</w:t>
      </w:r>
      <w:r>
        <w:t xml:space="preserve"> 33 mg/Dl</w:t>
      </w:r>
    </w:p>
    <w:p>
      <w:pPr>
        <w:jc w:val="both"/>
      </w:pPr>
      <w:r>
        <w:rPr>
          <w:b/>
        </w:rPr>
        <w:t>Colesterol Não HDL:</w:t>
      </w:r>
      <w:r>
        <w:t xml:space="preserve"> 33 mg/Dl</w:t>
      </w:r>
    </w:p>
    <w:p>
      <w:pPr>
        <w:jc w:val="both"/>
      </w:pPr>
      <w:r>
        <w:rPr>
          <w:b/>
        </w:rPr>
        <w:t>TG- Triglicemia:</w:t>
      </w:r>
      <w:r>
        <w:t xml:space="preserve"> 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69.0 mg/Dl</w:t>
      </w:r>
    </w:p>
    <w:p>
      <w:pPr>
        <w:jc w:val="both"/>
      </w:pPr>
      <w:r>
        <w:rPr>
          <w:b/>
        </w:rPr>
        <w:t>IFCC: 20-130 (mmol/mol)</w:t>
      </w:r>
      <w:r>
        <w:t xml:space="preserve"> 12.0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