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5DB16" w14:textId="77777777" w:rsidR="009C31E5" w:rsidRDefault="00000000">
      <w:pPr>
        <w:jc w:val="center"/>
        <w:rPr>
          <w:rFonts w:hint="eastAsia"/>
          <w:lang w:val="en-GB"/>
        </w:rPr>
      </w:pPr>
      <w:r>
        <w:rPr>
          <w:lang w:val="en-GB"/>
        </w:rPr>
        <w:t>Nature Protocols – Paper Revision Discussion</w:t>
      </w:r>
    </w:p>
    <w:p w14:paraId="79E2B50E" w14:textId="77777777" w:rsidR="009C31E5" w:rsidRDefault="00000000">
      <w:pPr>
        <w:spacing w:after="240" w:line="240" w:lineRule="auto"/>
        <w:rPr>
          <w:rFonts w:eastAsia="Times New Roman" w:cs="Times New Roman"/>
          <w:color w:val="000000" w:themeColor="text1"/>
          <w:kern w:val="0"/>
          <w:sz w:val="18"/>
          <w:szCs w:val="18"/>
          <w14:ligatures w14:val="none"/>
        </w:rPr>
      </w:pPr>
      <w:r>
        <w:rPr>
          <w:rFonts w:eastAsia="Times New Roman" w:cs="Times New Roman"/>
          <w:color w:val="77206D" w:themeColor="accent5" w:themeShade="BF"/>
          <w:kern w:val="0"/>
          <w:sz w:val="18"/>
          <w:szCs w:val="18"/>
          <w14:ligatures w14:val="none"/>
        </w:rPr>
        <w:t xml:space="preserve">Jörg: </w:t>
      </w:r>
      <w:r>
        <w:rPr>
          <w:rFonts w:eastAsia="Times New Roman" w:cs="Times New Roman"/>
          <w:color w:val="000000" w:themeColor="text1"/>
          <w:kern w:val="0"/>
          <w:sz w:val="18"/>
          <w:szCs w:val="18"/>
          <w14:ligatures w14:val="none"/>
        </w:rPr>
        <w:t>Take over Polybox and ensure all authors have access</w:t>
      </w:r>
      <w:r>
        <w:rPr>
          <w:rFonts w:eastAsia="Times New Roman" w:cs="Times New Roman"/>
          <w:color w:val="000000" w:themeColor="text1"/>
          <w:kern w:val="0"/>
          <w:sz w:val="18"/>
          <w:szCs w:val="18"/>
          <w14:ligatures w14:val="none"/>
        </w:rPr>
        <w:br/>
      </w:r>
      <w:r>
        <w:rPr>
          <w:rFonts w:eastAsia="Times New Roman" w:cs="Times New Roman"/>
          <w:color w:val="77206D" w:themeColor="accent5" w:themeShade="BF"/>
          <w:kern w:val="0"/>
          <w:sz w:val="18"/>
          <w:szCs w:val="18"/>
          <w14:ligatures w14:val="none"/>
        </w:rPr>
        <w:t xml:space="preserve">Johanna: </w:t>
      </w:r>
      <w:r>
        <w:rPr>
          <w:rFonts w:eastAsia="Times New Roman" w:cs="Times New Roman"/>
          <w:color w:val="000000" w:themeColor="text1"/>
          <w:kern w:val="0"/>
          <w:sz w:val="18"/>
          <w:szCs w:val="18"/>
          <w14:ligatures w14:val="none"/>
        </w:rPr>
        <w:t xml:space="preserve">Compile list of positive control BBs and correspondance to proteins </w:t>
      </w:r>
      <w:r>
        <w:rPr>
          <w:rFonts w:eastAsia="Times New Roman" w:cs="Times New Roman"/>
          <w:color w:val="000000" w:themeColor="text1"/>
          <w:kern w:val="0"/>
          <w:sz w:val="18"/>
          <w:szCs w:val="18"/>
          <w14:ligatures w14:val="none"/>
        </w:rPr>
        <w:br/>
      </w:r>
      <w:r>
        <w:rPr>
          <w:rFonts w:eastAsia="Times New Roman" w:cs="Times New Roman"/>
          <w:color w:val="77206D" w:themeColor="accent5" w:themeShade="BF"/>
          <w:kern w:val="0"/>
          <w:sz w:val="18"/>
          <w:szCs w:val="18"/>
          <w14:ligatures w14:val="none"/>
        </w:rPr>
        <w:t xml:space="preserve">Adriano: </w:t>
      </w:r>
      <w:r>
        <w:rPr>
          <w:rFonts w:eastAsia="Times New Roman" w:cs="Times New Roman"/>
          <w:color w:val="000000" w:themeColor="text1"/>
          <w:kern w:val="0"/>
          <w:sz w:val="18"/>
          <w:szCs w:val="18"/>
          <w14:ligatures w14:val="none"/>
        </w:rPr>
        <w:t>Change compound indexing to be consistent</w:t>
      </w:r>
    </w:p>
    <w:p w14:paraId="0948C0AB" w14:textId="77777777" w:rsidR="009C31E5" w:rsidRDefault="00000000">
      <w:pPr>
        <w:spacing w:after="240" w:line="240" w:lineRule="auto"/>
        <w:rPr>
          <w:rFonts w:eastAsia="Times New Roman" w:cs="Times New Roman"/>
          <w:kern w:val="0"/>
          <w:sz w:val="18"/>
          <w:szCs w:val="18"/>
          <w14:ligatures w14:val="none"/>
        </w:rPr>
      </w:pPr>
      <w:r>
        <w:rPr>
          <w:rFonts w:eastAsia="Times New Roman" w:cs="Times New Roman"/>
          <w:kern w:val="0"/>
          <w:sz w:val="18"/>
          <w:szCs w:val="18"/>
          <w14:ligatures w14:val="none"/>
        </w:rPr>
        <w:t>Dear Professor Scheuermann, </w:t>
      </w:r>
      <w:r>
        <w:rPr>
          <w:rFonts w:eastAsia="Times New Roman" w:cs="Times New Roman"/>
          <w:kern w:val="0"/>
          <w:sz w:val="18"/>
          <w:szCs w:val="18"/>
          <w14:ligatures w14:val="none"/>
        </w:rPr>
        <w:br/>
      </w:r>
      <w:r>
        <w:rPr>
          <w:rFonts w:eastAsia="Times New Roman" w:cs="Times New Roman"/>
          <w:kern w:val="0"/>
          <w:sz w:val="18"/>
          <w:szCs w:val="18"/>
          <w14:ligatures w14:val="none"/>
        </w:rPr>
        <w:br/>
        <w:t>Your Protocol entitled '"DELT-Hit: An end-to-end computational framework for DNA-encoded chemical library analysis"' has now been seen by 4 referees. You will see from their comments below that, while they find your work of interest, some important points are raised. We are interested in publishing your article in Nature Protocols, but would like to consider your response to these concerns in the form of a revised manuscript before we make a final decision on publication.</w:t>
      </w:r>
      <w:r>
        <w:rPr>
          <w:rFonts w:eastAsia="Times New Roman" w:cs="Times New Roman"/>
          <w:kern w:val="0"/>
          <w:sz w:val="18"/>
          <w:szCs w:val="18"/>
          <w14:ligatures w14:val="none"/>
        </w:rPr>
        <w:br/>
      </w:r>
      <w:r>
        <w:rPr>
          <w:rFonts w:eastAsia="Times New Roman" w:cs="Times New Roman"/>
          <w:kern w:val="0"/>
          <w:sz w:val="18"/>
          <w:szCs w:val="18"/>
          <w14:ligatures w14:val="none"/>
        </w:rPr>
        <w:br/>
        <w:t>There are also some editorial and stylistic points to be dealt with. My major editorial comments are listed below: </w:t>
      </w:r>
      <w:r>
        <w:rPr>
          <w:rFonts w:eastAsia="Times New Roman" w:cs="Times New Roman"/>
          <w:kern w:val="0"/>
          <w:sz w:val="18"/>
          <w:szCs w:val="18"/>
          <w14:ligatures w14:val="none"/>
        </w:rPr>
        <w:br/>
      </w:r>
      <w:r>
        <w:rPr>
          <w:rFonts w:eastAsia="Times New Roman" w:cs="Times New Roman"/>
          <w:kern w:val="0"/>
          <w:sz w:val="18"/>
          <w:szCs w:val="18"/>
          <w14:ligatures w14:val="none"/>
        </w:rPr>
        <w:br/>
        <w:t>AUTHOR INFO</w:t>
      </w:r>
      <w:r>
        <w:rPr>
          <w:rFonts w:eastAsia="Times New Roman" w:cs="Times New Roman"/>
          <w:kern w:val="0"/>
          <w:sz w:val="18"/>
          <w:szCs w:val="18"/>
          <w14:ligatures w14:val="none"/>
        </w:rPr>
        <w:br/>
        <w:t>- Please ensure that the author list and order is correct; please note that we will request agreement from all authors if any authors are removed from the author list or the position of the first, second and last authors differ between the first and final versions of the manuscript.</w:t>
      </w:r>
    </w:p>
    <w:p w14:paraId="471406DC" w14:textId="77777777" w:rsidR="009C31E5" w:rsidRDefault="00000000">
      <w:pPr>
        <w:spacing w:after="240" w:line="240" w:lineRule="auto"/>
        <w:rPr>
          <w:rFonts w:eastAsia="Times New Roman" w:cs="Times New Roman"/>
          <w:kern w:val="0"/>
          <w:sz w:val="18"/>
          <w:szCs w:val="18"/>
          <w14:ligatures w14:val="none"/>
        </w:rPr>
      </w:pPr>
      <w:r>
        <w:rPr>
          <w:rFonts w:eastAsia="Times New Roman" w:cs="Times New Roman"/>
          <w:color w:val="77206D" w:themeColor="accent5" w:themeShade="BF"/>
          <w:kern w:val="0"/>
          <w:sz w:val="18"/>
          <w:szCs w:val="18"/>
          <w14:ligatures w14:val="none"/>
        </w:rPr>
        <w:t>No changes to first/second and last authors.</w:t>
      </w:r>
      <w:r>
        <w:rPr>
          <w:rFonts w:eastAsia="Times New Roman" w:cs="Times New Roman"/>
          <w:color w:val="77206D" w:themeColor="accent5" w:themeShade="BF"/>
          <w:kern w:val="0"/>
          <w:sz w:val="18"/>
          <w:szCs w:val="18"/>
          <w14:ligatures w14:val="none"/>
        </w:rPr>
        <w:br/>
      </w:r>
      <w:r>
        <w:rPr>
          <w:rFonts w:eastAsia="Times New Roman" w:cs="Times New Roman"/>
          <w:color w:val="77206D" w:themeColor="accent5" w:themeShade="BF"/>
          <w:kern w:val="0"/>
          <w:sz w:val="18"/>
          <w:szCs w:val="18"/>
          <w14:ligatures w14:val="none"/>
        </w:rPr>
        <w:br/>
        <w:t>Include Leandro and Johanna</w:t>
      </w:r>
      <w:r>
        <w:rPr>
          <w:rFonts w:eastAsia="Times New Roman" w:cs="Times New Roman"/>
          <w:kern w:val="0"/>
          <w:sz w:val="18"/>
          <w:szCs w:val="18"/>
          <w14:ligatures w14:val="none"/>
        </w:rPr>
        <w:br/>
      </w:r>
      <w:r>
        <w:rPr>
          <w:rFonts w:eastAsia="Times New Roman" w:cs="Times New Roman"/>
          <w:kern w:val="0"/>
          <w:sz w:val="18"/>
          <w:szCs w:val="18"/>
          <w14:ligatures w14:val="none"/>
        </w:rPr>
        <w:br/>
        <w:t>CODE AVAILABILITY </w:t>
      </w:r>
      <w:r>
        <w:rPr>
          <w:rFonts w:eastAsia="Times New Roman" w:cs="Times New Roman"/>
          <w:kern w:val="0"/>
          <w:sz w:val="18"/>
          <w:szCs w:val="18"/>
          <w14:ligatures w14:val="none"/>
        </w:rPr>
        <w:br/>
        <w:t>- For freely accessible web-based tools, authors should confirm availability for the foreseeable future in the Code Availability statement. </w:t>
      </w:r>
      <w:r>
        <w:rPr>
          <w:rFonts w:eastAsia="Times New Roman" w:cs="Times New Roman"/>
          <w:kern w:val="0"/>
          <w:sz w:val="18"/>
          <w:szCs w:val="18"/>
          <w14:ligatures w14:val="none"/>
        </w:rPr>
        <w:br/>
      </w:r>
      <w:r>
        <w:rPr>
          <w:rFonts w:eastAsia="Times New Roman" w:cs="Times New Roman"/>
          <w:kern w:val="0"/>
          <w:sz w:val="18"/>
          <w:szCs w:val="18"/>
          <w14:ligatures w14:val="none"/>
        </w:rPr>
        <w:br/>
        <w:t>- We notice that you have deposited your code in a Github repository, which we fully support. We strongly encourage you to make your code citable by obtaining a DOI for the Github repository. This can be done by linking the repository to Zenodo, following the instructions here: </w:t>
      </w:r>
      <w:hyperlink r:id="rId4">
        <w:r>
          <w:rPr>
            <w:rFonts w:eastAsia="Times New Roman" w:cs="Times New Roman"/>
            <w:color w:val="0000FF"/>
            <w:kern w:val="0"/>
            <w:sz w:val="18"/>
            <w:szCs w:val="18"/>
            <w:u w:val="single"/>
            <w14:ligatures w14:val="none"/>
          </w:rPr>
          <w:t>https://guides.github.com/activities/citable-code/</w:t>
        </w:r>
      </w:hyperlink>
      <w:r>
        <w:rPr>
          <w:rFonts w:eastAsia="Times New Roman" w:cs="Times New Roman"/>
          <w:kern w:val="0"/>
          <w:sz w:val="18"/>
          <w:szCs w:val="18"/>
          <w14:ligatures w14:val="none"/>
        </w:rPr>
        <w:t> Please cite the Github repository in your manuscript text or Code Availability statement and in your reference list: authors, title (this paper), repository name, DOI identifier, year. More information on our data deposition policies and available repositories can be found at: </w:t>
      </w:r>
      <w:hyperlink r:id="rId5">
        <w:r>
          <w:rPr>
            <w:rFonts w:eastAsia="Times New Roman" w:cs="Times New Roman"/>
            <w:color w:val="0000FF"/>
            <w:kern w:val="0"/>
            <w:sz w:val="18"/>
            <w:szCs w:val="18"/>
            <w:u w:val="single"/>
            <w14:ligatures w14:val="none"/>
          </w:rPr>
          <w:t>http://www.nature.com/authors/policies/availability.html</w:t>
        </w:r>
      </w:hyperlink>
      <w:r>
        <w:rPr>
          <w:rFonts w:eastAsia="Times New Roman" w:cs="Times New Roman"/>
          <w:kern w:val="0"/>
          <w:sz w:val="18"/>
          <w:szCs w:val="18"/>
          <w14:ligatures w14:val="none"/>
        </w:rPr>
        <w:br/>
      </w:r>
      <w:r>
        <w:rPr>
          <w:rFonts w:eastAsia="Times New Roman" w:cs="Times New Roman"/>
          <w:kern w:val="0"/>
          <w:sz w:val="18"/>
          <w:szCs w:val="18"/>
          <w14:ligatures w14:val="none"/>
        </w:rPr>
        <w:br/>
        <w:t>TITLE </w:t>
      </w:r>
      <w:r>
        <w:rPr>
          <w:rFonts w:eastAsia="Times New Roman" w:cs="Times New Roman"/>
          <w:kern w:val="0"/>
          <w:sz w:val="18"/>
          <w:szCs w:val="18"/>
          <w14:ligatures w14:val="none"/>
        </w:rPr>
        <w:br/>
        <w:t>- Please change the title to avoid using punctuation </w:t>
      </w:r>
      <w:r>
        <w:rPr>
          <w:rFonts w:eastAsia="Times New Roman" w:cs="Times New Roman"/>
          <w:kern w:val="0"/>
          <w:sz w:val="18"/>
          <w:szCs w:val="18"/>
          <w14:ligatures w14:val="none"/>
        </w:rPr>
        <w:br/>
      </w:r>
      <w:r>
        <w:rPr>
          <w:rFonts w:eastAsia="Times New Roman" w:cs="Times New Roman"/>
          <w:kern w:val="0"/>
          <w:sz w:val="18"/>
          <w:szCs w:val="18"/>
          <w14:ligatures w14:val="none"/>
        </w:rPr>
        <w:br/>
        <w:t>ABSTRACT </w:t>
      </w:r>
      <w:r>
        <w:rPr>
          <w:rFonts w:eastAsia="Times New Roman" w:cs="Times New Roman"/>
          <w:kern w:val="0"/>
          <w:sz w:val="18"/>
          <w:szCs w:val="18"/>
          <w14:ligatures w14:val="none"/>
        </w:rPr>
        <w:br/>
        <w:t>- Please consider adding a sentence to the Abstract to indicate what skill-set/experience level is required to carry out the protocol. </w:t>
      </w:r>
      <w:r>
        <w:rPr>
          <w:rFonts w:eastAsia="Times New Roman" w:cs="Times New Roman"/>
          <w:kern w:val="0"/>
          <w:sz w:val="18"/>
          <w:szCs w:val="18"/>
          <w14:ligatures w14:val="none"/>
        </w:rPr>
        <w:br/>
        <w:t>- Please add a sentence to the Abstract to explain how long the protocol takes to complete. </w:t>
      </w:r>
      <w:r>
        <w:rPr>
          <w:rFonts w:eastAsia="Times New Roman" w:cs="Times New Roman"/>
          <w:kern w:val="0"/>
          <w:sz w:val="18"/>
          <w:szCs w:val="18"/>
          <w14:ligatures w14:val="none"/>
        </w:rPr>
        <w:br/>
      </w:r>
      <w:r>
        <w:rPr>
          <w:rFonts w:eastAsia="Times New Roman" w:cs="Times New Roman"/>
          <w:color w:val="77206D" w:themeColor="accent5" w:themeShade="BF"/>
          <w:kern w:val="0"/>
          <w:sz w:val="18"/>
          <w:szCs w:val="18"/>
          <w14:ligatures w14:val="none"/>
        </w:rPr>
        <w:t>Give time estimate (benchmark with different libraries) and mention enumeration is most time consuming and depends on library size</w:t>
      </w:r>
      <w:r>
        <w:rPr>
          <w:rFonts w:eastAsia="Times New Roman" w:cs="Times New Roman"/>
          <w:kern w:val="0"/>
          <w:sz w:val="18"/>
          <w:szCs w:val="18"/>
          <w14:ligatures w14:val="none"/>
        </w:rPr>
        <w:br/>
        <w:t>- Please include a link to the software used in the protocol in the abstract </w:t>
      </w:r>
      <w:r>
        <w:rPr>
          <w:rFonts w:eastAsia="Times New Roman" w:cs="Times New Roman"/>
          <w:kern w:val="0"/>
          <w:sz w:val="18"/>
          <w:szCs w:val="18"/>
          <w14:ligatures w14:val="none"/>
        </w:rPr>
        <w:br/>
      </w:r>
      <w:r>
        <w:rPr>
          <w:rFonts w:eastAsia="Times New Roman" w:cs="Times New Roman"/>
          <w:color w:val="77206D" w:themeColor="accent5" w:themeShade="BF"/>
          <w:kern w:val="0"/>
          <w:sz w:val="18"/>
          <w:szCs w:val="18"/>
          <w14:ligatures w14:val="none"/>
        </w:rPr>
        <w:t>Include link to github</w:t>
      </w:r>
      <w:r>
        <w:rPr>
          <w:rFonts w:eastAsia="Times New Roman" w:cs="Times New Roman"/>
          <w:kern w:val="0"/>
          <w:sz w:val="18"/>
          <w:szCs w:val="18"/>
          <w14:ligatures w14:val="none"/>
        </w:rPr>
        <w:br/>
      </w:r>
      <w:r>
        <w:rPr>
          <w:rFonts w:eastAsia="Times New Roman" w:cs="Times New Roman"/>
          <w:kern w:val="0"/>
          <w:sz w:val="18"/>
          <w:szCs w:val="18"/>
          <w14:ligatures w14:val="none"/>
        </w:rPr>
        <w:br/>
        <w:t>TECHNICAL OVERVIEW</w:t>
      </w:r>
      <w:r>
        <w:rPr>
          <w:rFonts w:eastAsia="Times New Roman" w:cs="Times New Roman"/>
          <w:kern w:val="0"/>
          <w:sz w:val="18"/>
          <w:szCs w:val="18"/>
          <w14:ligatures w14:val="none"/>
        </w:rPr>
        <w:br/>
        <w:t>-This section doesn’t fit with our normal formatting. This information can be moved to the Experimental design and/or under the software heading in the materials section.</w:t>
      </w:r>
      <w:r>
        <w:rPr>
          <w:rFonts w:eastAsia="Times New Roman" w:cs="Times New Roman"/>
          <w:kern w:val="0"/>
          <w:sz w:val="18"/>
          <w:szCs w:val="18"/>
          <w14:ligatures w14:val="none"/>
        </w:rPr>
        <w:br/>
      </w:r>
      <w:r>
        <w:rPr>
          <w:rFonts w:eastAsia="Times New Roman" w:cs="Times New Roman"/>
          <w:kern w:val="0"/>
          <w:sz w:val="18"/>
          <w:szCs w:val="18"/>
          <w14:ligatures w14:val="none"/>
        </w:rPr>
        <w:br/>
        <w:t>MATERIALS </w:t>
      </w:r>
      <w:r>
        <w:rPr>
          <w:rFonts w:eastAsia="Times New Roman" w:cs="Times New Roman"/>
          <w:kern w:val="0"/>
          <w:sz w:val="18"/>
          <w:szCs w:val="18"/>
          <w14:ligatures w14:val="none"/>
        </w:rPr>
        <w:br/>
        <w:t>- The Equipment section can have subheadings. Software installation/setup can be formatted as a subheading under ‘Experimental Setup’.</w:t>
      </w:r>
      <w:r>
        <w:rPr>
          <w:rFonts w:eastAsia="Times New Roman" w:cs="Times New Roman"/>
          <w:kern w:val="0"/>
          <w:sz w:val="18"/>
          <w:szCs w:val="18"/>
          <w14:ligatures w14:val="none"/>
        </w:rPr>
        <w:br/>
        <w:t>- Additional, useful information in this section can take the form of &lt;CRITICAL&gt; callouts. </w:t>
      </w:r>
      <w:r>
        <w:rPr>
          <w:rFonts w:eastAsia="Times New Roman" w:cs="Times New Roman"/>
          <w:kern w:val="0"/>
          <w:sz w:val="18"/>
          <w:szCs w:val="18"/>
          <w14:ligatures w14:val="none"/>
        </w:rPr>
        <w:br/>
      </w:r>
      <w:r>
        <w:rPr>
          <w:rFonts w:eastAsia="Times New Roman" w:cs="Times New Roman"/>
          <w:kern w:val="0"/>
          <w:sz w:val="18"/>
          <w:szCs w:val="18"/>
          <w14:ligatures w14:val="none"/>
        </w:rPr>
        <w:br/>
      </w:r>
      <w:r>
        <w:rPr>
          <w:rFonts w:eastAsia="Times New Roman" w:cs="Times New Roman"/>
          <w:kern w:val="0"/>
          <w:sz w:val="18"/>
          <w:szCs w:val="18"/>
          <w14:ligatures w14:val="none"/>
        </w:rPr>
        <w:br/>
        <w:t>PROCEDURE</w:t>
      </w:r>
      <w:r>
        <w:rPr>
          <w:rFonts w:eastAsia="Times New Roman" w:cs="Times New Roman"/>
          <w:kern w:val="0"/>
          <w:sz w:val="18"/>
          <w:szCs w:val="18"/>
          <w14:ligatures w14:val="none"/>
        </w:rPr>
        <w:br/>
        <w:t>- The Procedure will need reformatting to comply with our style. We can edit his in more detail when we get the revised version. For now, I have attached a word document here with an example of how I would suggest formatting the first two steps of your protocol. You can also check our Guide to Authors </w:t>
      </w:r>
      <w:hyperlink r:id="rId6">
        <w:r>
          <w:rPr>
            <w:rFonts w:eastAsia="Times New Roman" w:cs="Times New Roman"/>
            <w:color w:val="0000FF"/>
            <w:kern w:val="0"/>
            <w:sz w:val="18"/>
            <w:szCs w:val="18"/>
            <w:u w:val="single"/>
            <w14:ligatures w14:val="none"/>
          </w:rPr>
          <w:t>https://www.nature.com/nprot/for-authors/protocol</w:t>
        </w:r>
      </w:hyperlink>
      <w:r>
        <w:rPr>
          <w:rFonts w:eastAsia="Times New Roman" w:cs="Times New Roman"/>
          <w:kern w:val="0"/>
          <w:sz w:val="18"/>
          <w:szCs w:val="18"/>
          <w14:ligatures w14:val="none"/>
        </w:rPr>
        <w:t> and the sample protocol linked there </w:t>
      </w:r>
      <w:hyperlink r:id="rId7">
        <w:r>
          <w:rPr>
            <w:rFonts w:eastAsia="Times New Roman" w:cs="Times New Roman"/>
            <w:color w:val="0000FF"/>
            <w:kern w:val="0"/>
            <w:sz w:val="18"/>
            <w:szCs w:val="18"/>
            <w:u w:val="single"/>
            <w14:ligatures w14:val="none"/>
          </w:rPr>
          <w:t>https://rdcu.be/eumxY.</w:t>
        </w:r>
      </w:hyperlink>
      <w:r>
        <w:rPr>
          <w:rFonts w:eastAsia="Times New Roman" w:cs="Times New Roman"/>
          <w:kern w:val="0"/>
          <w:sz w:val="18"/>
          <w:szCs w:val="18"/>
          <w14:ligatures w14:val="none"/>
        </w:rPr>
        <w:br/>
      </w:r>
      <w:r>
        <w:rPr>
          <w:rFonts w:eastAsia="Times New Roman" w:cs="Times New Roman"/>
          <w:kern w:val="0"/>
          <w:sz w:val="18"/>
          <w:szCs w:val="18"/>
          <w14:ligatures w14:val="none"/>
        </w:rPr>
        <w:lastRenderedPageBreak/>
        <w:t>-In summary, the Procedure must take the form of a continuously numbered set of steps (i.e. use 1, 2, 3, 4 and so on, not 1.1, 1.2 etc.), with numbering continuing from subsection to subsection. There can only be one level of Subheading within the Procedure section, so please amend headings as necessary. If there are options of how to proceed at a particular numbered step, options A, B, C etc., can be used within that step, and within the options, different steps should be numbered using roman numerals. If there are any optional/additional procedures that do not necessarily fit into the continuous flow of numbered steps which should be completed in order, these can be put into boxes as optional procedures and referred to from the Procedure as appropriate. Notice that the text in the Procedure of the example protocol (</w:t>
      </w:r>
      <w:hyperlink r:id="rId8">
        <w:r>
          <w:rPr>
            <w:rFonts w:eastAsia="Times New Roman" w:cs="Times New Roman"/>
            <w:color w:val="0000FF"/>
            <w:kern w:val="0"/>
            <w:sz w:val="18"/>
            <w:szCs w:val="18"/>
            <w:u w:val="single"/>
            <w14:ligatures w14:val="none"/>
          </w:rPr>
          <w:t>https://rdcu.be/eumxY</w:t>
        </w:r>
      </w:hyperlink>
      <w:r>
        <w:rPr>
          <w:rFonts w:eastAsia="Times New Roman" w:cs="Times New Roman"/>
          <w:kern w:val="0"/>
          <w:sz w:val="18"/>
          <w:szCs w:val="18"/>
          <w14:ligatures w14:val="none"/>
        </w:rPr>
        <w:t>) is either part of a numbered step OR part of a callout (CAUTION, CRITICAL STEP etc). While it is possible to include some explanatory text immediately under subheadings, please consider whether it would be better for the user to have this information before they start the Procedure i.e. to move some of the text to an appropriate section of the Introduction e.g. Experimental Design.</w:t>
      </w:r>
      <w:r>
        <w:rPr>
          <w:rFonts w:eastAsia="Times New Roman" w:cs="Times New Roman"/>
          <w:kern w:val="0"/>
          <w:sz w:val="18"/>
          <w:szCs w:val="18"/>
          <w14:ligatures w14:val="none"/>
        </w:rPr>
        <w:br/>
      </w:r>
      <w:r>
        <w:rPr>
          <w:rFonts w:eastAsia="Times New Roman" w:cs="Times New Roman"/>
          <w:color w:val="77206D" w:themeColor="accent5" w:themeShade="BF"/>
          <w:kern w:val="0"/>
          <w:sz w:val="18"/>
          <w:szCs w:val="18"/>
          <w14:ligatures w14:val="none"/>
        </w:rPr>
        <w:t xml:space="preserve">Alice: </w:t>
      </w:r>
      <w:r>
        <w:rPr>
          <w:rFonts w:eastAsia="Times New Roman" w:cs="Times New Roman"/>
          <w:color w:val="000000" w:themeColor="text1"/>
          <w:kern w:val="0"/>
          <w:sz w:val="18"/>
          <w:szCs w:val="18"/>
          <w14:ligatures w14:val="none"/>
        </w:rPr>
        <w:t>Improve formatting</w:t>
      </w:r>
      <w:r>
        <w:rPr>
          <w:rFonts w:eastAsia="Times New Roman" w:cs="Times New Roman"/>
          <w:kern w:val="0"/>
          <w:sz w:val="18"/>
          <w:szCs w:val="18"/>
          <w14:ligatures w14:val="none"/>
        </w:rPr>
        <w:br/>
      </w:r>
      <w:r>
        <w:rPr>
          <w:rFonts w:eastAsia="Times New Roman" w:cs="Times New Roman"/>
          <w:kern w:val="0"/>
          <w:sz w:val="18"/>
          <w:szCs w:val="18"/>
          <w14:ligatures w14:val="none"/>
        </w:rPr>
        <w:br/>
        <w:t>TIMING </w:t>
      </w:r>
      <w:r>
        <w:rPr>
          <w:rFonts w:eastAsia="Times New Roman" w:cs="Times New Roman"/>
          <w:kern w:val="0"/>
          <w:sz w:val="18"/>
          <w:szCs w:val="18"/>
          <w14:ligatures w14:val="none"/>
        </w:rPr>
        <w:br/>
        <w:t>-Please add corresponding Procedure step numbers to the entries in this section. </w:t>
      </w:r>
      <w:r>
        <w:rPr>
          <w:rFonts w:eastAsia="Times New Roman" w:cs="Times New Roman"/>
          <w:kern w:val="0"/>
          <w:sz w:val="18"/>
          <w:szCs w:val="18"/>
          <w14:ligatures w14:val="none"/>
        </w:rPr>
        <w:br/>
      </w:r>
      <w:r>
        <w:rPr>
          <w:rFonts w:eastAsia="Times New Roman" w:cs="Times New Roman"/>
          <w:kern w:val="0"/>
          <w:sz w:val="18"/>
          <w:szCs w:val="18"/>
          <w14:ligatures w14:val="none"/>
        </w:rPr>
        <w:br/>
        <w:t>TROUBLESHOOTING </w:t>
      </w:r>
      <w:r>
        <w:rPr>
          <w:rFonts w:eastAsia="Times New Roman" w:cs="Times New Roman"/>
          <w:kern w:val="0"/>
          <w:sz w:val="18"/>
          <w:szCs w:val="18"/>
          <w14:ligatures w14:val="none"/>
        </w:rPr>
        <w:br/>
        <w:t>-Please just add the word Troubleshooting after each step in the Procedure for which you have given troubleshooting guidance in the Troubleshooting Table. All extra information should be explained within the table and not after each callout.</w:t>
      </w:r>
      <w:r>
        <w:rPr>
          <w:rFonts w:eastAsia="Times New Roman" w:cs="Times New Roman"/>
          <w:kern w:val="0"/>
          <w:sz w:val="18"/>
          <w:szCs w:val="18"/>
          <w14:ligatures w14:val="none"/>
        </w:rPr>
        <w:br/>
        <w:t>-Please add an additional column to the Troubleshooting table entitled ‘step’ and state the step number at which the advice is needed. Note that the step number in this column should be the step where the problem becomes evident. You can highlight the steps where the problem originated in the other columns. </w:t>
      </w:r>
      <w:r>
        <w:rPr>
          <w:rFonts w:eastAsia="Times New Roman" w:cs="Times New Roman"/>
          <w:kern w:val="0"/>
          <w:sz w:val="18"/>
          <w:szCs w:val="18"/>
          <w14:ligatures w14:val="none"/>
        </w:rPr>
        <w:br/>
      </w:r>
      <w:r>
        <w:rPr>
          <w:rFonts w:eastAsia="Times New Roman" w:cs="Times New Roman"/>
          <w:kern w:val="0"/>
          <w:sz w:val="18"/>
          <w:szCs w:val="18"/>
          <w14:ligatures w14:val="none"/>
        </w:rPr>
        <w:br/>
        <w:t>Figures</w:t>
      </w:r>
      <w:r>
        <w:rPr>
          <w:rFonts w:eastAsia="Times New Roman" w:cs="Times New Roman"/>
          <w:kern w:val="0"/>
          <w:sz w:val="18"/>
          <w:szCs w:val="18"/>
          <w14:ligatures w14:val="none"/>
        </w:rPr>
        <w:br/>
        <w:t>-For each figure and dataset, please indicate whether it has been published previously and, if so, specify where. </w:t>
      </w:r>
      <w:r>
        <w:rPr>
          <w:rFonts w:eastAsia="Times New Roman" w:cs="Times New Roman"/>
          <w:kern w:val="0"/>
          <w:sz w:val="18"/>
          <w:szCs w:val="18"/>
          <w14:ligatures w14:val="none"/>
        </w:rPr>
        <w:br/>
      </w:r>
      <w:r>
        <w:rPr>
          <w:rFonts w:eastAsia="Times New Roman" w:cs="Times New Roman"/>
          <w:color w:val="77206D" w:themeColor="accent5" w:themeShade="BF"/>
          <w:kern w:val="0"/>
          <w:sz w:val="18"/>
          <w:szCs w:val="18"/>
          <w14:ligatures w14:val="none"/>
        </w:rPr>
        <w:t>Not applicable</w:t>
      </w:r>
      <w:r>
        <w:rPr>
          <w:rFonts w:eastAsia="Times New Roman" w:cs="Times New Roman"/>
          <w:kern w:val="0"/>
          <w:sz w:val="18"/>
          <w:szCs w:val="18"/>
          <w14:ligatures w14:val="none"/>
        </w:rPr>
        <w:br/>
        <w:t>-For screenshots, it is useful to bear in mind that the maximum width of our figures is 17 cm (put a ruler up against your screen before taking the screenshot and think about either reducing the width of the window or carefully choosing which part of the window contains the interesting information!). Also it is advisable to send these as tiff files and to not resize them before saving; though of course, cropping the image to focus on the important bit can be a valuable step. </w:t>
      </w:r>
      <w:r>
        <w:rPr>
          <w:rFonts w:eastAsia="Times New Roman" w:cs="Times New Roman"/>
          <w:kern w:val="0"/>
          <w:sz w:val="18"/>
          <w:szCs w:val="18"/>
          <w14:ligatures w14:val="none"/>
        </w:rPr>
        <w:br/>
        <w:t>-Please ensure that all figures adhere to NPG guidelines on image manipulation. These guidelines can be found here: </w:t>
      </w:r>
      <w:hyperlink r:id="rId9">
        <w:r>
          <w:rPr>
            <w:rFonts w:eastAsia="Times New Roman" w:cs="Times New Roman"/>
            <w:color w:val="0000FF"/>
            <w:kern w:val="0"/>
            <w:sz w:val="18"/>
            <w:szCs w:val="18"/>
            <w:u w:val="single"/>
            <w14:ligatures w14:val="none"/>
          </w:rPr>
          <w:t>http://www.nature.com/authors/editorial_policies/image.html/</w:t>
        </w:r>
      </w:hyperlink>
      <w:r>
        <w:rPr>
          <w:rFonts w:eastAsia="Times New Roman" w:cs="Times New Roman"/>
          <w:kern w:val="0"/>
          <w:sz w:val="18"/>
          <w:szCs w:val="18"/>
          <w14:ligatures w14:val="none"/>
        </w:rPr>
        <w:br/>
        <w:t>-Our guidance for figures is available here: </w:t>
      </w:r>
      <w:hyperlink r:id="rId10">
        <w:r>
          <w:rPr>
            <w:rFonts w:eastAsia="Times New Roman" w:cs="Times New Roman"/>
            <w:color w:val="0000FF"/>
            <w:kern w:val="0"/>
            <w:sz w:val="18"/>
            <w:szCs w:val="18"/>
            <w:u w:val="single"/>
            <w14:ligatures w14:val="none"/>
          </w:rPr>
          <w:t>https://drive.google.com/file/d/10nwyH47XJvzmtGleKS2YopG-6hDw6jeB/view?usp=sharing</w:t>
        </w:r>
      </w:hyperlink>
      <w:r>
        <w:rPr>
          <w:rFonts w:eastAsia="Times New Roman" w:cs="Times New Roman"/>
          <w:kern w:val="0"/>
          <w:sz w:val="18"/>
          <w:szCs w:val="18"/>
          <w14:ligatures w14:val="none"/>
        </w:rPr>
        <w:br/>
      </w:r>
      <w:r>
        <w:rPr>
          <w:rFonts w:eastAsia="Times New Roman" w:cs="Times New Roman"/>
          <w:kern w:val="0"/>
          <w:sz w:val="18"/>
          <w:szCs w:val="18"/>
          <w14:ligatures w14:val="none"/>
        </w:rPr>
        <w:br/>
        <w:t>Please take into account all referee comments when revising your manuscript and highlight all changes using tracked changes. Please do not hesitate to get in touch if you would like to discuss any of these comments further or there are specific requests from the reviewers that you do not think are feasible. When revising your manuscript, please include a “Response to referees” document detailing, point-by-point, how you addressed each referee comment. If no action was taken to address a point, you should provide a compelling argument. This response will be sent back to the referees along with the revised manuscript. When considering the reviewers’ suggestions, please bear in mind that your protocol should not include new (previously unpublished) research findings. It can contain previously unpublished data that is specifically connected to the development of the Protocol (e.g. optimisation, validation, benchmarking, and troubleshooting data). If you have the relevant data already and feel that they do not represent new findings, please do include them. However, please do not perform any additional experiments specifically for this protocol project. Any new research findings must be published in a primary research paper before they can be described in the protocol.</w:t>
      </w:r>
      <w:r>
        <w:rPr>
          <w:rFonts w:eastAsia="Times New Roman" w:cs="Times New Roman"/>
          <w:kern w:val="0"/>
          <w:sz w:val="18"/>
          <w:szCs w:val="18"/>
          <w14:ligatures w14:val="none"/>
        </w:rPr>
        <w:br/>
      </w:r>
      <w:r>
        <w:rPr>
          <w:rFonts w:eastAsia="Times New Roman" w:cs="Times New Roman"/>
          <w:kern w:val="0"/>
          <w:sz w:val="18"/>
          <w:szCs w:val="18"/>
          <w14:ligatures w14:val="none"/>
        </w:rPr>
        <w:br/>
        <w:t>Please note that we strongly support public availability of data and custom code. Please place the data and code used in your paper into a public data repository, or alternatively, present the data as Supplementary Information. If data and code can only be shared on request, please explain why in your Data and Code Availability Statements, and also in the correspondence with your editor.</w:t>
      </w:r>
    </w:p>
    <w:p w14:paraId="6657FC3D" w14:textId="77777777" w:rsidR="009C31E5" w:rsidRDefault="00000000">
      <w:pPr>
        <w:spacing w:after="240" w:line="240" w:lineRule="auto"/>
        <w:rPr>
          <w:rFonts w:eastAsia="Times New Roman" w:cs="Times New Roman"/>
          <w:kern w:val="0"/>
          <w:sz w:val="18"/>
          <w:szCs w:val="18"/>
          <w14:ligatures w14:val="none"/>
        </w:rPr>
      </w:pPr>
      <w:r>
        <w:rPr>
          <w:rFonts w:eastAsia="Times New Roman" w:cs="Times New Roman"/>
          <w:color w:val="77206D" w:themeColor="accent5" w:themeShade="BF"/>
          <w:kern w:val="0"/>
          <w:sz w:val="18"/>
          <w:szCs w:val="18"/>
          <w14:ligatures w14:val="none"/>
        </w:rPr>
        <w:t>Once ready for submission make code publicly available.</w:t>
      </w:r>
      <w:r>
        <w:rPr>
          <w:rFonts w:eastAsia="Times New Roman" w:cs="Times New Roman"/>
          <w:kern w:val="0"/>
          <w:sz w:val="18"/>
          <w:szCs w:val="18"/>
          <w14:ligatures w14:val="none"/>
        </w:rPr>
        <w:br/>
      </w:r>
      <w:r>
        <w:rPr>
          <w:rFonts w:eastAsia="Times New Roman" w:cs="Times New Roman"/>
          <w:kern w:val="0"/>
          <w:sz w:val="18"/>
          <w:szCs w:val="18"/>
          <w14:ligatures w14:val="none"/>
        </w:rPr>
        <w:br/>
        <w:t>SUPPLEMENTARY INFORMATION: Please carefully check any associated Supplementary Information (SI) files before uploading your revised manuscript. For Excel documents, please submit a single file with separate tabs for the different supplementary information items, including for data underlying any relevant graphical Figures, rather than multiple Excel files wherever possible. Please specify the content of the tab within the title of each tab. </w:t>
      </w:r>
      <w:r>
        <w:rPr>
          <w:rFonts w:eastAsia="Times New Roman" w:cs="Times New Roman"/>
          <w:kern w:val="0"/>
          <w:sz w:val="18"/>
          <w:szCs w:val="18"/>
          <w14:ligatures w14:val="none"/>
        </w:rPr>
        <w:br/>
      </w:r>
      <w:r>
        <w:rPr>
          <w:rFonts w:eastAsia="Times New Roman" w:cs="Times New Roman"/>
          <w:kern w:val="0"/>
          <w:sz w:val="18"/>
          <w:szCs w:val="18"/>
          <w14:ligatures w14:val="none"/>
        </w:rPr>
        <w:br/>
        <w:t xml:space="preserve">Please download the Inventory of Supporting Information linked to below, complete, and upload with the rest of your </w:t>
      </w:r>
      <w:r>
        <w:rPr>
          <w:rFonts w:eastAsia="Times New Roman" w:cs="Times New Roman"/>
          <w:kern w:val="0"/>
          <w:sz w:val="18"/>
          <w:szCs w:val="18"/>
          <w14:ligatures w14:val="none"/>
        </w:rPr>
        <w:lastRenderedPageBreak/>
        <w:t>files as a related manuscript file. Instructions are included in the inventory of Supporting Information: </w:t>
      </w:r>
      <w:r>
        <w:rPr>
          <w:rFonts w:eastAsia="Times New Roman" w:cs="Times New Roman"/>
          <w:kern w:val="0"/>
          <w:sz w:val="18"/>
          <w:szCs w:val="18"/>
          <w14:ligatures w14:val="none"/>
        </w:rPr>
        <w:br/>
      </w:r>
      <w:hyperlink r:id="rId11">
        <w:r>
          <w:rPr>
            <w:rFonts w:eastAsia="Times New Roman" w:cs="Times New Roman"/>
            <w:color w:val="0000FF"/>
            <w:kern w:val="0"/>
            <w:sz w:val="18"/>
            <w:szCs w:val="18"/>
            <w:u w:val="single"/>
            <w14:ligatures w14:val="none"/>
          </w:rPr>
          <w:t>http://www.nature.com/documents/Inventory_of_Supporting_Information_2021.docx</w:t>
        </w:r>
      </w:hyperlink>
      <w:r>
        <w:rPr>
          <w:rFonts w:eastAsia="Times New Roman" w:cs="Times New Roman"/>
          <w:kern w:val="0"/>
          <w:sz w:val="18"/>
          <w:szCs w:val="18"/>
          <w14:ligatures w14:val="none"/>
        </w:rPr>
        <w:br/>
      </w:r>
      <w:r>
        <w:rPr>
          <w:rFonts w:eastAsia="Times New Roman" w:cs="Times New Roman"/>
          <w:kern w:val="0"/>
          <w:sz w:val="18"/>
          <w:szCs w:val="18"/>
          <w14:ligatures w14:val="none"/>
        </w:rPr>
        <w:br/>
        <w:t>Supplementary Information should fit into one of three categories: </w:t>
      </w:r>
      <w:r>
        <w:rPr>
          <w:rFonts w:eastAsia="Times New Roman" w:cs="Times New Roman"/>
          <w:kern w:val="0"/>
          <w:sz w:val="18"/>
          <w:szCs w:val="18"/>
          <w14:ligatures w14:val="none"/>
        </w:rPr>
        <w:br/>
      </w:r>
      <w:r>
        <w:rPr>
          <w:rFonts w:eastAsia="Times New Roman" w:cs="Times New Roman"/>
          <w:kern w:val="0"/>
          <w:sz w:val="18"/>
          <w:szCs w:val="18"/>
          <w14:ligatures w14:val="none"/>
        </w:rPr>
        <w:br/>
        <w:t>1. EXTENDED DATA: Extended Data is an integral part of the paper and only data that directly contribute to the main message should be presented. These figures will be integrated into the full-text HTML version of your paper and will be appended to the online PDF. There is a limit of 10 Extended Data figures, and each must be referred to in the main text/online methods ( cited as ‘Extended Data Figure 1’, ‘Extended Data Figure 2,’ etc.). Each Extended Data figure should be of the same quality as the main figures, and should be supplied at a size that will allow both the figure and legend to be presented on a single A4 page. Each figure should be submitted as an individual .jpg, .tif or .eps file with a maximum size of 10 MB each, using the ‘Figure File’ article type in our Manuscript Tracking system. All Extended Data figure legends must be provided in the attached Inventory of Supporting Information, not in the figure files themselves. Please carefully follow the instructions in the attached Inventory of Supporting Information. This will provide you with guidance for the preparation and submission of these files, as well as any additional Supplementary files. If you have any questions regarding Extended Data, please contact our Editorial Assistant. </w:t>
      </w:r>
      <w:r>
        <w:rPr>
          <w:rFonts w:eastAsia="Times New Roman" w:cs="Times New Roman"/>
          <w:kern w:val="0"/>
          <w:sz w:val="18"/>
          <w:szCs w:val="18"/>
          <w14:ligatures w14:val="none"/>
        </w:rPr>
        <w:br/>
      </w:r>
      <w:r>
        <w:rPr>
          <w:rFonts w:eastAsia="Times New Roman" w:cs="Times New Roman"/>
          <w:kern w:val="0"/>
          <w:sz w:val="18"/>
          <w:szCs w:val="18"/>
          <w14:ligatures w14:val="none"/>
        </w:rPr>
        <w:br/>
        <w:t>2. SUPPLEMENTARY INFORMATION: Supplementary Information is material that is essential background to the study but which it is not practical to include in the PDF version of the paper (for example, video files, large data sets and calculations). Each item must be referred to in the main manuscript/online methods and detailed in the attached Inventory of Supplementary Information. Tables containing large data sets should be in Excel format, with the table number and title included within the body of the table. All textual information and any additional Supplementary Figures (which should be presented with the legends directly below each figure) should be provided as a single, combined PDF. Please note that Supplementary Information is not copyedited and we cannot replace any Supplementary Information after the paper has been formally accepted unless there has been a critical scientific error. Supplementary Figures and other items are not required to be called out in your manuscript text, but should be numerically numbered, starting at one, as ‘Supplementary Figure 1’, etc., not SI1. </w:t>
      </w:r>
      <w:r>
        <w:rPr>
          <w:rFonts w:eastAsia="Times New Roman" w:cs="Times New Roman"/>
          <w:kern w:val="0"/>
          <w:sz w:val="18"/>
          <w:szCs w:val="18"/>
          <w14:ligatures w14:val="none"/>
        </w:rPr>
        <w:br/>
      </w:r>
      <w:r>
        <w:rPr>
          <w:rFonts w:eastAsia="Times New Roman" w:cs="Times New Roman"/>
          <w:kern w:val="0"/>
          <w:sz w:val="18"/>
          <w:szCs w:val="18"/>
          <w14:ligatures w14:val="none"/>
        </w:rPr>
        <w:br/>
        <w:t>3. SOURCE DATA: We encourage you to provide Source Data for your Figures whenever possible. Full-length, unprocessed blots and gels must be provided as Source Data for any relevant Figures, and should be provided as individual PDF files (one for each figure) containing all supporting blots and/or gels with the linked figure noted within the PDF file. Data underlying graphical figures should be provided in separate tabs (one for each figure) within a single Excel file, with the figure numbers noted within the title of each tab. We encourage deposition of all types of Source Data into a relevant repository, for example figshare (</w:t>
      </w:r>
      <w:hyperlink r:id="rId12">
        <w:r>
          <w:rPr>
            <w:rFonts w:eastAsia="Times New Roman" w:cs="Times New Roman"/>
            <w:color w:val="0000FF"/>
            <w:kern w:val="0"/>
            <w:sz w:val="18"/>
            <w:szCs w:val="18"/>
            <w:u w:val="single"/>
            <w14:ligatures w14:val="none"/>
          </w:rPr>
          <w:t>https://figshare.com/</w:t>
        </w:r>
      </w:hyperlink>
      <w:r>
        <w:rPr>
          <w:rFonts w:eastAsia="Times New Roman" w:cs="Times New Roman"/>
          <w:kern w:val="0"/>
          <w:sz w:val="18"/>
          <w:szCs w:val="18"/>
          <w14:ligatures w14:val="none"/>
        </w:rPr>
        <w:t>) or the Image Data Resource (</w:t>
      </w:r>
      <w:hyperlink r:id="rId13">
        <w:r>
          <w:rPr>
            <w:rFonts w:eastAsia="Times New Roman" w:cs="Times New Roman"/>
            <w:color w:val="0000FF"/>
            <w:kern w:val="0"/>
            <w:sz w:val="18"/>
            <w:szCs w:val="18"/>
            <w:u w:val="single"/>
            <w14:ligatures w14:val="none"/>
          </w:rPr>
          <w:t>https://idr.openmicroscopy.org</w:t>
        </w:r>
      </w:hyperlink>
      <w:r>
        <w:rPr>
          <w:rFonts w:eastAsia="Times New Roman" w:cs="Times New Roman"/>
          <w:kern w:val="0"/>
          <w:sz w:val="18"/>
          <w:szCs w:val="18"/>
          <w14:ligatures w14:val="none"/>
        </w:rPr>
        <w:t>). Please see more information about data availability: </w:t>
      </w:r>
      <w:hyperlink r:id="rId14">
        <w:r>
          <w:rPr>
            <w:rFonts w:eastAsia="Times New Roman" w:cs="Times New Roman"/>
            <w:color w:val="0000FF"/>
            <w:kern w:val="0"/>
            <w:sz w:val="18"/>
            <w:szCs w:val="18"/>
            <w:u w:val="single"/>
            <w14:ligatures w14:val="none"/>
          </w:rPr>
          <w:t>https://www.nature.com/nature-research/editorial-policies/reporting-standards</w:t>
        </w:r>
      </w:hyperlink>
      <w:r>
        <w:rPr>
          <w:rFonts w:eastAsia="Times New Roman" w:cs="Times New Roman"/>
          <w:kern w:val="0"/>
          <w:sz w:val="18"/>
          <w:szCs w:val="18"/>
          <w14:ligatures w14:val="none"/>
        </w:rPr>
        <w:t>#availability-of-data.</w:t>
      </w:r>
      <w:r>
        <w:rPr>
          <w:rFonts w:eastAsia="Times New Roman" w:cs="Times New Roman"/>
          <w:kern w:val="0"/>
          <w:sz w:val="18"/>
          <w:szCs w:val="18"/>
          <w14:ligatures w14:val="none"/>
        </w:rPr>
        <w:br/>
      </w:r>
      <w:r>
        <w:rPr>
          <w:rFonts w:eastAsia="Times New Roman" w:cs="Times New Roman"/>
          <w:kern w:val="0"/>
          <w:sz w:val="18"/>
          <w:szCs w:val="18"/>
          <w14:ligatures w14:val="none"/>
        </w:rPr>
        <w:br/>
        <w:t>Each piece of SI should be cited in order in the text. Please list all pieces of Supplementary Information, including a title and legend for each, at the end of your Manuscript File. If any references are cited in SI that are not included in the main reference list, please include full citation details in the legend for the SI (for items with legends) or in a reference list within the individual SI item. If any references are cited in both the main text and the SI, they can be repeated in the SI reference list.</w:t>
      </w:r>
      <w:r>
        <w:rPr>
          <w:rFonts w:eastAsia="Times New Roman" w:cs="Times New Roman"/>
          <w:kern w:val="0"/>
          <w:sz w:val="18"/>
          <w:szCs w:val="18"/>
          <w14:ligatures w14:val="none"/>
        </w:rPr>
        <w:br/>
      </w:r>
      <w:r>
        <w:rPr>
          <w:rFonts w:eastAsia="Times New Roman" w:cs="Times New Roman"/>
          <w:kern w:val="0"/>
          <w:sz w:val="18"/>
          <w:szCs w:val="18"/>
          <w14:ligatures w14:val="none"/>
        </w:rPr>
        <w:br/>
        <w:t>We have a limit to the size of files that we can host. Extended Data figures should be around 10 MB. Other SI figures should be around 30 MB. Large datasets/software can be hosted online in places like github, or repositories, and linked to in the text. Please note that this will be your last chance to make any necessary changes to SI files; it is important to note that Supplementary Information files will not be further edited or copyedited.</w:t>
      </w:r>
      <w:r>
        <w:rPr>
          <w:rFonts w:eastAsia="Times New Roman" w:cs="Times New Roman"/>
          <w:kern w:val="0"/>
          <w:sz w:val="18"/>
          <w:szCs w:val="18"/>
          <w14:ligatures w14:val="none"/>
        </w:rPr>
        <w:br/>
      </w:r>
      <w:r>
        <w:rPr>
          <w:rFonts w:eastAsia="Times New Roman" w:cs="Times New Roman"/>
          <w:kern w:val="0"/>
          <w:sz w:val="18"/>
          <w:szCs w:val="18"/>
          <w14:ligatures w14:val="none"/>
        </w:rPr>
        <w:br/>
      </w:r>
      <w:r>
        <w:rPr>
          <w:rFonts w:eastAsia="Times New Roman" w:cs="Times New Roman"/>
          <w:kern w:val="0"/>
          <w:sz w:val="18"/>
          <w:szCs w:val="18"/>
          <w14:ligatures w14:val="none"/>
        </w:rPr>
        <w:br/>
        <w:t>We hope to receive your revised manuscript within 4 weeks. If you cannot send it within this time, please let us know. </w:t>
      </w:r>
      <w:r>
        <w:rPr>
          <w:rFonts w:eastAsia="Times New Roman" w:cs="Times New Roman"/>
          <w:kern w:val="0"/>
          <w:sz w:val="18"/>
          <w:szCs w:val="18"/>
          <w14:ligatures w14:val="none"/>
        </w:rPr>
        <w:br/>
      </w:r>
      <w:r>
        <w:rPr>
          <w:rFonts w:eastAsia="Times New Roman" w:cs="Times New Roman"/>
          <w:kern w:val="0"/>
          <w:sz w:val="18"/>
          <w:szCs w:val="18"/>
          <w14:ligatures w14:val="none"/>
        </w:rPr>
        <w:br/>
        <w:t>Finally, please note that we take issues of plagiarism (including self-plagiarism) seriously and remind you this must be avoided. We require that authors have used their protocols to generate data published in a supporting research paper; however, please ensure there is no direct repetition of text between this protocol and previous publications (except where this is unavoidable, e.g., in the reagents and equipment lists, figure legends, parts of the procedure). To avoid issues with duplicate publication, it is important you let us know about any other protocol or methods papers any of the authors have written or agreed to write on a similar topic, and if possible, provide a copy. Please see Nature Research’s policy on these issues here: </w:t>
      </w:r>
      <w:hyperlink r:id="rId15">
        <w:r>
          <w:rPr>
            <w:rFonts w:eastAsia="Times New Roman" w:cs="Times New Roman"/>
            <w:color w:val="0000FF"/>
            <w:kern w:val="0"/>
            <w:sz w:val="18"/>
            <w:szCs w:val="18"/>
            <w:u w:val="single"/>
            <w14:ligatures w14:val="none"/>
          </w:rPr>
          <w:t>http://www.nature.com/authors/policies/duplicate.html;</w:t>
        </w:r>
      </w:hyperlink>
      <w:r>
        <w:rPr>
          <w:rFonts w:eastAsia="Times New Roman" w:cs="Times New Roman"/>
          <w:kern w:val="0"/>
          <w:sz w:val="18"/>
          <w:szCs w:val="18"/>
          <w14:ligatures w14:val="none"/>
        </w:rPr>
        <w:t> </w:t>
      </w:r>
      <w:hyperlink r:id="rId16">
        <w:r>
          <w:rPr>
            <w:rFonts w:eastAsia="Times New Roman" w:cs="Times New Roman"/>
            <w:color w:val="0000FF"/>
            <w:kern w:val="0"/>
            <w:sz w:val="18"/>
            <w:szCs w:val="18"/>
            <w:u w:val="single"/>
            <w14:ligatures w14:val="none"/>
          </w:rPr>
          <w:t>http://www.nature.com/authors/policies/plagiarism.html.</w:t>
        </w:r>
      </w:hyperlink>
      <w:r>
        <w:rPr>
          <w:rFonts w:eastAsia="Times New Roman" w:cs="Times New Roman"/>
          <w:kern w:val="0"/>
          <w:sz w:val="18"/>
          <w:szCs w:val="18"/>
          <w14:ligatures w14:val="none"/>
        </w:rPr>
        <w:t> </w:t>
      </w:r>
      <w:r>
        <w:rPr>
          <w:rFonts w:eastAsia="Times New Roman" w:cs="Times New Roman"/>
          <w:kern w:val="0"/>
          <w:sz w:val="18"/>
          <w:szCs w:val="18"/>
          <w14:ligatures w14:val="none"/>
        </w:rPr>
        <w:br/>
      </w:r>
      <w:r>
        <w:rPr>
          <w:rFonts w:eastAsia="Times New Roman" w:cs="Times New Roman"/>
          <w:kern w:val="0"/>
          <w:sz w:val="18"/>
          <w:szCs w:val="18"/>
          <w14:ligatures w14:val="none"/>
        </w:rPr>
        <w:br/>
      </w:r>
      <w:r>
        <w:rPr>
          <w:rFonts w:eastAsia="Times New Roman" w:cs="Times New Roman"/>
          <w:b/>
          <w:bCs/>
          <w:kern w:val="0"/>
          <w:sz w:val="18"/>
          <w:szCs w:val="18"/>
          <w14:ligatures w14:val="none"/>
        </w:rPr>
        <w:t>ORCID</w:t>
      </w:r>
      <w:r>
        <w:rPr>
          <w:rFonts w:eastAsia="Times New Roman" w:cs="Times New Roman"/>
          <w:kern w:val="0"/>
          <w:sz w:val="18"/>
          <w:szCs w:val="18"/>
          <w14:ligatures w14:val="none"/>
        </w:rPr>
        <w:br/>
      </w:r>
      <w:r>
        <w:rPr>
          <w:rFonts w:eastAsia="Times New Roman" w:cs="Times New Roman"/>
          <w:kern w:val="0"/>
          <w:sz w:val="18"/>
          <w:szCs w:val="18"/>
          <w14:ligatures w14:val="none"/>
        </w:rPr>
        <w:lastRenderedPageBreak/>
        <w:br/>
        <w:t>Nature Protocols is committed to improving transparency in authorship. As part of our efforts in this direction, we are now requesting that all authors identified as ‘corresponding author’ create and link their Open Researcher and Contributor Identifier (ORCID) with their account on the Manuscript Tracking System (MTS) prior to acceptance. ORCID helps the scientific community achieve unambiguous attribution of all scholarly contributions. For more information please visit </w:t>
      </w:r>
      <w:hyperlink r:id="rId17">
        <w:r>
          <w:rPr>
            <w:rFonts w:eastAsia="Times New Roman" w:cs="Times New Roman"/>
            <w:color w:val="0000FF"/>
            <w:kern w:val="0"/>
            <w:sz w:val="18"/>
            <w:szCs w:val="18"/>
            <w:u w:val="single"/>
            <w14:ligatures w14:val="none"/>
          </w:rPr>
          <w:t>http://www.springernature.com/orcid</w:t>
        </w:r>
      </w:hyperlink>
      <w:r>
        <w:rPr>
          <w:rFonts w:eastAsia="Times New Roman" w:cs="Times New Roman"/>
          <w:kern w:val="0"/>
          <w:sz w:val="18"/>
          <w:szCs w:val="18"/>
          <w14:ligatures w14:val="none"/>
        </w:rPr>
        <w:br/>
      </w:r>
      <w:r>
        <w:rPr>
          <w:rFonts w:eastAsia="Times New Roman" w:cs="Times New Roman"/>
          <w:kern w:val="0"/>
          <w:sz w:val="18"/>
          <w:szCs w:val="18"/>
          <w14:ligatures w14:val="none"/>
        </w:rPr>
        <w:br/>
        <w:t>For all corresponding authors listed on the manuscript, please follow the instructions in the link below to link your ORCID to your account on our MTS before submitting the final version of the manuscript. If you do not yet have an ORCID you will be able to create one in minutes. </w:t>
      </w:r>
      <w:r>
        <w:rPr>
          <w:rFonts w:eastAsia="Times New Roman" w:cs="Times New Roman"/>
          <w:kern w:val="0"/>
          <w:sz w:val="18"/>
          <w:szCs w:val="18"/>
          <w14:ligatures w14:val="none"/>
        </w:rPr>
        <w:br/>
      </w:r>
      <w:hyperlink r:id="rId18">
        <w:r>
          <w:rPr>
            <w:rFonts w:eastAsia="Times New Roman" w:cs="Times New Roman"/>
            <w:color w:val="0000FF"/>
            <w:kern w:val="0"/>
            <w:sz w:val="18"/>
            <w:szCs w:val="18"/>
            <w:u w:val="single"/>
            <w14:ligatures w14:val="none"/>
          </w:rPr>
          <w:t>https://www.springernature.com/gp/researchers/orcid/orcid-for-nature-research</w:t>
        </w:r>
      </w:hyperlink>
      <w:r>
        <w:rPr>
          <w:rFonts w:eastAsia="Times New Roman" w:cs="Times New Roman"/>
          <w:kern w:val="0"/>
          <w:sz w:val="18"/>
          <w:szCs w:val="18"/>
          <w14:ligatures w14:val="none"/>
        </w:rPr>
        <w:br/>
      </w:r>
      <w:r>
        <w:rPr>
          <w:rFonts w:eastAsia="Times New Roman" w:cs="Times New Roman"/>
          <w:kern w:val="0"/>
          <w:sz w:val="18"/>
          <w:szCs w:val="18"/>
          <w14:ligatures w14:val="none"/>
        </w:rPr>
        <w:br/>
        <w:t>IMPORTANT: All authors identified as ‘corresponding author’ on the manuscript must follow these instructions. Non-corresponding authors do not have to link their ORCIDs but are encouraged to do so. Please note that it will not be possible to add/modify ORCIDs at proof. Thus, if they wish to have their ORCID added to the paper they must also follow the above procedure prior to acceptance.</w:t>
      </w:r>
      <w:r>
        <w:rPr>
          <w:rFonts w:eastAsia="Times New Roman" w:cs="Times New Roman"/>
          <w:kern w:val="0"/>
          <w:sz w:val="18"/>
          <w:szCs w:val="18"/>
          <w14:ligatures w14:val="none"/>
        </w:rPr>
        <w:br/>
      </w:r>
      <w:r>
        <w:rPr>
          <w:rFonts w:eastAsia="Times New Roman" w:cs="Times New Roman"/>
          <w:kern w:val="0"/>
          <w:sz w:val="18"/>
          <w:szCs w:val="18"/>
          <w14:ligatures w14:val="none"/>
        </w:rPr>
        <w:br/>
        <w:t>To support ORCID's aims, we only allow a single ORCID identifier to be attached to one account. If you have any issues attaching an ORCID identifier to your MTS account, please contact the </w:t>
      </w:r>
      <w:hyperlink r:id="rId19">
        <w:r>
          <w:rPr>
            <w:rFonts w:eastAsia="Times New Roman" w:cs="Times New Roman"/>
            <w:color w:val="0000FF"/>
            <w:kern w:val="0"/>
            <w:sz w:val="18"/>
            <w:szCs w:val="18"/>
            <w:u w:val="single"/>
            <w14:ligatures w14:val="none"/>
          </w:rPr>
          <w:t>Platform Support Helpdesk</w:t>
        </w:r>
      </w:hyperlink>
      <w:r>
        <w:rPr>
          <w:rFonts w:eastAsia="Times New Roman" w:cs="Times New Roman"/>
          <w:kern w:val="0"/>
          <w:sz w:val="18"/>
          <w:szCs w:val="18"/>
          <w14:ligatures w14:val="none"/>
        </w:rPr>
        <w:t>..</w:t>
      </w:r>
      <w:r>
        <w:rPr>
          <w:rFonts w:eastAsia="Times New Roman" w:cs="Times New Roman"/>
          <w:kern w:val="0"/>
          <w:sz w:val="18"/>
          <w:szCs w:val="18"/>
          <w14:ligatures w14:val="none"/>
        </w:rPr>
        <w:br/>
      </w:r>
      <w:r>
        <w:rPr>
          <w:rFonts w:eastAsia="Times New Roman" w:cs="Times New Roman"/>
          <w:kern w:val="0"/>
          <w:sz w:val="18"/>
          <w:szCs w:val="18"/>
          <w14:ligatures w14:val="none"/>
        </w:rPr>
        <w:br/>
        <w:t>Please do not hesitate to contact me if you have any questions or would like to discuss these revisions further.</w:t>
      </w:r>
      <w:r>
        <w:rPr>
          <w:rFonts w:eastAsia="Times New Roman" w:cs="Times New Roman"/>
          <w:kern w:val="0"/>
          <w:sz w:val="18"/>
          <w:szCs w:val="18"/>
          <w14:ligatures w14:val="none"/>
        </w:rPr>
        <w:br/>
      </w:r>
      <w:r>
        <w:rPr>
          <w:rFonts w:eastAsia="Times New Roman" w:cs="Times New Roman"/>
          <w:kern w:val="0"/>
          <w:sz w:val="18"/>
          <w:szCs w:val="18"/>
          <w14:ligatures w14:val="none"/>
        </w:rPr>
        <w:br/>
        <w:t>Sincerely, </w:t>
      </w:r>
      <w:r>
        <w:rPr>
          <w:rFonts w:eastAsia="Times New Roman" w:cs="Times New Roman"/>
          <w:kern w:val="0"/>
          <w:sz w:val="18"/>
          <w:szCs w:val="18"/>
          <w14:ligatures w14:val="none"/>
        </w:rPr>
        <w:br/>
      </w:r>
      <w:r>
        <w:rPr>
          <w:rFonts w:eastAsia="Times New Roman" w:cs="Times New Roman"/>
          <w:kern w:val="0"/>
          <w:sz w:val="18"/>
          <w:szCs w:val="18"/>
          <w14:ligatures w14:val="none"/>
        </w:rPr>
        <w:br/>
        <w:t>Neil Taylor</w:t>
      </w:r>
      <w:r>
        <w:rPr>
          <w:rFonts w:eastAsia="Times New Roman" w:cs="Times New Roman"/>
          <w:kern w:val="0"/>
          <w:sz w:val="18"/>
          <w:szCs w:val="18"/>
          <w14:ligatures w14:val="none"/>
        </w:rPr>
        <w:br/>
        <w:t>Locum Associate Editor, Nature Protocols</w:t>
      </w:r>
      <w:r>
        <w:rPr>
          <w:rFonts w:eastAsia="Times New Roman" w:cs="Times New Roman"/>
          <w:kern w:val="0"/>
          <w:sz w:val="18"/>
          <w:szCs w:val="18"/>
          <w14:ligatures w14:val="none"/>
        </w:rPr>
        <w:br/>
      </w:r>
      <w:hyperlink r:id="rId20">
        <w:r>
          <w:rPr>
            <w:rFonts w:eastAsia="Times New Roman" w:cs="Times New Roman"/>
            <w:color w:val="0000FF"/>
            <w:kern w:val="0"/>
            <w:sz w:val="18"/>
            <w:szCs w:val="18"/>
            <w:u w:val="single"/>
            <w14:ligatures w14:val="none"/>
          </w:rPr>
          <w:t>http://www.nature.com/nprot/index.html</w:t>
        </w:r>
      </w:hyperlink>
      <w:r>
        <w:rPr>
          <w:rFonts w:eastAsia="Times New Roman" w:cs="Times New Roman"/>
          <w:kern w:val="0"/>
          <w:sz w:val="18"/>
          <w:szCs w:val="18"/>
          <w14:ligatures w14:val="none"/>
        </w:rPr>
        <w:t> </w:t>
      </w:r>
      <w:r>
        <w:rPr>
          <w:rFonts w:eastAsia="Times New Roman" w:cs="Times New Roman"/>
          <w:kern w:val="0"/>
          <w:sz w:val="18"/>
          <w:szCs w:val="18"/>
          <w14:ligatures w14:val="none"/>
        </w:rPr>
        <w:br/>
      </w:r>
      <w:r>
        <w:rPr>
          <w:rFonts w:eastAsia="Times New Roman" w:cs="Times New Roman"/>
          <w:kern w:val="0"/>
          <w:sz w:val="18"/>
          <w:szCs w:val="18"/>
          <w14:ligatures w14:val="none"/>
        </w:rPr>
        <w:br/>
        <w:t>Reviewers' Comments: </w:t>
      </w:r>
      <w:r>
        <w:rPr>
          <w:rFonts w:eastAsia="Times New Roman" w:cs="Times New Roman"/>
          <w:kern w:val="0"/>
          <w:sz w:val="18"/>
          <w:szCs w:val="18"/>
          <w14:ligatures w14:val="none"/>
        </w:rPr>
        <w:br/>
      </w:r>
      <w:r>
        <w:rPr>
          <w:rFonts w:eastAsia="Times New Roman" w:cs="Times New Roman"/>
          <w:kern w:val="0"/>
          <w:sz w:val="18"/>
          <w:szCs w:val="18"/>
          <w14:ligatures w14:val="none"/>
        </w:rPr>
        <w:br/>
        <w:t>Reviewer #1:</w:t>
      </w:r>
      <w:r>
        <w:rPr>
          <w:rFonts w:eastAsia="Times New Roman" w:cs="Times New Roman"/>
          <w:kern w:val="0"/>
          <w:sz w:val="18"/>
          <w:szCs w:val="18"/>
          <w14:ligatures w14:val="none"/>
        </w:rPr>
        <w:br/>
        <w:t>Comments for the Author:</w:t>
      </w:r>
      <w:r>
        <w:rPr>
          <w:rFonts w:eastAsia="Times New Roman" w:cs="Times New Roman"/>
          <w:kern w:val="0"/>
          <w:sz w:val="18"/>
          <w:szCs w:val="18"/>
          <w14:ligatures w14:val="none"/>
        </w:rPr>
        <w:br/>
        <w:t>The manuscript presents DELT-Hit, a comprehensive and open-source computational framework for the analysis of DNA-encoded library (DEL) screening data. The development of a standardized, end-to-end pipeline that integrates established tools into a user-friendly package will undoubtedly foster reproducibility and broader adoption of DEL. The manuscript is well-structured as a detailed protocol and I am supportive of its publication in Nature Protocols following a major revision to address the points below.</w:t>
      </w:r>
      <w:r>
        <w:rPr>
          <w:rFonts w:eastAsia="Times New Roman" w:cs="Times New Roman"/>
          <w:kern w:val="0"/>
          <w:sz w:val="18"/>
          <w:szCs w:val="18"/>
          <w14:ligatures w14:val="none"/>
        </w:rPr>
        <w:br/>
      </w:r>
      <w:r>
        <w:rPr>
          <w:rFonts w:eastAsia="Times New Roman" w:cs="Times New Roman"/>
          <w:kern w:val="0"/>
          <w:sz w:val="18"/>
          <w:szCs w:val="18"/>
          <w14:ligatures w14:val="none"/>
        </w:rPr>
        <w:br/>
        <w:t>Major Points:</w:t>
      </w:r>
      <w:r>
        <w:rPr>
          <w:rFonts w:eastAsia="Times New Roman" w:cs="Times New Roman"/>
          <w:kern w:val="0"/>
          <w:sz w:val="18"/>
          <w:szCs w:val="18"/>
          <w14:ligatures w14:val="none"/>
        </w:rPr>
        <w:br/>
        <w:t>1. Further validation of DELT-Hit on cited case studies. The “Applications of the method” section references several previous publications from the co-coresponding author. However, the analysis of sequencing data in those publications did not mention DELT-Hit (e.g., cited in 38: Favalli et al., Nat. Chem. 2021, was performed using C++ program “count.cpp”). It is suggested to conduct a new analysis of at least one of these published datasets using DELT-Hit to robustly demonstrate accuracy and utility of DELT-Hit. A table comparing key results between the original method and DELT-Hit output would powerfully validate the performance and reliability of DELT-Hit.</w:t>
      </w:r>
    </w:p>
    <w:p w14:paraId="58749397" w14:textId="77777777" w:rsidR="009C31E5" w:rsidRDefault="00000000">
      <w:pPr>
        <w:spacing w:after="240" w:line="240" w:lineRule="auto"/>
        <w:rPr>
          <w:rFonts w:eastAsia="Times New Roman" w:cs="Times New Roman"/>
          <w:kern w:val="0"/>
          <w:sz w:val="18"/>
          <w:szCs w:val="18"/>
          <w14:ligatures w14:val="none"/>
        </w:rPr>
      </w:pPr>
      <w:r>
        <w:rPr>
          <w:rFonts w:eastAsia="Times New Roman" w:cs="Times New Roman"/>
          <w:color w:val="77206D" w:themeColor="accent5" w:themeShade="BF"/>
          <w:kern w:val="0"/>
          <w:sz w:val="18"/>
          <w:szCs w:val="18"/>
          <w14:ligatures w14:val="none"/>
        </w:rPr>
        <w:t>Use original datasets used in the Nat Chem 2021 publication (and potentially the other publications mentioned) and re-analyse with DELT-Hit, get raw counts and compare with original results. Mention that DELT-Hit allows additional analysis and evaluation steps.</w:t>
      </w:r>
      <w:r>
        <w:rPr>
          <w:rFonts w:eastAsia="Times New Roman" w:cs="Times New Roman"/>
          <w:color w:val="77206D" w:themeColor="accent5" w:themeShade="BF"/>
          <w:kern w:val="0"/>
          <w:sz w:val="18"/>
          <w:szCs w:val="18"/>
          <w14:ligatures w14:val="none"/>
        </w:rPr>
        <w:br/>
        <w:t>Jörg:</w:t>
      </w:r>
      <w:r>
        <w:rPr>
          <w:rFonts w:eastAsia="Times New Roman" w:cs="Times New Roman"/>
          <w:color w:val="FFC000"/>
          <w:kern w:val="0"/>
          <w:sz w:val="18"/>
          <w:szCs w:val="18"/>
          <w14:ligatures w14:val="none"/>
        </w:rPr>
        <w:t xml:space="preserve"> </w:t>
      </w:r>
      <w:r>
        <w:rPr>
          <w:rFonts w:eastAsia="Times New Roman" w:cs="Times New Roman"/>
          <w:color w:val="000000" w:themeColor="text1"/>
          <w:kern w:val="0"/>
          <w:sz w:val="18"/>
          <w:szCs w:val="18"/>
          <w14:ligatures w14:val="none"/>
        </w:rPr>
        <w:t>Provide AM with fastq files, excel files, original counts files for original selection results in Nat Chem 2021of NF2 library</w:t>
      </w:r>
      <w:r>
        <w:rPr>
          <w:rFonts w:eastAsia="Times New Roman" w:cs="Times New Roman"/>
          <w:color w:val="000000" w:themeColor="text1"/>
          <w:kern w:val="0"/>
          <w:sz w:val="18"/>
          <w:szCs w:val="18"/>
          <w14:ligatures w14:val="none"/>
        </w:rPr>
        <w:br/>
      </w:r>
      <w:r>
        <w:rPr>
          <w:rFonts w:eastAsia="Times New Roman" w:cs="Times New Roman"/>
          <w:color w:val="77206D" w:themeColor="accent5" w:themeShade="BF"/>
          <w:kern w:val="0"/>
          <w:sz w:val="18"/>
          <w:szCs w:val="18"/>
          <w14:ligatures w14:val="none"/>
        </w:rPr>
        <w:t xml:space="preserve">Adriano: </w:t>
      </w:r>
      <w:r>
        <w:rPr>
          <w:rFonts w:eastAsia="Times New Roman" w:cs="Times New Roman"/>
          <w:color w:val="000000" w:themeColor="text1"/>
          <w:kern w:val="0"/>
          <w:sz w:val="18"/>
          <w:szCs w:val="18"/>
          <w14:ligatures w14:val="none"/>
        </w:rPr>
        <w:t>Re-run with DELT-Hit and compare counts with original results in cited publication</w:t>
      </w:r>
      <w:r>
        <w:rPr>
          <w:rFonts w:eastAsia="Times New Roman" w:cs="Times New Roman"/>
          <w:color w:val="77206D" w:themeColor="accent5" w:themeShade="BF"/>
          <w:kern w:val="0"/>
          <w:sz w:val="18"/>
          <w:szCs w:val="18"/>
          <w14:ligatures w14:val="none"/>
        </w:rPr>
        <w:br/>
      </w:r>
      <w:r>
        <w:rPr>
          <w:rFonts w:eastAsia="Times New Roman" w:cs="Times New Roman"/>
          <w:kern w:val="0"/>
          <w:sz w:val="18"/>
          <w:szCs w:val="18"/>
          <w14:ligatures w14:val="none"/>
        </w:rPr>
        <w:br/>
        <w:t>2. More comprehensive comparison with existing tools (DELi) in the “Comparison with other methods” section. It is suggested that the authors expand this section to include a more detailed and informative comparison, which would help readers better understand the relative advantages and potential complementarity of DELT-Hit.</w:t>
      </w:r>
    </w:p>
    <w:p w14:paraId="0B4EE31F" w14:textId="77777777" w:rsidR="009C31E5" w:rsidRDefault="00000000">
      <w:pPr>
        <w:spacing w:after="240" w:line="240" w:lineRule="auto"/>
        <w:rPr>
          <w:rFonts w:eastAsia="Times New Roman" w:cs="Times New Roman"/>
          <w:kern w:val="0"/>
          <w:sz w:val="18"/>
          <w:szCs w:val="18"/>
          <w14:ligatures w14:val="none"/>
        </w:rPr>
      </w:pPr>
      <w:r>
        <w:rPr>
          <w:rFonts w:eastAsia="Times New Roman" w:cs="Times New Roman"/>
          <w:color w:val="77206D" w:themeColor="accent5" w:themeShade="BF"/>
          <w:kern w:val="0"/>
          <w:sz w:val="18"/>
          <w:szCs w:val="18"/>
          <w14:ligatures w14:val="none"/>
        </w:rPr>
        <w:t>Run DELi on synthetic libraries, compare technical stats, compare user friendliness.</w:t>
      </w:r>
      <w:r>
        <w:rPr>
          <w:rFonts w:eastAsia="Times New Roman" w:cs="Times New Roman"/>
          <w:color w:val="77206D" w:themeColor="accent5" w:themeShade="BF"/>
          <w:kern w:val="0"/>
          <w:sz w:val="18"/>
          <w:szCs w:val="18"/>
          <w14:ligatures w14:val="none"/>
        </w:rPr>
        <w:br/>
        <w:t>Leandro:</w:t>
      </w:r>
      <w:r>
        <w:rPr>
          <w:rFonts w:eastAsia="Times New Roman" w:cs="Times New Roman"/>
          <w:color w:val="FFC000"/>
          <w:kern w:val="0"/>
          <w:sz w:val="18"/>
          <w:szCs w:val="18"/>
          <w14:ligatures w14:val="none"/>
        </w:rPr>
        <w:t xml:space="preserve"> </w:t>
      </w:r>
      <w:r>
        <w:rPr>
          <w:rFonts w:eastAsia="Times New Roman" w:cs="Times New Roman"/>
          <w:color w:val="000000" w:themeColor="text1"/>
          <w:kern w:val="0"/>
          <w:sz w:val="18"/>
          <w:szCs w:val="18"/>
          <w14:ligatures w14:val="none"/>
        </w:rPr>
        <w:t xml:space="preserve">Set scoring </w:t>
      </w:r>
      <w:r>
        <w:rPr>
          <w:rFonts w:eastAsia="Times New Roman" w:cs="Times New Roman"/>
          <w:color w:val="000000" w:themeColor="text1"/>
          <w:kern w:val="0"/>
          <w:sz w:val="18"/>
          <w:szCs w:val="18"/>
          <w14:ligatures w14:val="none"/>
        </w:rPr>
        <w:br/>
      </w:r>
      <w:r>
        <w:rPr>
          <w:rFonts w:eastAsia="Times New Roman" w:cs="Times New Roman"/>
          <w:color w:val="77206D" w:themeColor="accent5" w:themeShade="BF"/>
          <w:kern w:val="0"/>
          <w:sz w:val="18"/>
          <w:szCs w:val="18"/>
          <w14:ligatures w14:val="none"/>
        </w:rPr>
        <w:t xml:space="preserve">Adriano: </w:t>
      </w:r>
      <w:r>
        <w:rPr>
          <w:rFonts w:eastAsia="Times New Roman" w:cs="Times New Roman"/>
          <w:color w:val="000000" w:themeColor="text1"/>
          <w:kern w:val="0"/>
          <w:sz w:val="18"/>
          <w:szCs w:val="18"/>
          <w14:ligatures w14:val="none"/>
        </w:rPr>
        <w:t>Run both DELi and DELT-Hit with synthetic libraries and compare stats, speed up enumeration.</w:t>
      </w:r>
      <w:r>
        <w:rPr>
          <w:rFonts w:eastAsia="Times New Roman" w:cs="Times New Roman"/>
          <w:color w:val="77206D" w:themeColor="accent5" w:themeShade="BF"/>
          <w:kern w:val="0"/>
          <w:sz w:val="18"/>
          <w:szCs w:val="18"/>
          <w14:ligatures w14:val="none"/>
        </w:rPr>
        <w:br/>
      </w:r>
      <w:r>
        <w:rPr>
          <w:rFonts w:eastAsia="Times New Roman" w:cs="Times New Roman"/>
          <w:kern w:val="0"/>
          <w:sz w:val="18"/>
          <w:szCs w:val="18"/>
          <w14:ligatures w14:val="none"/>
        </w:rPr>
        <w:br/>
        <w:t xml:space="preserve">3. Additional clarification on the use of edgeR for DEL sequencing data analysis. The manuscript states that DELT-Hit employs edgeR for enrichment analysis. EdgeR is primarily developed for differential expression analysis of gene </w:t>
      </w:r>
      <w:r>
        <w:rPr>
          <w:rFonts w:eastAsia="Times New Roman" w:cs="Times New Roman"/>
          <w:kern w:val="0"/>
          <w:sz w:val="18"/>
          <w:szCs w:val="18"/>
          <w14:ligatures w14:val="none"/>
        </w:rPr>
        <w:lastRenderedPageBreak/>
        <w:t>expression data in RNA-seq, whereas DEL sequencing data are often relatively sparse and may lack standard biological replicates. It is suggested that the authors provide additional discussion or supporting data to further justify the applicability of edgeR for DEL data analysis.</w:t>
      </w:r>
    </w:p>
    <w:p w14:paraId="6C6BD8E0" w14:textId="77777777" w:rsidR="009C31E5" w:rsidRDefault="00000000">
      <w:pPr>
        <w:spacing w:after="240" w:line="240" w:lineRule="auto"/>
        <w:rPr>
          <w:rFonts w:eastAsia="Times New Roman" w:cs="Times New Roman"/>
          <w:kern w:val="0"/>
          <w:sz w:val="18"/>
          <w:szCs w:val="18"/>
          <w14:ligatures w14:val="none"/>
        </w:rPr>
      </w:pPr>
      <w:r>
        <w:rPr>
          <w:rFonts w:eastAsia="Times New Roman" w:cs="Times New Roman"/>
          <w:color w:val="77206D" w:themeColor="accent5" w:themeShade="BF"/>
          <w:kern w:val="0"/>
          <w:sz w:val="18"/>
          <w:szCs w:val="18"/>
          <w14:ligatures w14:val="none"/>
        </w:rPr>
        <w:t>Need to show on NF library that different scoring methods (esp. EdgeR) enables robust retrieval of positive controls, potentially use new dataset with triplicates</w:t>
      </w:r>
      <w:r>
        <w:rPr>
          <w:rFonts w:eastAsia="Times New Roman" w:cs="Times New Roman"/>
          <w:color w:val="77206D" w:themeColor="accent5" w:themeShade="BF"/>
          <w:kern w:val="0"/>
          <w:sz w:val="18"/>
          <w:szCs w:val="18"/>
          <w14:ligatures w14:val="none"/>
        </w:rPr>
        <w:br/>
        <w:t xml:space="preserve">Jörg: </w:t>
      </w:r>
      <w:r>
        <w:rPr>
          <w:rFonts w:eastAsia="Times New Roman" w:cs="Times New Roman"/>
          <w:color w:val="000000" w:themeColor="text1"/>
          <w:kern w:val="0"/>
          <w:sz w:val="18"/>
          <w:szCs w:val="18"/>
          <w14:ligatures w14:val="none"/>
        </w:rPr>
        <w:t>Provide AM with files and info on positive controls (compound IDs etc.)</w:t>
      </w:r>
      <w:r>
        <w:rPr>
          <w:rFonts w:eastAsia="Times New Roman" w:cs="Times New Roman"/>
          <w:color w:val="000000" w:themeColor="text1"/>
          <w:kern w:val="0"/>
          <w:sz w:val="18"/>
          <w:szCs w:val="18"/>
          <w14:ligatures w14:val="none"/>
        </w:rPr>
        <w:br/>
      </w:r>
      <w:r>
        <w:rPr>
          <w:rFonts w:eastAsia="Times New Roman" w:cs="Times New Roman"/>
          <w:color w:val="77206D" w:themeColor="accent5" w:themeShade="BF"/>
          <w:kern w:val="0"/>
          <w:sz w:val="18"/>
          <w:szCs w:val="18"/>
          <w14:ligatures w14:val="none"/>
        </w:rPr>
        <w:t xml:space="preserve">Adriano: </w:t>
      </w:r>
      <w:r>
        <w:rPr>
          <w:rFonts w:eastAsia="Times New Roman" w:cs="Times New Roman"/>
          <w:color w:val="000000" w:themeColor="text1"/>
          <w:kern w:val="0"/>
          <w:sz w:val="18"/>
          <w:szCs w:val="18"/>
          <w14:ligatures w14:val="none"/>
        </w:rPr>
        <w:t>Compare original  results and draw conclusions</w:t>
      </w:r>
      <w:r>
        <w:rPr>
          <w:rFonts w:eastAsia="Times New Roman" w:cs="Times New Roman"/>
          <w:color w:val="000000" w:themeColor="text1"/>
          <w:kern w:val="0"/>
          <w:sz w:val="18"/>
          <w:szCs w:val="18"/>
          <w14:ligatures w14:val="none"/>
        </w:rPr>
        <w:br/>
      </w:r>
      <w:r>
        <w:rPr>
          <w:rFonts w:eastAsia="Times New Roman" w:cs="Times New Roman"/>
          <w:kern w:val="0"/>
          <w:sz w:val="18"/>
          <w:szCs w:val="18"/>
          <w14:ligatures w14:val="none"/>
        </w:rPr>
        <w:br/>
        <w:t>4. Language and formatting improvements. It is suggested that the manuscript undergo careful proofreading to ensure consistency in terminology and overall readability.</w:t>
      </w:r>
      <w:r>
        <w:rPr>
          <w:rFonts w:eastAsia="Times New Roman" w:cs="Times New Roman"/>
          <w:kern w:val="0"/>
          <w:sz w:val="18"/>
          <w:szCs w:val="18"/>
          <w14:ligatures w14:val="none"/>
        </w:rPr>
        <w:br/>
      </w:r>
      <w:r>
        <w:rPr>
          <w:rFonts w:eastAsia="Times New Roman" w:cs="Times New Roman"/>
          <w:kern w:val="0"/>
          <w:sz w:val="18"/>
          <w:szCs w:val="18"/>
          <w14:ligatures w14:val="none"/>
        </w:rPr>
        <w:br/>
      </w:r>
      <w:r>
        <w:rPr>
          <w:rFonts w:eastAsia="Times New Roman" w:cs="Times New Roman"/>
          <w:kern w:val="0"/>
          <w:sz w:val="18"/>
          <w:szCs w:val="18"/>
          <w14:ligatures w14:val="none"/>
        </w:rPr>
        <w:br/>
      </w:r>
      <w:r>
        <w:rPr>
          <w:rFonts w:eastAsia="Times New Roman" w:cs="Times New Roman"/>
          <w:kern w:val="0"/>
          <w:sz w:val="18"/>
          <w:szCs w:val="18"/>
          <w14:ligatures w14:val="none"/>
        </w:rPr>
        <w:br/>
        <w:t>Reviewer #2:</w:t>
      </w:r>
      <w:r>
        <w:rPr>
          <w:rFonts w:eastAsia="Times New Roman" w:cs="Times New Roman"/>
          <w:kern w:val="0"/>
          <w:sz w:val="18"/>
          <w:szCs w:val="18"/>
          <w14:ligatures w14:val="none"/>
        </w:rPr>
        <w:br/>
        <w:t>Comments for the Author:</w:t>
      </w:r>
      <w:r>
        <w:rPr>
          <w:rFonts w:eastAsia="Times New Roman" w:cs="Times New Roman"/>
          <w:kern w:val="0"/>
          <w:sz w:val="18"/>
          <w:szCs w:val="18"/>
          <w14:ligatures w14:val="none"/>
        </w:rPr>
        <w:br/>
        <w:t>This study presents an innovative technology platform, DELT-Hit, which provides a comprehensive open-source solution for the computational analysis of DNA-encoded chemical library screening data. The platform enables the parsing of sequencing data through optimized algorithms, constructs virtual chemical libraries using SMILES and SMIRKS representations, and achieves systematic statistical ranking of candidate compounds by calculating molecular descriptors and physicochemical properties in combination with multi-normalization strategies adapted from RNA-seq analysis. DELT-Hit supports a wide range of library designs—from simple two-cycle libraries to complex multi-branch synthetic schemes—in an open-source format, provides standardized SMILES output for library members, and integrates comprehensive quality control metrics throughout the analytical workflow. Overall, DELT-Hit facilitates the conversion of sequencing data into actionable chemical information, offers robust support for downstream computational analysis and drug discovery research, and expands the potential application of DNA-encoded chemical libraries in machine learning–driven drug discovery. This manuscript is recommended to publish after minor revision . </w:t>
      </w:r>
      <w:r>
        <w:rPr>
          <w:rFonts w:eastAsia="Times New Roman" w:cs="Times New Roman"/>
          <w:kern w:val="0"/>
          <w:sz w:val="18"/>
          <w:szCs w:val="18"/>
          <w14:ligatures w14:val="none"/>
        </w:rPr>
        <w:br/>
      </w:r>
      <w:r>
        <w:rPr>
          <w:rFonts w:eastAsia="Times New Roman" w:cs="Times New Roman"/>
          <w:kern w:val="0"/>
          <w:sz w:val="18"/>
          <w:szCs w:val="18"/>
          <w14:ligatures w14:val="none"/>
        </w:rPr>
        <w:br/>
      </w:r>
      <w:r>
        <w:rPr>
          <w:rFonts w:eastAsia="Times New Roman" w:cs="Times New Roman"/>
          <w:kern w:val="0"/>
          <w:sz w:val="18"/>
          <w:szCs w:val="18"/>
          <w14:ligatures w14:val="none"/>
        </w:rPr>
        <w:br/>
        <w:t>It is recommended that the authors further improve and supplement the content and experimental results of the manuscript in the following aspects:</w:t>
      </w:r>
      <w:r>
        <w:rPr>
          <w:rFonts w:eastAsia="Times New Roman" w:cs="Times New Roman"/>
          <w:kern w:val="0"/>
          <w:sz w:val="18"/>
          <w:szCs w:val="18"/>
          <w14:ligatures w14:val="none"/>
        </w:rPr>
        <w:br/>
        <w:t>1</w:t>
      </w:r>
      <w:r>
        <w:rPr>
          <w:rFonts w:eastAsia="PingFang TC" w:cs="PingFang TC"/>
          <w:kern w:val="0"/>
          <w:sz w:val="18"/>
          <w:szCs w:val="18"/>
          <w14:ligatures w14:val="none"/>
        </w:rPr>
        <w:t>）</w:t>
      </w:r>
      <w:r>
        <w:rPr>
          <w:rFonts w:eastAsia="Times New Roman" w:cs="Times New Roman"/>
          <w:kern w:val="0"/>
          <w:sz w:val="18"/>
          <w:szCs w:val="18"/>
          <w14:ligatures w14:val="none"/>
        </w:rPr>
        <w:t>Table 14.1 provides timing estimates for different dataset sizes, offering a useful reference for assessing computational cost. However, in the “Applications of the method” section, the authors present several specific library examples that were successfully analyzed yet do not indicate the actual computational time required for each case in the overall workflow. This raises two questions worth considering: First, for libraries of different sizes, does the actual runtime distribution across analysis steps (e.g., enumeration, property calculation, structure generation) align with the trends estimated in Table 14.1? Second, as library size further increases or synthetic architectures become more complex, will computational time exhibit non-linear scaling? It is recommended that each application example be annotated with the approximate time required, to enable a more comprehensive assessment of the practicality and scalability of DELT-Hit.</w:t>
      </w:r>
      <w:r>
        <w:rPr>
          <w:rFonts w:eastAsia="Times New Roman" w:cs="Times New Roman"/>
          <w:kern w:val="0"/>
          <w:sz w:val="18"/>
          <w:szCs w:val="18"/>
          <w14:ligatures w14:val="none"/>
        </w:rPr>
        <w:br/>
      </w:r>
      <w:r>
        <w:rPr>
          <w:rFonts w:eastAsia="Times New Roman" w:cs="Times New Roman"/>
          <w:kern w:val="0"/>
          <w:sz w:val="18"/>
          <w:szCs w:val="18"/>
          <w14:ligatures w14:val="none"/>
        </w:rPr>
        <w:br/>
      </w:r>
      <w:r>
        <w:rPr>
          <w:rFonts w:eastAsia="Times New Roman" w:cs="Times New Roman"/>
          <w:color w:val="77206D" w:themeColor="accent5" w:themeShade="BF"/>
          <w:kern w:val="0"/>
          <w:sz w:val="18"/>
          <w:szCs w:val="18"/>
          <w14:ligatures w14:val="none"/>
        </w:rPr>
        <w:t>See Reviewer 1 comment 2</w:t>
      </w:r>
      <w:r>
        <w:rPr>
          <w:rFonts w:eastAsia="Times New Roman" w:cs="Times New Roman"/>
          <w:kern w:val="0"/>
          <w:sz w:val="18"/>
          <w:szCs w:val="18"/>
          <w14:ligatures w14:val="none"/>
        </w:rPr>
        <w:br/>
      </w:r>
      <w:r>
        <w:rPr>
          <w:rFonts w:eastAsia="Times New Roman" w:cs="Times New Roman"/>
          <w:kern w:val="0"/>
          <w:sz w:val="18"/>
          <w:szCs w:val="18"/>
          <w14:ligatures w14:val="none"/>
        </w:rPr>
        <w:br/>
        <w:t>2</w:t>
      </w:r>
      <w:r>
        <w:rPr>
          <w:rFonts w:eastAsia="PingFang TC" w:cs="PingFang TC"/>
          <w:kern w:val="0"/>
          <w:sz w:val="18"/>
          <w:szCs w:val="18"/>
          <w14:ligatures w14:val="none"/>
        </w:rPr>
        <w:t>）</w:t>
      </w:r>
      <w:r>
        <w:rPr>
          <w:rFonts w:eastAsia="Times New Roman" w:cs="Times New Roman"/>
          <w:kern w:val="0"/>
          <w:sz w:val="18"/>
          <w:szCs w:val="18"/>
          <w14:ligatures w14:val="none"/>
        </w:rPr>
        <w:t>In the “Comparison with other methods” section, the article makes a qualitative comparison with commercial closed-source platforms, CRO services, and the open-source framework DELi, effectively demonstrating DELT-Hit’s advantages in transparency, modularity, and functional completeness. However, the overall discussion remains largely qualitative and lacks quantitative performance comparisons against other frameworks—especially DELi—using the same benchmark datasets. For example, numerical comparisons of key metrics such as the reliability of enrichment analysis methods and consistency across experimental replicates are not provided. Including such quantitative comparisons would more strongly support the practical improvements of DELT-Hit in terms of accuracy, reproducibility, and automation.</w:t>
      </w:r>
      <w:r>
        <w:rPr>
          <w:rFonts w:eastAsia="Times New Roman" w:cs="Times New Roman"/>
          <w:kern w:val="0"/>
          <w:sz w:val="18"/>
          <w:szCs w:val="18"/>
          <w14:ligatures w14:val="none"/>
        </w:rPr>
        <w:br/>
      </w:r>
      <w:r>
        <w:rPr>
          <w:rFonts w:eastAsia="Times New Roman" w:cs="Times New Roman"/>
          <w:kern w:val="0"/>
          <w:sz w:val="18"/>
          <w:szCs w:val="18"/>
          <w14:ligatures w14:val="none"/>
        </w:rPr>
        <w:br/>
      </w:r>
      <w:r>
        <w:rPr>
          <w:rFonts w:eastAsia="Times New Roman" w:cs="Times New Roman"/>
          <w:color w:val="77206D" w:themeColor="accent5" w:themeShade="BF"/>
          <w:kern w:val="0"/>
          <w:sz w:val="18"/>
          <w:szCs w:val="18"/>
          <w14:ligatures w14:val="none"/>
        </w:rPr>
        <w:t>Only DELi exists as competing tool, see previous comment.</w:t>
      </w:r>
      <w:r>
        <w:rPr>
          <w:rFonts w:eastAsia="Times New Roman" w:cs="Times New Roman"/>
          <w:color w:val="77206D" w:themeColor="accent5" w:themeShade="BF"/>
          <w:kern w:val="0"/>
          <w:sz w:val="18"/>
          <w:szCs w:val="18"/>
          <w14:ligatures w14:val="none"/>
        </w:rPr>
        <w:br/>
      </w:r>
      <w:r>
        <w:rPr>
          <w:rFonts w:eastAsia="Times New Roman" w:cs="Times New Roman"/>
          <w:kern w:val="0"/>
          <w:sz w:val="18"/>
          <w:szCs w:val="18"/>
          <w14:ligatures w14:val="none"/>
        </w:rPr>
        <w:br/>
        <w:t>Reviewer #3:</w:t>
      </w:r>
      <w:r>
        <w:rPr>
          <w:rFonts w:eastAsia="Times New Roman" w:cs="Times New Roman"/>
          <w:kern w:val="0"/>
          <w:sz w:val="18"/>
          <w:szCs w:val="18"/>
          <w14:ligatures w14:val="none"/>
        </w:rPr>
        <w:br/>
        <w:t xml:space="preserve">The Protocol of Martinelli et al. presents DELT-Hit, an open-source, end-to-end computational framework for DNA-encoded chemical library (DEL) analysis. The Protocol uses sequence processing, chemical reconstruction, molecular descriptor calculation, statistical enrichment analysis, and visualization and integrates them into a unified and modular pipeline. This addresses a clear and important need in the DEL field, where analysis workflows are often available as in parts or rely on proprietary solutions. The Scheuermann group has a long track record in DEL technology, including their former Nature Protocols publication on automated DEL selections (2016), so the present work represents a natural and valuable extension of this expertise into the computational domain for analysis. The </w:t>
      </w:r>
      <w:r>
        <w:rPr>
          <w:rFonts w:eastAsia="Times New Roman" w:cs="Times New Roman"/>
          <w:kern w:val="0"/>
          <w:sz w:val="18"/>
          <w:szCs w:val="18"/>
          <w14:ligatures w14:val="none"/>
        </w:rPr>
        <w:lastRenderedPageBreak/>
        <w:t>protocol is comprehensive, well structured, and written in a highly practical manner, with detailed step-by-step instructions that makes it accessible to both computational and experimental DEL researchers. The integration of established and widely trusted tools such as Cutadapt, RDKit, and edgeR is a particular strength, as it builds on validated methodologies while adjusting them to the DEL case. The modular architecture and generation of machine-learning-ready outputs further enhance the potential impact of the framework, particularly for groups interested in downstream modeling and structure–activity relationship analysis. In summary, the Protocol represents a valuable and timely contribution that is likely to be of broad interest to the wider DEL community. While the manuscript is already clear and publishable, some minor clarifications and additions (see below) would further strengthen its positioning, improve usability, and ensure clarity.</w:t>
      </w:r>
      <w:r>
        <w:rPr>
          <w:rFonts w:eastAsia="Times New Roman" w:cs="Times New Roman"/>
          <w:kern w:val="0"/>
          <w:sz w:val="18"/>
          <w:szCs w:val="18"/>
          <w14:ligatures w14:val="none"/>
        </w:rPr>
        <w:br/>
      </w:r>
      <w:r>
        <w:rPr>
          <w:rFonts w:eastAsia="Times New Roman" w:cs="Times New Roman"/>
          <w:kern w:val="0"/>
          <w:sz w:val="18"/>
          <w:szCs w:val="18"/>
          <w14:ligatures w14:val="none"/>
        </w:rPr>
        <w:br/>
        <w:t>Major comments:</w:t>
      </w:r>
      <w:r>
        <w:rPr>
          <w:rFonts w:eastAsia="Times New Roman" w:cs="Times New Roman"/>
          <w:kern w:val="0"/>
          <w:sz w:val="18"/>
          <w:szCs w:val="18"/>
          <w14:ligatures w14:val="none"/>
        </w:rPr>
        <w:br/>
        <w:t>1) Replace strong claims with a more nuanced statement acknowledging existing tools such as DELi while emphasizing the integrated nature of DELT-Hit.</w:t>
      </w:r>
    </w:p>
    <w:p w14:paraId="006C078F" w14:textId="77777777" w:rsidR="009C31E5" w:rsidRDefault="00000000">
      <w:pPr>
        <w:spacing w:after="240" w:line="240" w:lineRule="auto"/>
        <w:rPr>
          <w:rFonts w:eastAsia="Times New Roman" w:cs="Times New Roman"/>
          <w:kern w:val="0"/>
          <w:sz w:val="18"/>
          <w:szCs w:val="18"/>
          <w14:ligatures w14:val="none"/>
        </w:rPr>
      </w:pPr>
      <w:r>
        <w:rPr>
          <w:rFonts w:eastAsia="Times New Roman" w:cs="Times New Roman"/>
          <w:kern w:val="0"/>
          <w:sz w:val="18"/>
          <w:szCs w:val="18"/>
          <w14:ligatures w14:val="none"/>
        </w:rPr>
        <w:br/>
        <w:t>2) Explicitly state that the presented case studies demonstrate robustness and applicability across diverse DEL architectures.</w:t>
      </w:r>
    </w:p>
    <w:p w14:paraId="4B6AA7EE" w14:textId="77777777" w:rsidR="009C31E5" w:rsidRDefault="00000000">
      <w:pPr>
        <w:spacing w:after="240" w:line="240" w:lineRule="auto"/>
        <w:rPr>
          <w:rFonts w:eastAsia="Times New Roman" w:cs="Times New Roman"/>
          <w:kern w:val="0"/>
          <w:sz w:val="18"/>
          <w:szCs w:val="18"/>
          <w14:ligatures w14:val="none"/>
        </w:rPr>
      </w:pPr>
      <w:r>
        <w:rPr>
          <w:rFonts w:eastAsia="Times New Roman" w:cs="Times New Roman"/>
          <w:color w:val="77206D" w:themeColor="accent5" w:themeShade="BF"/>
          <w:kern w:val="0"/>
          <w:sz w:val="18"/>
          <w:szCs w:val="18"/>
          <w14:ligatures w14:val="none"/>
        </w:rPr>
        <w:t>Dual-display architectures:</w:t>
      </w:r>
      <w:r>
        <w:rPr>
          <w:rFonts w:eastAsia="Times New Roman" w:cs="Times New Roman"/>
          <w:color w:val="77206D" w:themeColor="accent5" w:themeShade="BF"/>
          <w:kern w:val="0"/>
          <w:sz w:val="18"/>
          <w:szCs w:val="18"/>
          <w14:ligatures w14:val="none"/>
        </w:rPr>
        <w:br/>
        <w:t xml:space="preserve">Alice: </w:t>
      </w:r>
      <w:r>
        <w:rPr>
          <w:rFonts w:eastAsia="Times New Roman" w:cs="Times New Roman"/>
          <w:color w:val="000000" w:themeColor="text1"/>
          <w:kern w:val="0"/>
          <w:sz w:val="18"/>
          <w:szCs w:val="18"/>
          <w14:ligatures w14:val="none"/>
        </w:rPr>
        <w:t xml:space="preserve">Produce an excel file with a pairing library for the GB library </w:t>
      </w:r>
      <w:r>
        <w:rPr>
          <w:rFonts w:eastAsia="Times New Roman" w:cs="Times New Roman"/>
          <w:color w:val="000000" w:themeColor="text1"/>
          <w:kern w:val="0"/>
          <w:sz w:val="18"/>
          <w:szCs w:val="18"/>
          <w14:ligatures w14:val="none"/>
        </w:rPr>
        <w:br/>
      </w:r>
      <w:r>
        <w:rPr>
          <w:rFonts w:eastAsia="Times New Roman" w:cs="Times New Roman"/>
          <w:color w:val="77206D" w:themeColor="accent5" w:themeShade="BF"/>
          <w:kern w:val="0"/>
          <w:sz w:val="18"/>
          <w:szCs w:val="18"/>
          <w14:ligatures w14:val="none"/>
        </w:rPr>
        <w:t xml:space="preserve">Adriano: </w:t>
      </w:r>
      <w:r>
        <w:rPr>
          <w:rFonts w:eastAsia="Times New Roman" w:cs="Times New Roman"/>
          <w:color w:val="000000" w:themeColor="text1"/>
          <w:kern w:val="0"/>
          <w:sz w:val="18"/>
          <w:szCs w:val="18"/>
          <w14:ligatures w14:val="none"/>
        </w:rPr>
        <w:t>Integrate dual-display handling into current package</w:t>
      </w:r>
      <w:r>
        <w:rPr>
          <w:rFonts w:eastAsia="Times New Roman" w:cs="Times New Roman"/>
          <w:kern w:val="0"/>
          <w:sz w:val="18"/>
          <w:szCs w:val="18"/>
          <w14:ligatures w14:val="none"/>
        </w:rPr>
        <w:br/>
      </w:r>
      <w:r>
        <w:rPr>
          <w:rFonts w:eastAsia="Times New Roman" w:cs="Times New Roman"/>
          <w:kern w:val="0"/>
          <w:sz w:val="18"/>
          <w:szCs w:val="18"/>
          <w14:ligatures w14:val="none"/>
        </w:rPr>
        <w:br/>
        <w:t>3) Clarify the statistical methodology by adding an explanation for supporting the use of edgeR for count-based DEL data.</w:t>
      </w:r>
    </w:p>
    <w:p w14:paraId="55B92B07" w14:textId="77777777" w:rsidR="009C31E5" w:rsidRDefault="00000000">
      <w:pPr>
        <w:spacing w:after="240" w:line="240" w:lineRule="auto"/>
        <w:rPr>
          <w:rFonts w:eastAsia="Times New Roman" w:cs="Times New Roman"/>
          <w:kern w:val="0"/>
          <w:sz w:val="18"/>
          <w:szCs w:val="18"/>
          <w14:ligatures w14:val="none"/>
        </w:rPr>
      </w:pPr>
      <w:r>
        <w:rPr>
          <w:rFonts w:eastAsia="Times New Roman" w:cs="Times New Roman"/>
          <w:color w:val="77206D" w:themeColor="accent5" w:themeShade="BF"/>
          <w:kern w:val="0"/>
          <w:sz w:val="18"/>
          <w:szCs w:val="18"/>
          <w14:ligatures w14:val="none"/>
        </w:rPr>
        <w:t>See above.</w:t>
      </w:r>
      <w:r>
        <w:rPr>
          <w:rFonts w:eastAsia="Times New Roman" w:cs="Times New Roman"/>
          <w:color w:val="77206D" w:themeColor="accent5" w:themeShade="BF"/>
          <w:kern w:val="0"/>
          <w:sz w:val="18"/>
          <w:szCs w:val="18"/>
          <w14:ligatures w14:val="none"/>
        </w:rPr>
        <w:br/>
      </w:r>
      <w:r>
        <w:rPr>
          <w:rFonts w:eastAsia="Times New Roman" w:cs="Times New Roman"/>
          <w:kern w:val="0"/>
          <w:sz w:val="18"/>
          <w:szCs w:val="18"/>
          <w14:ligatures w14:val="none"/>
        </w:rPr>
        <w:br/>
        <w:t>4) Regarding error handling I suggest including a summary sentence explaining the balance between strict barcode matching and controlled error tolerance.</w:t>
      </w:r>
      <w:r>
        <w:rPr>
          <w:rFonts w:eastAsia="Times New Roman" w:cs="Times New Roman"/>
          <w:kern w:val="0"/>
          <w:sz w:val="18"/>
          <w:szCs w:val="18"/>
          <w14:ligatures w14:val="none"/>
        </w:rPr>
        <w:br/>
      </w:r>
      <w:r>
        <w:rPr>
          <w:rFonts w:eastAsia="Times New Roman" w:cs="Times New Roman"/>
          <w:kern w:val="0"/>
          <w:sz w:val="18"/>
          <w:szCs w:val="18"/>
          <w14:ligatures w14:val="none"/>
        </w:rPr>
        <w:br/>
        <w:t>5) For the chemical enumeration I suggest to encourage validation of reaction definitions on small subsets prior to full enumeration (otherwise it might take a long time).</w:t>
      </w:r>
      <w:r>
        <w:rPr>
          <w:rFonts w:eastAsia="Times New Roman" w:cs="Times New Roman"/>
          <w:kern w:val="0"/>
          <w:sz w:val="18"/>
          <w:szCs w:val="18"/>
          <w14:ligatures w14:val="none"/>
        </w:rPr>
        <w:br/>
      </w:r>
      <w:r>
        <w:rPr>
          <w:rFonts w:eastAsia="Times New Roman" w:cs="Times New Roman"/>
          <w:kern w:val="0"/>
          <w:sz w:val="18"/>
          <w:szCs w:val="18"/>
          <w14:ligatures w14:val="none"/>
        </w:rPr>
        <w:br/>
      </w:r>
      <w:r>
        <w:rPr>
          <w:rFonts w:eastAsia="Times New Roman" w:cs="Times New Roman"/>
          <w:color w:val="77206D" w:themeColor="accent5" w:themeShade="BF"/>
          <w:kern w:val="0"/>
          <w:sz w:val="18"/>
          <w:szCs w:val="18"/>
          <w14:ligatures w14:val="none"/>
        </w:rPr>
        <w:t>Stress this point in manuscript</w:t>
      </w:r>
      <w:r>
        <w:rPr>
          <w:rFonts w:eastAsia="Times New Roman" w:cs="Times New Roman"/>
          <w:kern w:val="0"/>
          <w:sz w:val="18"/>
          <w:szCs w:val="18"/>
          <w14:ligatures w14:val="none"/>
        </w:rPr>
        <w:br/>
      </w:r>
      <w:r>
        <w:rPr>
          <w:rFonts w:eastAsia="Times New Roman" w:cs="Times New Roman"/>
          <w:kern w:val="0"/>
          <w:sz w:val="18"/>
          <w:szCs w:val="18"/>
          <w14:ligatures w14:val="none"/>
        </w:rPr>
        <w:br/>
        <w:t>Minor comments</w:t>
      </w:r>
      <w:r>
        <w:rPr>
          <w:rFonts w:eastAsia="Times New Roman" w:cs="Times New Roman"/>
          <w:kern w:val="0"/>
          <w:sz w:val="18"/>
          <w:szCs w:val="18"/>
          <w14:ligatures w14:val="none"/>
        </w:rPr>
        <w:br/>
        <w:t>The following additions would further help the reader:</w:t>
      </w:r>
      <w:r>
        <w:rPr>
          <w:rFonts w:eastAsia="Times New Roman" w:cs="Times New Roman"/>
          <w:kern w:val="0"/>
          <w:sz w:val="18"/>
          <w:szCs w:val="18"/>
          <w14:ligatures w14:val="none"/>
        </w:rPr>
        <w:br/>
        <w:t>6) A quick start overview summarizing workflow steps.</w:t>
      </w:r>
      <w:r>
        <w:rPr>
          <w:rFonts w:eastAsia="Times New Roman" w:cs="Times New Roman"/>
          <w:kern w:val="0"/>
          <w:sz w:val="18"/>
          <w:szCs w:val="18"/>
          <w14:ligatures w14:val="none"/>
        </w:rPr>
        <w:br/>
        <w:t>7) A table summarizing inputs and outputs for each module.</w:t>
      </w:r>
      <w:r>
        <w:rPr>
          <w:rFonts w:eastAsia="Times New Roman" w:cs="Times New Roman"/>
          <w:kern w:val="0"/>
          <w:sz w:val="18"/>
          <w:szCs w:val="18"/>
          <w14:ligatures w14:val="none"/>
        </w:rPr>
        <w:br/>
        <w:t>8) Improving Figure 1 by distinguishing data flow from processing steps.</w:t>
      </w:r>
      <w:r>
        <w:rPr>
          <w:rFonts w:eastAsia="Times New Roman" w:cs="Times New Roman"/>
          <w:kern w:val="0"/>
          <w:sz w:val="18"/>
          <w:szCs w:val="18"/>
          <w14:ligatures w14:val="none"/>
        </w:rPr>
        <w:br/>
        <w:t>9) Expanding QC figure captions for interpretation guidance.</w:t>
      </w:r>
      <w:r>
        <w:rPr>
          <w:rFonts w:eastAsia="Times New Roman" w:cs="Times New Roman"/>
          <w:kern w:val="0"/>
          <w:sz w:val="18"/>
          <w:szCs w:val="18"/>
          <w14:ligatures w14:val="none"/>
        </w:rPr>
        <w:br/>
        <w:t>10) Providing a minimal YAML example inline.</w:t>
      </w:r>
      <w:r>
        <w:rPr>
          <w:rFonts w:eastAsia="Times New Roman" w:cs="Times New Roman"/>
          <w:kern w:val="0"/>
          <w:sz w:val="18"/>
          <w:szCs w:val="18"/>
          <w14:ligatures w14:val="none"/>
        </w:rPr>
        <w:br/>
        <w:t>11) Clarifying the number of recommended replicates and sequencing depth.</w:t>
      </w:r>
      <w:r>
        <w:rPr>
          <w:rFonts w:eastAsia="Times New Roman" w:cs="Times New Roman"/>
          <w:kern w:val="0"/>
          <w:sz w:val="18"/>
          <w:szCs w:val="18"/>
          <w14:ligatures w14:val="none"/>
        </w:rPr>
        <w:br/>
        <w:t>12) Including a small worked chemical example.</w:t>
      </w:r>
      <w:r>
        <w:rPr>
          <w:rFonts w:eastAsia="Times New Roman" w:cs="Times New Roman"/>
          <w:kern w:val="0"/>
          <w:sz w:val="18"/>
          <w:szCs w:val="18"/>
          <w14:ligatures w14:val="none"/>
        </w:rPr>
        <w:br/>
        <w:t>13) Add more guidance for low read retention troubleshooting.</w:t>
      </w:r>
      <w:r>
        <w:rPr>
          <w:rFonts w:eastAsia="Times New Roman" w:cs="Times New Roman"/>
          <w:kern w:val="0"/>
          <w:sz w:val="18"/>
          <w:szCs w:val="18"/>
          <w14:ligatures w14:val="none"/>
        </w:rPr>
        <w:br/>
      </w:r>
      <w:r>
        <w:rPr>
          <w:rFonts w:eastAsia="Times New Roman" w:cs="Times New Roman"/>
          <w:kern w:val="0"/>
          <w:sz w:val="18"/>
          <w:szCs w:val="18"/>
          <w14:ligatures w14:val="none"/>
        </w:rPr>
        <w:br/>
        <w:t>Reviewer #4:</w:t>
      </w:r>
      <w:r>
        <w:rPr>
          <w:rFonts w:eastAsia="Times New Roman" w:cs="Times New Roman"/>
          <w:kern w:val="0"/>
          <w:sz w:val="18"/>
          <w:szCs w:val="18"/>
          <w14:ligatures w14:val="none"/>
        </w:rPr>
        <w:br/>
        <w:t>Comments for the Author:</w:t>
      </w:r>
      <w:r>
        <w:rPr>
          <w:rFonts w:eastAsia="Times New Roman" w:cs="Times New Roman"/>
          <w:kern w:val="0"/>
          <w:sz w:val="18"/>
          <w:szCs w:val="18"/>
          <w14:ligatures w14:val="none"/>
        </w:rPr>
        <w:br/>
        <w:t>DELT-Hit addresses a critical bottleneck in the DEL field: the absence of standardized, open-source, end-to-end analytical pipelines. While proprietary systems exist within large pharmaceutical organizations, academic and smaller industrial players often struggle to bridge the gap between genomics, cheminformatics, and statistical workflows. This protocol is highly relevant and timely, offering a robust, reproducible, and scalable solution for modern, large-scale DEL campaigns.</w:t>
      </w:r>
      <w:r>
        <w:rPr>
          <w:rFonts w:eastAsia="Times New Roman" w:cs="Times New Roman"/>
          <w:kern w:val="0"/>
          <w:sz w:val="18"/>
          <w:szCs w:val="18"/>
          <w14:ligatures w14:val="none"/>
        </w:rPr>
        <w:br/>
      </w:r>
      <w:r>
        <w:rPr>
          <w:rFonts w:eastAsia="Times New Roman" w:cs="Times New Roman"/>
          <w:kern w:val="0"/>
          <w:sz w:val="18"/>
          <w:szCs w:val="18"/>
          <w14:ligatures w14:val="none"/>
        </w:rPr>
        <w:br/>
        <w:t>The architecture is well structured and integrates best-in-class software: Cutadapt for adaptive sequence demultiplexing, RDKit for SMILES reconstruction via reaction SMIRKS, and an adaptation of edgeR to manage replicate structures and dispersion in count data.</w:t>
      </w:r>
      <w:r>
        <w:rPr>
          <w:rFonts w:eastAsia="Times New Roman" w:cs="Times New Roman"/>
          <w:kern w:val="0"/>
          <w:sz w:val="18"/>
          <w:szCs w:val="18"/>
          <w14:ligatures w14:val="none"/>
        </w:rPr>
        <w:br/>
      </w:r>
      <w:r>
        <w:rPr>
          <w:rFonts w:eastAsia="Times New Roman" w:cs="Times New Roman"/>
          <w:kern w:val="0"/>
          <w:sz w:val="18"/>
          <w:szCs w:val="18"/>
          <w14:ligatures w14:val="none"/>
        </w:rPr>
        <w:br/>
        <w:t xml:space="preserve">The tool's modularity is a significant strength, supporting both single- and dual-display architectures. Furthermore, the implementation of arbitrary reaction graphs allows for the faithful reconstruction of complex synthetic schemes beyond simple linear additions. The manuscript is well-written, providing comprehensive documentation, a tutorial dataset, clear hardware specifications, and realistic timing estimates. A particularly valuable feature is the standardized output format, which ensures compatibility with downstream machine learning frameworks for </w:t>
      </w:r>
      <w:r>
        <w:rPr>
          <w:rFonts w:eastAsia="Times New Roman" w:cs="Times New Roman"/>
          <w:kern w:val="0"/>
          <w:sz w:val="18"/>
          <w:szCs w:val="18"/>
          <w14:ligatures w14:val="none"/>
        </w:rPr>
        <w:lastRenderedPageBreak/>
        <w:t>advanced hit prediction and SAR analysis.</w:t>
      </w:r>
      <w:r>
        <w:rPr>
          <w:rFonts w:eastAsia="Times New Roman" w:cs="Times New Roman"/>
          <w:kern w:val="0"/>
          <w:sz w:val="18"/>
          <w:szCs w:val="18"/>
          <w14:ligatures w14:val="none"/>
        </w:rPr>
        <w:br/>
      </w:r>
      <w:r>
        <w:rPr>
          <w:rFonts w:eastAsia="Times New Roman" w:cs="Times New Roman"/>
          <w:kern w:val="0"/>
          <w:sz w:val="18"/>
          <w:szCs w:val="18"/>
          <w14:ligatures w14:val="none"/>
        </w:rPr>
        <w:br/>
        <w:t>I strongly recommend this manuscript for publication, pending the following revisions and recommendations aimed at improving accessibility and statistical depth.</w:t>
      </w:r>
      <w:r>
        <w:rPr>
          <w:rFonts w:eastAsia="Times New Roman" w:cs="Times New Roman"/>
          <w:kern w:val="0"/>
          <w:sz w:val="18"/>
          <w:szCs w:val="18"/>
          <w14:ligatures w14:val="none"/>
        </w:rPr>
        <w:br/>
      </w:r>
      <w:r>
        <w:rPr>
          <w:rFonts w:eastAsia="Times New Roman" w:cs="Times New Roman"/>
          <w:kern w:val="0"/>
          <w:sz w:val="18"/>
          <w:szCs w:val="18"/>
          <w14:ligatures w14:val="none"/>
        </w:rPr>
        <w:br/>
        <w:t>1. The protocol acknowledges that defining library-specific SMIRKS requires "advanced cheminformatics expertise." This remains a significant hurdle for experimental chemists. To improve accessibility, the authors should expand the Template Library to include a broader suite of validated, DEL-compatible chemistries. Providing more pre-defined templates would allow users without deep computational backgrounds to deploy the protocol more effectively.</w:t>
      </w:r>
    </w:p>
    <w:p w14:paraId="3BB4A17B" w14:textId="77777777" w:rsidR="009C31E5" w:rsidRDefault="00000000">
      <w:pPr>
        <w:spacing w:after="240" w:line="240" w:lineRule="auto"/>
        <w:rPr>
          <w:rFonts w:eastAsia="Times New Roman" w:cs="Times New Roman"/>
          <w:color w:val="000000" w:themeColor="text1"/>
          <w:kern w:val="0"/>
          <w:sz w:val="18"/>
          <w:szCs w:val="18"/>
          <w14:ligatures w14:val="none"/>
        </w:rPr>
      </w:pPr>
      <w:r>
        <w:rPr>
          <w:rFonts w:eastAsia="Times New Roman" w:cs="Times New Roman"/>
          <w:color w:val="77206D" w:themeColor="accent5" w:themeShade="BF"/>
          <w:kern w:val="0"/>
          <w:sz w:val="18"/>
          <w:szCs w:val="18"/>
          <w14:ligatures w14:val="none"/>
        </w:rPr>
        <w:t>Compile a file with all the reactions (and their chemical scheme) for the presently developed reactions and add a few more basic reaction SMIRKS that users can then customize to their own needs</w:t>
      </w:r>
      <w:r>
        <w:rPr>
          <w:rFonts w:eastAsia="Times New Roman" w:cs="Times New Roman"/>
          <w:color w:val="77206D" w:themeColor="accent5" w:themeShade="BF"/>
          <w:kern w:val="0"/>
          <w:sz w:val="18"/>
          <w:szCs w:val="18"/>
          <w14:ligatures w14:val="none"/>
        </w:rPr>
        <w:br/>
        <w:t xml:space="preserve">Alice: </w:t>
      </w:r>
      <w:r>
        <w:rPr>
          <w:rFonts w:eastAsia="Times New Roman" w:cs="Times New Roman"/>
          <w:color w:val="000000" w:themeColor="text1"/>
          <w:kern w:val="0"/>
          <w:sz w:val="18"/>
          <w:szCs w:val="18"/>
          <w14:ligatures w14:val="none"/>
        </w:rPr>
        <w:t>Compile file and work on reactions</w:t>
      </w:r>
    </w:p>
    <w:p w14:paraId="1BA3C1C7" w14:textId="77777777" w:rsidR="009C31E5" w:rsidRDefault="00000000">
      <w:pPr>
        <w:spacing w:after="240" w:line="240" w:lineRule="auto"/>
        <w:rPr>
          <w:rFonts w:eastAsia="Times New Roman" w:cs="Times New Roman"/>
          <w:kern w:val="0"/>
          <w:sz w:val="18"/>
          <w:szCs w:val="18"/>
          <w14:ligatures w14:val="none"/>
        </w:rPr>
      </w:pPr>
      <w:r>
        <w:rPr>
          <w:rFonts w:eastAsia="Times New Roman" w:cs="Times New Roman"/>
          <w:kern w:val="0"/>
          <w:sz w:val="18"/>
          <w:szCs w:val="18"/>
          <w14:ligatures w14:val="none"/>
        </w:rPr>
        <w:br/>
        <w:t>2.The protocol's current chemical visualization relies on abstract formats, such as SMILES strings in tables and schematic reaction graphs, which can be difficult for chemists to interpret at a glance. To improve clarity, 2D reaction schemes should be displayed alongside their corresponding SMIRKS strings to provide chemical context. Furthermore, including 2D structural diagrams for the building blocks and products from an example of the tutorial dataset would significantly aid in the interpretation of the reaction graph.</w:t>
      </w:r>
    </w:p>
    <w:p w14:paraId="744DBDD1" w14:textId="77777777" w:rsidR="009C31E5" w:rsidRDefault="00000000">
      <w:pPr>
        <w:spacing w:after="240" w:line="240" w:lineRule="auto"/>
        <w:rPr>
          <w:rFonts w:eastAsia="Times New Roman" w:cs="Times New Roman"/>
          <w:color w:val="77206D" w:themeColor="accent5" w:themeShade="BF"/>
          <w:kern w:val="0"/>
          <w:sz w:val="18"/>
          <w:szCs w:val="18"/>
          <w14:ligatures w14:val="none"/>
        </w:rPr>
      </w:pPr>
      <w:r>
        <w:rPr>
          <w:rFonts w:eastAsia="Times New Roman" w:cs="Times New Roman"/>
          <w:color w:val="77206D" w:themeColor="accent5" w:themeShade="BF"/>
          <w:kern w:val="0"/>
          <w:sz w:val="18"/>
          <w:szCs w:val="18"/>
          <w14:ligatures w14:val="none"/>
        </w:rPr>
        <w:t>Display structures of final compounds for top x compounds, add reaction graph to SMIRKs overview file.</w:t>
      </w:r>
      <w:r>
        <w:rPr>
          <w:rFonts w:eastAsia="Times New Roman" w:cs="Times New Roman"/>
          <w:color w:val="77206D" w:themeColor="accent5" w:themeShade="BF"/>
          <w:kern w:val="0"/>
          <w:sz w:val="18"/>
          <w:szCs w:val="18"/>
          <w14:ligatures w14:val="none"/>
        </w:rPr>
        <w:br/>
        <w:t xml:space="preserve">Adriano: </w:t>
      </w:r>
      <w:r>
        <w:rPr>
          <w:rFonts w:eastAsia="Times New Roman" w:cs="Times New Roman"/>
          <w:color w:val="000000" w:themeColor="text1"/>
          <w:kern w:val="0"/>
          <w:sz w:val="18"/>
          <w:szCs w:val="18"/>
          <w14:ligatures w14:val="none"/>
        </w:rPr>
        <w:t xml:space="preserve">Implement visualisation of molecules </w:t>
      </w:r>
      <w:r>
        <w:rPr>
          <w:rFonts w:eastAsia="Times New Roman" w:cs="Times New Roman"/>
          <w:color w:val="000000" w:themeColor="text1"/>
          <w:kern w:val="0"/>
          <w:sz w:val="18"/>
          <w:szCs w:val="18"/>
          <w14:ligatures w14:val="none"/>
        </w:rPr>
        <w:br/>
      </w:r>
      <w:r>
        <w:rPr>
          <w:rFonts w:eastAsia="Times New Roman" w:cs="Times New Roman"/>
          <w:color w:val="77206D" w:themeColor="accent5" w:themeShade="BF"/>
          <w:kern w:val="0"/>
          <w:sz w:val="18"/>
          <w:szCs w:val="18"/>
          <w14:ligatures w14:val="none"/>
        </w:rPr>
        <w:t xml:space="preserve">Alice: </w:t>
      </w:r>
      <w:r>
        <w:rPr>
          <w:rFonts w:eastAsia="Times New Roman" w:cs="Times New Roman"/>
          <w:color w:val="000000" w:themeColor="text1"/>
          <w:kern w:val="0"/>
          <w:sz w:val="18"/>
          <w:szCs w:val="18"/>
          <w14:ligatures w14:val="none"/>
        </w:rPr>
        <w:t xml:space="preserve">Add reaction visualisation to SMIRKs </w:t>
      </w:r>
      <w:r>
        <w:rPr>
          <w:rFonts w:eastAsia="Times New Roman" w:cs="Times New Roman"/>
          <w:color w:val="77206D" w:themeColor="accent5" w:themeShade="BF"/>
          <w:kern w:val="0"/>
          <w:sz w:val="18"/>
          <w:szCs w:val="18"/>
          <w14:ligatures w14:val="none"/>
        </w:rPr>
        <w:br/>
      </w:r>
      <w:r>
        <w:rPr>
          <w:rFonts w:eastAsia="Times New Roman" w:cs="Times New Roman"/>
          <w:kern w:val="0"/>
          <w:sz w:val="18"/>
          <w:szCs w:val="18"/>
          <w14:ligatures w14:val="none"/>
        </w:rPr>
        <w:br/>
        <w:t>3. While the framework allows for flexible experimental categorization, the protocol primarily highlights "protein" vs. "no-protein" comparisons. The authors should elaborate on how the tool handles more nuanced selection conditions, such as competitive experiments (e.g. inhibitor displacement), concentration gradients, or varied stringency washes. Clarifying how the analysis modules address these diverse conditions would further demonstrate the tool's versatility.</w:t>
      </w:r>
      <w:r>
        <w:rPr>
          <w:rFonts w:eastAsia="Times New Roman" w:cs="Times New Roman"/>
          <w:kern w:val="0"/>
          <w:sz w:val="18"/>
          <w:szCs w:val="18"/>
          <w14:ligatures w14:val="none"/>
        </w:rPr>
        <w:br/>
      </w:r>
      <w:r>
        <w:rPr>
          <w:rFonts w:eastAsia="Times New Roman" w:cs="Times New Roman"/>
          <w:color w:val="77206D" w:themeColor="accent5" w:themeShade="BF"/>
          <w:kern w:val="0"/>
          <w:sz w:val="18"/>
          <w:szCs w:val="18"/>
          <w14:ligatures w14:val="none"/>
        </w:rPr>
        <w:br/>
        <w:t xml:space="preserve">Adriano: </w:t>
      </w:r>
      <w:r>
        <w:rPr>
          <w:rFonts w:eastAsia="Times New Roman" w:cs="Times New Roman"/>
          <w:color w:val="000000" w:themeColor="text1"/>
          <w:kern w:val="0"/>
          <w:sz w:val="18"/>
          <w:szCs w:val="18"/>
          <w14:ligatures w14:val="none"/>
        </w:rPr>
        <w:t xml:space="preserve">Look into this point </w:t>
      </w:r>
    </w:p>
    <w:p w14:paraId="6577E28D" w14:textId="77777777" w:rsidR="009C31E5" w:rsidRDefault="00000000">
      <w:pPr>
        <w:spacing w:after="240" w:line="240" w:lineRule="auto"/>
        <w:rPr>
          <w:rFonts w:eastAsia="Times New Roman" w:cs="Times New Roman"/>
          <w:color w:val="77206D" w:themeColor="accent5" w:themeShade="BF"/>
          <w:kern w:val="0"/>
          <w:sz w:val="18"/>
          <w:szCs w:val="18"/>
          <w14:ligatures w14:val="none"/>
        </w:rPr>
      </w:pPr>
      <w:r>
        <w:rPr>
          <w:rFonts w:eastAsia="Times New Roman" w:cs="Times New Roman"/>
          <w:kern w:val="0"/>
          <w:sz w:val="18"/>
          <w:szCs w:val="18"/>
          <w14:ligatures w14:val="none"/>
        </w:rPr>
        <w:t>4. Currently, users must choose between edgeR and Simple Counts. For users lacking replicates, "Simple Counts" lacks the necessary statistical rigor to distinguish true hits from stochastic noise. To bridge this gap, I recommend implementing the normalized Z-score methodology (as described by Faver et al. </w:t>
      </w:r>
      <w:hyperlink r:id="rId21">
        <w:r>
          <w:rPr>
            <w:rFonts w:eastAsia="Times New Roman" w:cs="Times New Roman"/>
            <w:color w:val="0000FF"/>
            <w:kern w:val="0"/>
            <w:sz w:val="18"/>
            <w:szCs w:val="18"/>
            <w:u w:val="single"/>
            <w14:ligatures w14:val="none"/>
          </w:rPr>
          <w:t>https://doi.org/10.1021/acscombsci.8b00116</w:t>
        </w:r>
      </w:hyperlink>
      <w:r>
        <w:rPr>
          <w:rFonts w:eastAsia="Times New Roman" w:cs="Times New Roman"/>
          <w:kern w:val="0"/>
          <w:sz w:val="18"/>
          <w:szCs w:val="18"/>
          <w14:ligatures w14:val="none"/>
        </w:rPr>
        <w:t>). By modeling selection data using a binomial distribution to describe the probability of observing a specific compound across the library, researchers can identify significant enrichment relative to the library mean even in the absence of biological replicates.</w:t>
      </w:r>
      <w:r>
        <w:rPr>
          <w:rFonts w:eastAsia="Times New Roman" w:cs="Times New Roman"/>
          <w:kern w:val="0"/>
          <w:sz w:val="18"/>
          <w:szCs w:val="18"/>
          <w14:ligatures w14:val="none"/>
        </w:rPr>
        <w:br/>
      </w:r>
      <w:r>
        <w:rPr>
          <w:rFonts w:eastAsia="Times New Roman" w:cs="Times New Roman"/>
          <w:color w:val="77206D" w:themeColor="accent5" w:themeShade="BF"/>
          <w:kern w:val="0"/>
          <w:sz w:val="18"/>
          <w:szCs w:val="18"/>
          <w14:ligatures w14:val="none"/>
        </w:rPr>
        <w:br/>
        <w:t xml:space="preserve">Leandro: </w:t>
      </w:r>
      <w:r>
        <w:rPr>
          <w:rFonts w:eastAsia="Times New Roman" w:cs="Times New Roman"/>
          <w:color w:val="000000" w:themeColor="text1"/>
          <w:kern w:val="0"/>
          <w:sz w:val="18"/>
          <w:szCs w:val="18"/>
          <w14:ligatures w14:val="none"/>
        </w:rPr>
        <w:t xml:space="preserve">Look into this </w:t>
      </w:r>
      <w:r>
        <w:rPr>
          <w:rFonts w:eastAsia="Times New Roman" w:cs="Times New Roman"/>
          <w:kern w:val="0"/>
          <w:sz w:val="18"/>
          <w:szCs w:val="18"/>
          <w14:ligatures w14:val="none"/>
        </w:rPr>
        <w:br/>
      </w:r>
      <w:r>
        <w:rPr>
          <w:rFonts w:eastAsia="Times New Roman" w:cs="Times New Roman"/>
          <w:kern w:val="0"/>
          <w:sz w:val="18"/>
          <w:szCs w:val="18"/>
          <w14:ligatures w14:val="none"/>
        </w:rPr>
        <w:br/>
        <w:t>5. For billion-member libraries, enumerating the entire in silico space is computationally expensive. The current workflow for restricting enumeration to "observed hits" is a manual, multi-step process. I recommend implementing an optional "filtered enumeration" mode. This would allow the library module to ingest a counts matrix directly, restricting SMILES construction and descriptor calculation only to barcode combinations that meet a user-defined read threshold.</w:t>
      </w:r>
    </w:p>
    <w:p w14:paraId="433B1D27" w14:textId="77777777" w:rsidR="009C31E5" w:rsidRDefault="00000000">
      <w:pPr>
        <w:spacing w:after="0" w:line="240" w:lineRule="auto"/>
        <w:rPr>
          <w:rFonts w:eastAsia="Times New Roman" w:cs="Times New Roman"/>
          <w:kern w:val="0"/>
          <w:sz w:val="18"/>
          <w:szCs w:val="18"/>
          <w14:ligatures w14:val="none"/>
        </w:rPr>
      </w:pPr>
      <w:r>
        <w:rPr>
          <w:rFonts w:eastAsia="Times New Roman" w:cs="Times New Roman"/>
          <w:color w:val="77206D" w:themeColor="accent5" w:themeShade="BF"/>
          <w:kern w:val="0"/>
          <w:sz w:val="18"/>
          <w:szCs w:val="18"/>
          <w14:ligatures w14:val="none"/>
        </w:rPr>
        <w:t xml:space="preserve">Adriano: </w:t>
      </w:r>
      <w:r>
        <w:rPr>
          <w:rFonts w:eastAsia="Times New Roman" w:cs="Times New Roman"/>
          <w:color w:val="000000" w:themeColor="text1"/>
          <w:kern w:val="0"/>
          <w:sz w:val="18"/>
          <w:szCs w:val="18"/>
          <w14:ligatures w14:val="none"/>
        </w:rPr>
        <w:t>Look into this point</w:t>
      </w:r>
    </w:p>
    <w:p w14:paraId="4DDA4A84" w14:textId="77777777" w:rsidR="009C31E5" w:rsidRDefault="00000000">
      <w:pPr>
        <w:spacing w:after="0" w:line="240" w:lineRule="auto"/>
        <w:rPr>
          <w:rFonts w:hint="eastAsia"/>
          <w:color w:val="00A933"/>
          <w:sz w:val="18"/>
          <w:szCs w:val="18"/>
        </w:rPr>
      </w:pPr>
      <w:bookmarkStart w:id="0" w:name="__DdeLink__415_2732376603"/>
      <w:r>
        <w:rPr>
          <w:color w:val="00A933"/>
          <w:sz w:val="18"/>
          <w:szCs w:val="18"/>
        </w:rPr>
        <w:t>Implemented change: It is now possible to enumerate selected compounds (e.g. top 1000) out of raw counts or enrichment analysis files</w:t>
      </w:r>
      <w:bookmarkEnd w:id="0"/>
    </w:p>
    <w:p w14:paraId="4A6992A1" w14:textId="77777777" w:rsidR="009C31E5" w:rsidRDefault="00000000">
      <w:pPr>
        <w:spacing w:beforeAutospacing="1" w:afterAutospacing="1" w:line="240" w:lineRule="auto"/>
        <w:rPr>
          <w:rFonts w:eastAsia="Times New Roman" w:cs="Times New Roman"/>
          <w:kern w:val="0"/>
          <w:sz w:val="18"/>
          <w:szCs w:val="18"/>
          <w14:ligatures w14:val="none"/>
        </w:rPr>
      </w:pPr>
      <w:r>
        <w:rPr>
          <w:rFonts w:eastAsia="Times New Roman" w:cs="Times New Roman"/>
          <w:kern w:val="0"/>
          <w:sz w:val="18"/>
          <w:szCs w:val="18"/>
          <w14:ligatures w14:val="none"/>
        </w:rPr>
        <w:t>This email has been sent through the Springer Nature Tracking System NY-610A-NPG&amp;MTS</w:t>
      </w:r>
      <w:r>
        <w:rPr>
          <w:rFonts w:eastAsia="Times New Roman" w:cs="Times New Roman"/>
          <w:kern w:val="0"/>
          <w:sz w:val="18"/>
          <w:szCs w:val="18"/>
          <w14:ligatures w14:val="none"/>
        </w:rPr>
        <w:br/>
      </w:r>
      <w:r>
        <w:rPr>
          <w:rFonts w:eastAsia="Times New Roman" w:cs="Times New Roman"/>
          <w:kern w:val="0"/>
          <w:sz w:val="18"/>
          <w:szCs w:val="18"/>
          <w14:ligatures w14:val="none"/>
        </w:rPr>
        <w:br/>
      </w:r>
      <w:r>
        <w:rPr>
          <w:rFonts w:eastAsia="Times New Roman" w:cs="Times New Roman"/>
          <w:i/>
          <w:iCs/>
          <w:kern w:val="0"/>
          <w:sz w:val="18"/>
          <w:szCs w:val="18"/>
          <w14:ligatures w14:val="none"/>
        </w:rPr>
        <w:t>Confidentiality Statement:</w:t>
      </w:r>
      <w:r>
        <w:rPr>
          <w:rFonts w:eastAsia="Times New Roman" w:cs="Times New Roman"/>
          <w:i/>
          <w:iCs/>
          <w:kern w:val="0"/>
          <w:sz w:val="18"/>
          <w:szCs w:val="18"/>
          <w14:ligatures w14:val="none"/>
        </w:rPr>
        <w:br/>
      </w:r>
      <w:r>
        <w:rPr>
          <w:rFonts w:eastAsia="Times New Roman" w:cs="Times New Roman"/>
          <w:i/>
          <w:iCs/>
          <w:kern w:val="0"/>
          <w:sz w:val="18"/>
          <w:szCs w:val="18"/>
          <w14:ligatures w14:val="none"/>
        </w:rPr>
        <w:br/>
        <w:t>This e-mail is confidential and subject to copyright. Any unauthorised use or disclosure of its contents is prohibited. If you have received this email in error please notify our Manuscript Tracking System Helpdesk team at </w:t>
      </w:r>
      <w:hyperlink r:id="rId22">
        <w:r>
          <w:rPr>
            <w:rFonts w:eastAsia="Times New Roman" w:cs="Times New Roman"/>
            <w:i/>
            <w:iCs/>
            <w:color w:val="0000FF"/>
            <w:kern w:val="0"/>
            <w:sz w:val="18"/>
            <w:szCs w:val="18"/>
            <w:u w:val="single"/>
            <w14:ligatures w14:val="none"/>
          </w:rPr>
          <w:t>http://platformsupport.nature.com</w:t>
        </w:r>
      </w:hyperlink>
      <w:r>
        <w:rPr>
          <w:rFonts w:eastAsia="Times New Roman" w:cs="Times New Roman"/>
          <w:i/>
          <w:iCs/>
          <w:kern w:val="0"/>
          <w:sz w:val="18"/>
          <w:szCs w:val="18"/>
          <w14:ligatures w14:val="none"/>
        </w:rPr>
        <w:t> .</w:t>
      </w:r>
    </w:p>
    <w:p w14:paraId="4F2AFAD0" w14:textId="77777777" w:rsidR="009C31E5" w:rsidRDefault="00000000">
      <w:pPr>
        <w:spacing w:beforeAutospacing="1" w:afterAutospacing="1" w:line="240" w:lineRule="auto"/>
        <w:rPr>
          <w:rFonts w:eastAsia="Times New Roman" w:cs="Times New Roman"/>
          <w:kern w:val="0"/>
          <w:sz w:val="18"/>
          <w:szCs w:val="18"/>
          <w14:ligatures w14:val="none"/>
        </w:rPr>
      </w:pPr>
      <w:r>
        <w:rPr>
          <w:rFonts w:eastAsia="Times New Roman" w:cs="Times New Roman"/>
          <w:i/>
          <w:iCs/>
          <w:kern w:val="0"/>
          <w:sz w:val="18"/>
          <w:szCs w:val="18"/>
          <w14:ligatures w14:val="none"/>
        </w:rPr>
        <w:t>Details of the confidentiality and pre-publicity policy may be found here </w:t>
      </w:r>
      <w:hyperlink r:id="rId23">
        <w:r>
          <w:rPr>
            <w:rFonts w:eastAsia="Times New Roman" w:cs="Times New Roman"/>
            <w:i/>
            <w:iCs/>
            <w:color w:val="0000FF"/>
            <w:kern w:val="0"/>
            <w:sz w:val="18"/>
            <w:szCs w:val="18"/>
            <w:u w:val="single"/>
            <w14:ligatures w14:val="none"/>
          </w:rPr>
          <w:t>http://www.nature.com/authors/policies/confidentiality.html</w:t>
        </w:r>
      </w:hyperlink>
    </w:p>
    <w:p w14:paraId="3EE4CC9D" w14:textId="77777777" w:rsidR="009C31E5" w:rsidRDefault="00000000">
      <w:pPr>
        <w:spacing w:beforeAutospacing="1" w:afterAutospacing="1" w:line="240" w:lineRule="auto"/>
        <w:rPr>
          <w:rFonts w:eastAsia="Times New Roman" w:cs="Times New Roman"/>
          <w:kern w:val="0"/>
          <w:sz w:val="18"/>
          <w:szCs w:val="18"/>
          <w14:ligatures w14:val="none"/>
        </w:rPr>
      </w:pPr>
      <w:hyperlink r:id="rId24">
        <w:r>
          <w:rPr>
            <w:rFonts w:eastAsia="Times New Roman" w:cs="Times New Roman"/>
            <w:color w:val="0000FF"/>
            <w:kern w:val="0"/>
            <w:sz w:val="18"/>
            <w:szCs w:val="18"/>
            <w:u w:val="single"/>
            <w14:ligatures w14:val="none"/>
          </w:rPr>
          <w:t>Privacy Policy</w:t>
        </w:r>
      </w:hyperlink>
      <w:r>
        <w:rPr>
          <w:rFonts w:eastAsia="Times New Roman" w:cs="Times New Roman"/>
          <w:kern w:val="0"/>
          <w:sz w:val="18"/>
          <w:szCs w:val="18"/>
          <w14:ligatures w14:val="none"/>
        </w:rPr>
        <w:t> | </w:t>
      </w:r>
      <w:hyperlink r:id="rId25">
        <w:r>
          <w:rPr>
            <w:rFonts w:eastAsia="Times New Roman" w:cs="Times New Roman"/>
            <w:color w:val="0000FF"/>
            <w:kern w:val="0"/>
            <w:sz w:val="18"/>
            <w:szCs w:val="18"/>
            <w:u w:val="single"/>
            <w14:ligatures w14:val="none"/>
          </w:rPr>
          <w:t>Update Profile</w:t>
        </w:r>
      </w:hyperlink>
    </w:p>
    <w:p w14:paraId="6A8A6EB6" w14:textId="77777777" w:rsidR="009C31E5" w:rsidRDefault="009C31E5">
      <w:pPr>
        <w:rPr>
          <w:rFonts w:hint="eastAsia"/>
          <w:lang w:val="de-CH"/>
        </w:rPr>
      </w:pPr>
    </w:p>
    <w:sectPr w:rsidR="009C31E5">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Times New Roman">
    <w:panose1 w:val="02020603050405020304"/>
    <w:charset w:val="01"/>
    <w:family w:val="roman"/>
    <w:pitch w:val="variable"/>
    <w:sig w:usb0="E0002EFF" w:usb1="C000785B" w:usb2="00000009" w:usb3="00000000" w:csb0="000001FF" w:csb1="00000000"/>
  </w:font>
  <w:font w:name="Carlito">
    <w:altName w:val="Calibri"/>
    <w:panose1 w:val="020B0604020202020204"/>
    <w:charset w:val="01"/>
    <w:family w:val="roman"/>
    <w:pitch w:val="variable"/>
  </w:font>
  <w:font w:name="Noto Sans SC Regular">
    <w:panose1 w:val="020B0604020202020204"/>
    <w:charset w:val="00"/>
    <w:family w:val="roman"/>
    <w:notTrueType/>
    <w:pitch w:val="default"/>
  </w:font>
  <w:font w:name="Noto Sans">
    <w:panose1 w:val="020B0502040504020204"/>
    <w:charset w:val="00"/>
    <w:family w:val="swiss"/>
    <w:pitch w:val="variable"/>
    <w:sig w:usb0="E00082FF" w:usb1="400078FF" w:usb2="00000021" w:usb3="00000000" w:csb0="0000019F" w:csb1="00000000"/>
  </w:font>
  <w:font w:name="PingFang TC">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1E5"/>
    <w:rsid w:val="00382F22"/>
    <w:rsid w:val="008F5CA2"/>
    <w:rsid w:val="009C31E5"/>
  </w:rsids>
  <m:mathPr>
    <m:mathFont m:val="Cambria Math"/>
    <m:brkBin m:val="before"/>
    <m:brkBinSub m:val="--"/>
    <m:smallFrac m:val="0"/>
    <m:dispDef/>
    <m:lMargin m:val="0"/>
    <m:rMargin m:val="0"/>
    <m:defJc m:val="centerGroup"/>
    <m:wrapIndent m:val="1440"/>
    <m:intLim m:val="subSup"/>
    <m:naryLim m:val="undOvr"/>
  </m:mathPr>
  <w:themeFontLang w:eastAsia="zh-CN" w:bidi=""/>
  <w:clrSchemeMapping w:bg1="light1" w:t1="dark1" w:bg2="light2" w:t2="dark2" w:accent1="accent1" w:accent2="accent2" w:accent3="accent3" w:accent4="accent4" w:accent5="accent5" w:accent6="accent6" w:hyperlink="hyperlink" w:followedHyperlink="followedHyperlink"/>
  <w:decimalSymbol w:val="."/>
  <w:listSeparator w:val=","/>
  <w14:docId w14:val="7AE360D4"/>
  <w15:docId w15:val="{D9D8132A-F68B-D54E-89DD-F719C8A19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zh-CN"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Heading1">
    <w:name w:val="heading 1"/>
    <w:basedOn w:val="Normal"/>
    <w:next w:val="Normal"/>
    <w:link w:val="Heading1Char"/>
    <w:uiPriority w:val="9"/>
    <w:qFormat/>
    <w:rsid w:val="008108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08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08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08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08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08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8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8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8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108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8108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8108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8108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8108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8108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8108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8108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8108B8"/>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8108B8"/>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8108B8"/>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8108B8"/>
    <w:rPr>
      <w:i/>
      <w:iCs/>
      <w:color w:val="404040" w:themeColor="text1" w:themeTint="BF"/>
    </w:rPr>
  </w:style>
  <w:style w:type="character" w:styleId="IntenseEmphasis">
    <w:name w:val="Intense Emphasis"/>
    <w:basedOn w:val="DefaultParagraphFont"/>
    <w:uiPriority w:val="21"/>
    <w:qFormat/>
    <w:rsid w:val="008108B8"/>
    <w:rPr>
      <w:i/>
      <w:iCs/>
      <w:color w:val="0F4761" w:themeColor="accent1" w:themeShade="BF"/>
    </w:rPr>
  </w:style>
  <w:style w:type="character" w:customStyle="1" w:styleId="IntenseQuoteChar">
    <w:name w:val="Intense Quote Char"/>
    <w:basedOn w:val="DefaultParagraphFont"/>
    <w:link w:val="IntenseQuote"/>
    <w:uiPriority w:val="30"/>
    <w:qFormat/>
    <w:rsid w:val="008108B8"/>
    <w:rPr>
      <w:i/>
      <w:iCs/>
      <w:color w:val="0F4761" w:themeColor="accent1" w:themeShade="BF"/>
    </w:rPr>
  </w:style>
  <w:style w:type="character" w:styleId="IntenseReference">
    <w:name w:val="Intense Reference"/>
    <w:basedOn w:val="DefaultParagraphFont"/>
    <w:uiPriority w:val="32"/>
    <w:qFormat/>
    <w:rsid w:val="008108B8"/>
    <w:rPr>
      <w:b/>
      <w:bCs/>
      <w:smallCaps/>
      <w:color w:val="0F4761" w:themeColor="accent1" w:themeShade="BF"/>
      <w:spacing w:val="5"/>
    </w:rPr>
  </w:style>
  <w:style w:type="character" w:customStyle="1" w:styleId="apple-converted-space">
    <w:name w:val="apple-converted-space"/>
    <w:basedOn w:val="DefaultParagraphFont"/>
    <w:qFormat/>
    <w:rsid w:val="008108B8"/>
  </w:style>
  <w:style w:type="character" w:styleId="Hyperlink">
    <w:name w:val="Hyperlink"/>
    <w:basedOn w:val="DefaultParagraphFont"/>
    <w:uiPriority w:val="99"/>
    <w:semiHidden/>
    <w:unhideWhenUsed/>
    <w:rsid w:val="008108B8"/>
    <w:rPr>
      <w:color w:val="0000FF"/>
      <w:u w:val="single"/>
    </w:rPr>
  </w:style>
  <w:style w:type="character" w:styleId="Emphasis">
    <w:name w:val="Emphasis"/>
    <w:basedOn w:val="DefaultParagraphFont"/>
    <w:uiPriority w:val="20"/>
    <w:qFormat/>
    <w:rsid w:val="008108B8"/>
    <w:rPr>
      <w:i/>
      <w:iCs/>
    </w:rPr>
  </w:style>
  <w:style w:type="paragraph" w:customStyle="1" w:styleId="berschrift">
    <w:name w:val="Überschrift"/>
    <w:basedOn w:val="Normal"/>
    <w:next w:val="BodyText"/>
    <w:qFormat/>
    <w:pPr>
      <w:keepNext/>
      <w:spacing w:before="240" w:after="120"/>
    </w:pPr>
    <w:rPr>
      <w:rFonts w:ascii="Carlito" w:eastAsia="Noto Sans SC Regular" w:hAnsi="Carlito" w:cs="Noto Sans"/>
      <w:sz w:val="28"/>
      <w:szCs w:val="28"/>
    </w:rPr>
  </w:style>
  <w:style w:type="paragraph" w:styleId="BodyText">
    <w:name w:val="Body Text"/>
    <w:basedOn w:val="Normal"/>
    <w:pPr>
      <w:spacing w:after="140"/>
    </w:pPr>
  </w:style>
  <w:style w:type="paragraph" w:styleId="List">
    <w:name w:val="List"/>
    <w:basedOn w:val="BodyText"/>
    <w:rPr>
      <w:rFonts w:cs="Noto Sans"/>
    </w:rPr>
  </w:style>
  <w:style w:type="paragraph" w:styleId="Caption">
    <w:name w:val="caption"/>
    <w:basedOn w:val="Normal"/>
    <w:qFormat/>
    <w:pPr>
      <w:suppressLineNumbers/>
      <w:spacing w:before="120" w:after="120"/>
    </w:pPr>
    <w:rPr>
      <w:rFonts w:cs="Noto Sans"/>
      <w:i/>
      <w:iCs/>
    </w:rPr>
  </w:style>
  <w:style w:type="paragraph" w:customStyle="1" w:styleId="Verzeichnis">
    <w:name w:val="Verzeichnis"/>
    <w:basedOn w:val="Normal"/>
    <w:qFormat/>
    <w:pPr>
      <w:suppressLineNumbers/>
    </w:pPr>
    <w:rPr>
      <w:rFonts w:cs="Noto Sans"/>
    </w:rPr>
  </w:style>
  <w:style w:type="paragraph" w:styleId="Title">
    <w:name w:val="Title"/>
    <w:basedOn w:val="Normal"/>
    <w:next w:val="Normal"/>
    <w:link w:val="TitleChar"/>
    <w:uiPriority w:val="10"/>
    <w:qFormat/>
    <w:rsid w:val="008108B8"/>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8108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8B8"/>
    <w:pPr>
      <w:spacing w:before="160"/>
      <w:jc w:val="center"/>
    </w:pPr>
    <w:rPr>
      <w:i/>
      <w:iCs/>
      <w:color w:val="404040" w:themeColor="text1" w:themeTint="BF"/>
    </w:rPr>
  </w:style>
  <w:style w:type="paragraph" w:styleId="ListParagraph">
    <w:name w:val="List Paragraph"/>
    <w:basedOn w:val="Normal"/>
    <w:uiPriority w:val="34"/>
    <w:qFormat/>
    <w:rsid w:val="008108B8"/>
    <w:pPr>
      <w:ind w:left="720"/>
      <w:contextualSpacing/>
    </w:pPr>
  </w:style>
  <w:style w:type="paragraph" w:styleId="IntenseQuote">
    <w:name w:val="Intense Quote"/>
    <w:basedOn w:val="Normal"/>
    <w:next w:val="Normal"/>
    <w:link w:val="IntenseQuoteChar"/>
    <w:uiPriority w:val="30"/>
    <w:qFormat/>
    <w:rsid w:val="008108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NormalWeb">
    <w:name w:val="Normal (Web)"/>
    <w:basedOn w:val="Normal"/>
    <w:uiPriority w:val="99"/>
    <w:semiHidden/>
    <w:unhideWhenUsed/>
    <w:qFormat/>
    <w:rsid w:val="008108B8"/>
    <w:pPr>
      <w:spacing w:beforeAutospacing="1" w:afterAutospacing="1" w:line="240" w:lineRule="auto"/>
    </w:pPr>
    <w:rPr>
      <w:rFonts w:ascii="Times New Roman" w:eastAsia="Times New Roman" w:hAnsi="Times New Roman" w:cs="Times New Roman"/>
      <w:kern w:val="0"/>
      <w14:ligatures w14:val="none"/>
    </w:rPr>
  </w:style>
  <w:style w:type="numbering" w:customStyle="1" w:styleId="KeineListe">
    <w:name w:val="Keine Liste"/>
    <w:uiPriority w:val="99"/>
    <w:semiHidden/>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dcu.be/eumxY" TargetMode="External"/><Relationship Id="rId13" Type="http://schemas.openxmlformats.org/officeDocument/2006/relationships/hyperlink" Target="https://idr.openmicroscopy.org/" TargetMode="External"/><Relationship Id="rId18" Type="http://schemas.openxmlformats.org/officeDocument/2006/relationships/hyperlink" Target="https://www.springernature.com/gp/researchers/orcid/orcid-for-nature-research"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s://doi.org/10.1021/acscombsci.8b00116" TargetMode="External"/><Relationship Id="rId7" Type="http://schemas.openxmlformats.org/officeDocument/2006/relationships/hyperlink" Target="https://rdcu.be/eumxY." TargetMode="External"/><Relationship Id="rId12" Type="http://schemas.openxmlformats.org/officeDocument/2006/relationships/hyperlink" Target="https://figshare.com/" TargetMode="External"/><Relationship Id="rId17" Type="http://schemas.openxmlformats.org/officeDocument/2006/relationships/hyperlink" Target="http://www.springernature.com/orcid" TargetMode="External"/><Relationship Id="rId25" Type="http://schemas.openxmlformats.org/officeDocument/2006/relationships/hyperlink" Target="https://mts-np.nature.com/" TargetMode="External"/><Relationship Id="rId2" Type="http://schemas.openxmlformats.org/officeDocument/2006/relationships/settings" Target="settings.xml"/><Relationship Id="rId16" Type="http://schemas.openxmlformats.org/officeDocument/2006/relationships/hyperlink" Target="http://www.nature.com/authors/policies/plagiarism.html." TargetMode="External"/><Relationship Id="rId20" Type="http://schemas.openxmlformats.org/officeDocument/2006/relationships/hyperlink" Target="http://www.nature.com/nprot/index.html" TargetMode="External"/><Relationship Id="rId1" Type="http://schemas.openxmlformats.org/officeDocument/2006/relationships/styles" Target="styles.xml"/><Relationship Id="rId6" Type="http://schemas.openxmlformats.org/officeDocument/2006/relationships/hyperlink" Target="https://www.nature.com/nprot/for-authors/protocol" TargetMode="External"/><Relationship Id="rId11" Type="http://schemas.openxmlformats.org/officeDocument/2006/relationships/hyperlink" Target="http://www.nature.com/documents/Inventory_of_Supporting_Information_2021.docx" TargetMode="External"/><Relationship Id="rId24" Type="http://schemas.openxmlformats.org/officeDocument/2006/relationships/hyperlink" Target="http://www.nature.com/info/privacy.html" TargetMode="External"/><Relationship Id="rId5" Type="http://schemas.openxmlformats.org/officeDocument/2006/relationships/hyperlink" Target="http://www.nature.com/authors/policies/availability.html" TargetMode="External"/><Relationship Id="rId15" Type="http://schemas.openxmlformats.org/officeDocument/2006/relationships/hyperlink" Target="http://www.nature.com/authors/policies/duplicate.html;" TargetMode="External"/><Relationship Id="rId23" Type="http://schemas.openxmlformats.org/officeDocument/2006/relationships/hyperlink" Target="http://www.nature.com/authors/policies/confidentiality.html" TargetMode="External"/><Relationship Id="rId10" Type="http://schemas.openxmlformats.org/officeDocument/2006/relationships/hyperlink" Target="https://drive.google.com/file/d/10nwyH47XJvzmtGleKS2YopG-6hDw6jeB/view?usp=sharing" TargetMode="External"/><Relationship Id="rId19" Type="http://schemas.openxmlformats.org/officeDocument/2006/relationships/hyperlink" Target="http://platformsupport.nature.com/" TargetMode="External"/><Relationship Id="rId4" Type="http://schemas.openxmlformats.org/officeDocument/2006/relationships/hyperlink" Target="https://guides.github.com/activities/citable-code/" TargetMode="External"/><Relationship Id="rId9" Type="http://schemas.openxmlformats.org/officeDocument/2006/relationships/hyperlink" Target="http://www.nature.com/authors/editorial_policies/image.html/" TargetMode="External"/><Relationship Id="rId14" Type="http://schemas.openxmlformats.org/officeDocument/2006/relationships/hyperlink" Target="https://www.nature.com/nature-research/editorial-policies/reporting-standards" TargetMode="External"/><Relationship Id="rId22" Type="http://schemas.openxmlformats.org/officeDocument/2006/relationships/hyperlink" Target="http://platformsupport.nature.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4819</Words>
  <Characters>27472</Characters>
  <Application>Microsoft Office Word</Application>
  <DocSecurity>0</DocSecurity>
  <Lines>228</Lines>
  <Paragraphs>64</Paragraphs>
  <ScaleCrop>false</ScaleCrop>
  <Company/>
  <LinksUpToDate>false</LinksUpToDate>
  <CharactersWithSpaces>32227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Lessing  Alice</dc:creator>
  <dc:description/>
  <cp:lastModifiedBy>Martinelli, Adriano Luca (DBMR)</cp:lastModifiedBy>
  <cp:revision>2</cp:revision>
  <dcterms:created xsi:type="dcterms:W3CDTF">2026-04-29T22:42:00Z</dcterms:created>
  <dcterms:modified xsi:type="dcterms:W3CDTF">2026-04-29T22:42:00Z</dcterms:modified>
  <dc:language>de-DE</dc:language>
</cp:coreProperties>
</file>