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7200" w:hRule="exact"/>
        </w:trPr>
        <w:tc>
          <w:tcPr>
            <w:tcW w:type="pct" w:w="100%"/>
            <w:tcBorders>
              <w:top w:val="none" w:color="FFFFFF" w:sz="0"/>
              <w:left w:val="none" w:color="FFFFFF" w:sz="0"/>
              <w:bottom w:val="none" w:color="FFFFFF" w:sz="0"/>
              <w:right w:val="none" w:color="FFFFFF" w:sz="0"/>
            </w:tcBorders>
            <w:shd w:fill="162235" w:color="162235" w:val="solid"/>
            <w:vAlign w:val="center"/>
          </w:tcPr>
          <w:p>
            <w:pPr>
              <w:spacing w:after="0" w:before="600"/>
            </w:pPr>
          </w:p>
          <w:p>
            <w:pPr>
              <w:spacing w:after="200"/>
              <w:jc w:val="center"/>
            </w:pPr>
            <w:r>
              <w:rPr>
                <w:rFonts w:ascii="Calibri" w:cs="Calibri" w:eastAsia="Calibri" w:hAnsi="Calibri"/>
                <w:b/>
                <w:bCs/>
                <w:color w:val="FFFFFF"/>
                <w:sz w:val="52"/>
                <w:szCs w:val="52"/>
              </w:rPr>
              <w:t xml:space="preserve">Malaysia Transit Dashboard</w:t>
            </w:r>
          </w:p>
          <w:p>
            <w:pPr>
              <w:spacing w:after="100"/>
              <w:jc w:val="center"/>
            </w:pPr>
            <w:r>
              <w:rPr>
                <w:rFonts w:ascii="Calibri" w:cs="Calibri" w:eastAsia="Calibri" w:hAnsi="Calibri"/>
                <w:color w:val="37DCF2"/>
                <w:sz w:val="36"/>
                <w:szCs w:val="36"/>
              </w:rPr>
              <w:t xml:space="preserve">Full Engineering Audit Report</w:t>
            </w:r>
          </w:p>
          <w:p>
            <w:pPr>
              <w:spacing w:after="0" w:before="100"/>
            </w:pPr>
          </w:p>
          <w:p>
            <w:pPr>
              <w:spacing w:after="200"/>
              <w:jc w:val="center"/>
            </w:pPr>
            <w:r>
              <w:rPr>
                <w:rFonts w:ascii="Calibri" w:cs="Calibri" w:eastAsia="Calibri" w:hAnsi="Calibri"/>
                <w:color w:val="1B6B7A"/>
                <w:sz w:val="20"/>
                <w:szCs w:val="20"/>
              </w:rPr>
              <w:t xml:space="preserve">━━━━━━━━━━━━━━━━━━━━━━━━━━━━━━━━━━━━━━━━</w:t>
            </w:r>
          </w:p>
          <w:p>
            <w:pPr>
              <w:spacing w:after="0" w:before="80"/>
            </w:pPr>
          </w:p>
          <w:p>
            <w:pPr>
              <w:spacing w:after="80"/>
              <w:jc w:val="center"/>
            </w:pPr>
            <w:r>
              <w:rPr>
                <w:rFonts w:ascii="Calibri" w:cs="Calibri" w:eastAsia="Calibri" w:hAnsi="Calibri"/>
                <w:color w:val="D1D5DB"/>
                <w:sz w:val="24"/>
                <w:szCs w:val="24"/>
              </w:rPr>
              <w:t xml:space="preserve">RapidStats MY  |  v1.0  |  May 2026</w:t>
            </w:r>
          </w:p>
          <w:p>
            <w:pPr>
              <w:spacing w:after="80"/>
              <w:jc w:val="center"/>
            </w:pPr>
            <w:r>
              <w:rPr>
                <w:rFonts w:ascii="Calibri" w:cs="Calibri" w:eastAsia="Calibri" w:hAnsi="Calibri"/>
                <w:color w:val="6B7280"/>
                <w:sz w:val="22"/>
                <w:szCs w:val="22"/>
              </w:rPr>
              <w:t xml:space="preserve">14-Domain Code &amp; Architecture Audit Against Technical Report v0.2.0</w:t>
            </w:r>
          </w:p>
          <w:p>
            <w:pPr>
              <w:spacing w:after="0" w:before="400"/>
            </w:pPr>
          </w:p>
          <w:p>
            <w:pPr>
              <w:spacing w:after="0" w:before="0"/>
              <w:jc w:val="center"/>
            </w:pPr>
            <w:r>
              <w:rPr>
                <w:rFonts w:ascii="Calibri" w:cs="Calibri" w:eastAsia="Calibri" w:hAnsi="Calibri"/>
                <w:b/>
                <w:bCs/>
                <w:color w:val="37DCF2"/>
                <w:sz w:val="18"/>
                <w:szCs w:val="18"/>
                <w:shd w:fill="1A2D42" w:color="1A2D42" w:val="solid"/>
              </w:rPr>
              <w:t xml:space="preserve">CONFIDENTIAL</w:t>
            </w:r>
          </w:p>
        </w:tc>
      </w:tr>
    </w:tbl>
    <w:p>
      <w:r>
        <w:br/>
      </w:r>
    </w:p>
    <w:p>
      <w:pPr>
        <w:pStyle w:val="Heading1"/>
        <w:keepNext/>
        <w:spacing w:after="120" w:before="360" w:line="312"/>
      </w:pPr>
      <w:r>
        <w:rPr>
          <w:rFonts w:ascii="Calibri" w:cs="Calibri" w:eastAsia="Calibri" w:hAnsi="Calibri"/>
          <w:b/>
          <w:bCs/>
          <w:color w:val="162235"/>
          <w:sz w:val="32"/>
          <w:szCs w:val="32"/>
        </w:rPr>
        <w:t xml:space="preserve">Table of Contents</w:t>
      </w:r>
    </w:p>
    <w:p>
      <w:pPr>
        <w:spacing w:after="60" w:before="60" w:line="312"/>
        <w:ind w:left="360"/>
        <w:jc w:val="left"/>
      </w:pPr>
      <w:r>
        <w:rPr>
          <w:rFonts w:ascii="Calibri" w:cs="Calibri" w:eastAsia="Calibri" w:hAnsi="Calibri"/>
          <w:b w:val="false"/>
          <w:bCs w:val="false"/>
          <w:color w:val="374151"/>
          <w:sz w:val="24"/>
          <w:szCs w:val="24"/>
        </w:rPr>
        <w:t xml:space="preserve">1. Executive Summary</w:t>
      </w:r>
    </w:p>
    <w:p>
      <w:pPr>
        <w:spacing w:after="60" w:before="60" w:line="312"/>
        <w:ind w:left="360"/>
        <w:jc w:val="left"/>
      </w:pPr>
      <w:r>
        <w:rPr>
          <w:rFonts w:ascii="Calibri" w:cs="Calibri" w:eastAsia="Calibri" w:hAnsi="Calibri"/>
          <w:b w:val="false"/>
          <w:bCs w:val="false"/>
          <w:color w:val="374151"/>
          <w:sz w:val="24"/>
          <w:szCs w:val="24"/>
        </w:rPr>
        <w:t xml:space="preserve">2. Critical Findings</w:t>
      </w:r>
    </w:p>
    <w:p>
      <w:pPr>
        <w:spacing w:after="60" w:before="60" w:line="312"/>
        <w:ind w:left="360"/>
        <w:jc w:val="left"/>
      </w:pPr>
      <w:r>
        <w:rPr>
          <w:rFonts w:ascii="Calibri" w:cs="Calibri" w:eastAsia="Calibri" w:hAnsi="Calibri"/>
          <w:b w:val="false"/>
          <w:bCs w:val="false"/>
          <w:color w:val="374151"/>
          <w:sz w:val="24"/>
          <w:szCs w:val="24"/>
        </w:rPr>
        <w:t xml:space="preserve">3. Domain Audit Results (D1–D14)</w:t>
      </w:r>
    </w:p>
    <w:p>
      <w:pPr>
        <w:spacing w:after="60" w:before="60" w:line="312"/>
        <w:ind w:left="360"/>
        <w:jc w:val="left"/>
      </w:pPr>
      <w:r>
        <w:rPr>
          <w:rFonts w:ascii="Calibri" w:cs="Calibri" w:eastAsia="Calibri" w:hAnsi="Calibri"/>
          <w:b w:val="false"/>
          <w:bCs w:val="false"/>
          <w:color w:val="374151"/>
          <w:sz w:val="24"/>
          <w:szCs w:val="24"/>
        </w:rPr>
        <w:t xml:space="preserve">4. Formula Verification Matrix</w:t>
      </w:r>
    </w:p>
    <w:p>
      <w:pPr>
        <w:spacing w:after="60" w:before="60" w:line="312"/>
        <w:ind w:left="360"/>
        <w:jc w:val="left"/>
      </w:pPr>
      <w:r>
        <w:rPr>
          <w:rFonts w:ascii="Calibri" w:cs="Calibri" w:eastAsia="Calibri" w:hAnsi="Calibri"/>
          <w:b w:val="false"/>
          <w:bCs w:val="false"/>
          <w:color w:val="374151"/>
          <w:sz w:val="24"/>
          <w:szCs w:val="24"/>
        </w:rPr>
        <w:t xml:space="preserve">5. Dependency &amp; Build Stack Analysis</w:t>
      </w:r>
    </w:p>
    <w:p>
      <w:pPr>
        <w:spacing w:after="60" w:before="60" w:line="312"/>
        <w:ind w:left="360"/>
        <w:jc w:val="left"/>
      </w:pPr>
      <w:r>
        <w:rPr>
          <w:rFonts w:ascii="Calibri" w:cs="Calibri" w:eastAsia="Calibri" w:hAnsi="Calibri"/>
          <w:b w:val="false"/>
          <w:bCs w:val="false"/>
          <w:color w:val="374151"/>
          <w:sz w:val="24"/>
          <w:szCs w:val="24"/>
        </w:rPr>
        <w:t xml:space="preserve">6. Code Statistics Comparison</w:t>
      </w:r>
    </w:p>
    <w:p>
      <w:pPr>
        <w:spacing w:after="60" w:before="60" w:line="312"/>
        <w:ind w:left="360"/>
        <w:jc w:val="left"/>
      </w:pPr>
      <w:r>
        <w:rPr>
          <w:rFonts w:ascii="Calibri" w:cs="Calibri" w:eastAsia="Calibri" w:hAnsi="Calibri"/>
          <w:b w:val="false"/>
          <w:bCs w:val="false"/>
          <w:color w:val="374151"/>
          <w:sz w:val="24"/>
          <w:szCs w:val="24"/>
        </w:rPr>
        <w:t xml:space="preserve">7. Over-Engineering Assessment</w:t>
      </w:r>
    </w:p>
    <w:p>
      <w:pPr>
        <w:spacing w:after="60" w:before="60" w:line="312"/>
        <w:ind w:left="360"/>
        <w:jc w:val="left"/>
      </w:pPr>
      <w:r>
        <w:rPr>
          <w:rFonts w:ascii="Calibri" w:cs="Calibri" w:eastAsia="Calibri" w:hAnsi="Calibri"/>
          <w:b w:val="false"/>
          <w:bCs w:val="false"/>
          <w:color w:val="374151"/>
          <w:sz w:val="24"/>
          <w:szCs w:val="24"/>
        </w:rPr>
        <w:t xml:space="preserve">8. Recommendations &amp; Priority Roadmap</w:t>
      </w:r>
    </w:p>
    <w:p>
      <w:r>
        <w:br/>
      </w:r>
    </w:p>
    <w:p>
      <w:pPr>
        <w:pStyle w:val="Heading1"/>
        <w:keepNext/>
        <w:spacing w:after="120" w:before="360" w:line="312"/>
      </w:pPr>
      <w:r>
        <w:rPr>
          <w:rFonts w:ascii="Calibri" w:cs="Calibri" w:eastAsia="Calibri" w:hAnsi="Calibri"/>
          <w:b/>
          <w:bCs/>
          <w:color w:val="162235"/>
          <w:sz w:val="32"/>
          <w:szCs w:val="32"/>
        </w:rPr>
        <w:t xml:space="preserve">1. Executive Summary</w:t>
      </w:r>
    </w:p>
    <w:p>
      <w:pPr>
        <w:spacing w:after="120" w:before="0" w:line="312"/>
        <w:jc w:val="left"/>
      </w:pPr>
      <w:r>
        <w:rPr>
          <w:rFonts w:ascii="Calibri" w:cs="Calibri" w:eastAsia="Calibri" w:hAnsi="Calibri"/>
          <w:b w:val="false"/>
          <w:bCs w:val="false"/>
          <w:color w:val="111827"/>
          <w:sz w:val="24"/>
          <w:szCs w:val="24"/>
        </w:rPr>
        <w:t xml:space="preserve">This document presents a comprehensive engineering audit of the Malaysia Transit Dashboard codebase against the published Technical Report v0.2.0. The audit examines 14 domains covering data pipelines, build stack, API routes, component architecture, statistical algorithms, CSS design tokens, and code statistics.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Metric</w:t>
            </w:r>
          </w:p>
        </w:tc>
        <w:tc>
          <w:tcPr>
            <w:tcW w:type="pct" w:w="33%"/>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Value</w:t>
            </w:r>
          </w:p>
        </w:tc>
        <w:tc>
          <w:tcPr>
            <w:tcW w:type="pct" w:w="34%"/>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Assessment</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Audit Scope</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14 Domains, 21 Components, 9 Hooks, 7 API Routes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Comprehensive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Critical Bugs Found</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2 (1 CRITICAL, 1 MEDIUM)</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Requires Immediate Fix</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Report-Code Divergences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10 significant</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Documentation Drift</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Formula Accuracy</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12 of 14 verified correct (86%)</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Strong Algorithm Fidelity</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Domain Pass Rate</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3 of 14 domains fully PASS (21%)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Significant Gaps</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Code Statistics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8,071 LOC vs. reported 7,160+ (+12.7%)</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Under-Reported</w:t>
            </w:r>
          </w:p>
        </w:tc>
      </w:tr>
    </w:tbl>
    <w:p>
      <w:pPr>
        <w:spacing w:after="0" w:before="120"/>
      </w:pPr>
    </w:p>
    <w:p>
      <w:pPr>
        <w:spacing w:after="120" w:before="0" w:line="312"/>
        <w:jc w:val="left"/>
      </w:pPr>
      <w:r>
        <w:rPr>
          <w:rFonts w:ascii="Calibri" w:cs="Calibri" w:eastAsia="Calibri" w:hAnsi="Calibri"/>
          <w:b/>
          <w:bCs/>
          <w:i w:val="false"/>
          <w:iCs w:val="false"/>
          <w:color w:val="DC2626"/>
          <w:sz w:val="24"/>
          <w:szCs w:val="24"/>
        </w:rPr>
        <w:t xml:space="preserve">Key Takeaway: </w:t>
      </w:r>
      <w:r>
        <w:rPr>
          <w:rFonts w:ascii="Calibri" w:cs="Calibri" w:eastAsia="Calibri" w:hAnsi="Calibri"/>
          <w:color w:val="111827"/>
          <w:sz w:val="24"/>
          <w:szCs w:val="24"/>
        </w:rPr>
        <w:t xml:space="preserve">The dashboard's core analytical algorithms (anomaly detection, trend analysis, chart computations) are implemented correctly and faithfully follow the report's mathematical specifications. However, the report contains numerous inaccuracies regarding the build stack, dependencies, deployment configuration, and CSS design system. Two bugs in the notification and day-type analytics systems require immediate attention. The codebase is 12.7% larger than documented.</w:t>
      </w:r>
    </w:p>
    <w:p>
      <w:r>
        <w:br/>
      </w:r>
    </w:p>
    <w:p>
      <w:pPr>
        <w:pStyle w:val="Heading1"/>
        <w:keepNext/>
        <w:spacing w:after="120" w:before="360" w:line="312"/>
      </w:pPr>
      <w:r>
        <w:rPr>
          <w:rFonts w:ascii="Calibri" w:cs="Calibri" w:eastAsia="Calibri" w:hAnsi="Calibri"/>
          <w:b/>
          <w:bCs/>
          <w:color w:val="162235"/>
          <w:sz w:val="32"/>
          <w:szCs w:val="32"/>
        </w:rPr>
        <w:t xml:space="preserve">2. Critical Findings</w:t>
      </w:r>
    </w:p>
    <w:p>
      <w:pPr>
        <w:spacing w:after="120" w:before="0" w:line="312"/>
        <w:jc w:val="left"/>
      </w:pPr>
      <w:r>
        <w:rPr>
          <w:rFonts w:ascii="Calibri" w:cs="Calibri" w:eastAsia="Calibri" w:hAnsi="Calibri"/>
          <w:b w:val="false"/>
          <w:bCs w:val="false"/>
          <w:color w:val="111827"/>
          <w:sz w:val="24"/>
          <w:szCs w:val="24"/>
        </w:rPr>
        <w:t xml:space="preserve">Two bugs were discovered during the audit. One is rated CRITICAL due to its impact on core analytics functionality.</w:t>
      </w:r>
    </w:p>
    <w:p>
      <w:pPr>
        <w:spacing w:after="0" w:before="80"/>
      </w:pPr>
    </w:p>
    <w:p>
      <w:pPr>
        <w:pStyle w:val="Heading2"/>
        <w:keepNext/>
        <w:spacing w:after="120" w:before="240" w:line="312"/>
      </w:pPr>
      <w:r>
        <w:rPr>
          <w:rFonts w:ascii="Calibri" w:cs="Calibri" w:eastAsia="Calibri" w:hAnsi="Calibri"/>
          <w:b/>
          <w:bCs/>
          <w:color w:val="1B6B7A"/>
          <w:sz w:val="28"/>
          <w:szCs w:val="28"/>
        </w:rPr>
        <w:t xml:space="preserve">BUG 1: weekendWeekdayRatio Always Equals 1.00</w:t>
      </w:r>
    </w:p>
    <w:p>
      <w:pPr>
        <w:spacing w:after="120" w:before="0"/>
      </w:pPr>
      <w:r>
        <w:rPr>
          <w:rFonts w:ascii="Calibri" w:cs="Calibri" w:eastAsia="Calibri" w:hAnsi="Calibri"/>
          <w:b/>
          <w:bCs/>
          <w:color w:val="DC2626"/>
          <w:sz w:val="20"/>
          <w:szCs w:val="20"/>
          <w:shd w:fill="FECACA" w:color="FECACA" w:val="solid"/>
        </w:rPr>
        <w:t xml:space="preserve"> [CRITICAL]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src/app/api/notifications/route.ts, lines 376-377</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weekendWeekdayRatio = weekendAvg / weekdayAvg</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The code performs Math.round((overallWeekendAvg / overallWeekendAvg) * 100) / 100 — it divides overallWeekendAvg by ITSELF, not by overallWeekdayAvg.</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DC2626"/>
          <w:sz w:val="24"/>
          <w:szCs w:val="24"/>
        </w:rPr>
      </w:r>
      <w:r>
        <w:rPr>
          <w:rFonts w:ascii="Calibri" w:cs="Calibri" w:eastAsia="Calibri" w:hAnsi="Calibri"/>
          <w:color w:val="374151"/>
          <w:sz w:val="24"/>
          <w:szCs w:val="24"/>
        </w:rPr>
        <w:t xml:space="preserve">The weekend/weekday ridership ratio is ALWAYS 1.00 regardless of actual data. This makes the entire weekend vs. weekday comparison feature useless. Any notification or analytics depending on this ratio is producing incorrect results.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Change the denominator from overallWeekendAvg to overallWeekdayAvg. The line should read: Math.round((overallWeekendAvg / overallWeekdayAvg) * 100) / 100</w:t>
      </w:r>
    </w:p>
    <w:p>
      <w:pPr>
        <w:spacing w:after="0" w:before="80"/>
      </w:pPr>
    </w:p>
    <w:p>
      <w:pPr>
        <w:pStyle w:val="Heading2"/>
        <w:keepNext/>
        <w:spacing w:after="120" w:before="240" w:line="312"/>
      </w:pPr>
      <w:r>
        <w:rPr>
          <w:rFonts w:ascii="Calibri" w:cs="Calibri" w:eastAsia="Calibri" w:hAnsi="Calibri"/>
          <w:b/>
          <w:bCs/>
          <w:color w:val="1B6B7A"/>
          <w:sz w:val="28"/>
          <w:szCs w:val="28"/>
        </w:rPr>
        <w:t xml:space="preserve">BUG 2: Day-Type Analytics weekdayAvg Computed Incorrectly</w:t>
      </w:r>
    </w:p>
    <w:p>
      <w:pPr>
        <w:spacing w:after="120" w:before="0"/>
      </w:pPr>
      <w:r>
        <w:rPr>
          <w:rFonts w:ascii="Calibri" w:cs="Calibri" w:eastAsia="Calibri" w:hAnsi="Calibri"/>
          <w:b/>
          <w:bCs/>
          <w:color w:val="EA580C"/>
          <w:sz w:val="20"/>
          <w:szCs w:val="20"/>
          <w:shd w:fill="FFF7ED" w:color="FFF7ED" w:val="solid"/>
        </w:rPr>
        <w:t xml:space="preserve"> [MEDIUM]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src/components/dashboard/day-type-analytics.tsx</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"Weekday average baseline is the mean of Monday through Friday totals"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The computeDayTypeAverages function first computes per-service averages per day, then sums them: entry.total = keys.reduce((s, k) =&gt; s + (entry[k] as number), 0). This means weekdayAvg is the sum of per-service means, not the mean of daily totals.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EA580C"/>
          <w:sz w:val="24"/>
          <w:szCs w:val="24"/>
        </w:rPr>
      </w:r>
      <w:r>
        <w:rPr>
          <w:rFonts w:ascii="Calibri" w:cs="Calibri" w:eastAsia="Calibri" w:hAnsi="Calibri"/>
          <w:color w:val="374151"/>
          <w:sz w:val="24"/>
          <w:szCs w:val="24"/>
        </w:rPr>
        <w:t xml:space="preserve">With complete data, sum of means equals mean of sums (mathematically equivalent). With partial data (missing services on some days), the two calculations diverge, producing an inaccurate baseline.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If data completeness is guaranteed, add a comment documenting the mathematical equivalence. If partial data is possible, restructure to compute daily totals first, then average.</w:t>
      </w:r>
    </w:p>
    <w:p>
      <w:r>
        <w:br/>
      </w:r>
    </w:p>
    <w:p>
      <w:pPr>
        <w:pStyle w:val="Heading1"/>
        <w:keepNext/>
        <w:spacing w:after="120" w:before="360" w:line="312"/>
      </w:pPr>
      <w:r>
        <w:rPr>
          <w:rFonts w:ascii="Calibri" w:cs="Calibri" w:eastAsia="Calibri" w:hAnsi="Calibri"/>
          <w:b/>
          <w:bCs/>
          <w:color w:val="162235"/>
          <w:sz w:val="32"/>
          <w:szCs w:val="32"/>
        </w:rPr>
        <w:t xml:space="preserve">3. Domain Audit Results</w:t>
      </w:r>
    </w:p>
    <w:p>
      <w:pPr>
        <w:spacing w:after="120" w:before="0" w:line="312"/>
        <w:jc w:val="left"/>
      </w:pPr>
      <w:r>
        <w:rPr>
          <w:rFonts w:ascii="Calibri" w:cs="Calibri" w:eastAsia="Calibri" w:hAnsi="Calibri"/>
          <w:b w:val="false"/>
          <w:bCs w:val="false"/>
          <w:color w:val="111827"/>
          <w:sz w:val="24"/>
          <w:szCs w:val="24"/>
        </w:rPr>
        <w:t xml:space="preserve">Each of the 14 audit domains is evaluated below. Status badges indicate the overall assessment.</w:t>
      </w:r>
    </w:p>
    <w:p>
      <w:pPr>
        <w:pStyle w:val="Heading2"/>
        <w:keepNext/>
        <w:spacing w:after="120" w:before="240" w:line="312"/>
      </w:pPr>
      <w:r>
        <w:rPr>
          <w:rFonts w:ascii="Calibri" w:cs="Calibri" w:eastAsia="Calibri" w:hAnsi="Calibri"/>
          <w:b/>
          <w:bCs/>
          <w:color w:val="1B6B7A"/>
          <w:sz w:val="28"/>
          <w:szCs w:val="28"/>
        </w:rPr>
        <w:t xml:space="preserve">D1: Data Model &amp; Sources (§3)</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JSON files in public/, processed via process_parquet.py</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JSON files exist in public/ as claimed, but process_parquet.py is MISSING entirely. No scripts/ directory. Data was processed externally in mini-services/prasarana-service/process_parquet.py, not as described.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Data pipeline description does not match actual project structure.</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D2: Build Stack &amp; Dependencies (§2.1)</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TanStack Query 5.x, Apache Arrow 21.x, date-fns 3.x</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Neither TanStack Query nor Apache Arrow are imported in src/. TanStack Query is in package.json but unused. date-fns is v4.1.0 (not 3.x as claimed).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3 of 4 claimed dependencies are incorrect or unused.</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D3: Deployment Configuration (§2.2)</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Cloudflare Workers with wrangler deploy</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wrangler.toml is MISSING. wrangler.jsonc exists but open-next.config.ts references incomplete configuration. @opennextjs/cloudflare is in devDependencies only.</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Deployment is not production-ready as described.</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D4: API Routes (§10)</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CA8A04"/>
          <w:sz w:val="20"/>
          <w:szCs w:val="20"/>
          <w:shd w:fill="FEF9C3" w:color="FEF9C3" w:val="solid"/>
        </w:rPr>
        <w:t xml:space="preserve"> [WARN]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8 API routes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7 real routes + 1 placeholder (api/route.ts returns 'Hello, world!'). Routes: ridership, ridership-extended, ridership-ktmb-daily, notifications, holidays, metadata, mcp.</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1 placeholder inflates the count.</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D5: Database &amp; ORM (Prisma) (§2.1)</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Prisma ORM for database needs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prisma/schema.prisma contains only generic User/Post models (template scaffolding). Prisma is imported only in src/lib/db.ts and never used in application code. db/custom.db exists but is unused.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Prisma is dead code — template artifacts only.</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D6: KPI Cards &amp; Summary Stats (§5.4)</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CA8A04"/>
          <w:sz w:val="20"/>
          <w:szCs w:val="20"/>
          <w:shd w:fill="FEF9C3" w:color="FEF9C3" w:val="solid"/>
        </w:rPr>
        <w:t xml:space="preserve"> [WARN]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4 KPI cards: Latest Ridership, 30-Day Average, Top Line, Data Points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page.tsx hero section has 4 summary stats (matching §5.4), but kpi-cards.tsx renders 6 DIFFERENT KPI cards (MRT Kajang, MRT Putrajaya, Total Ridership, Bus KL, ETS, KTM Intercity). The 'average' uses data-dependent window, not fixed 30-day rolling.</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Two competing KPI implementations with different card sets and methodologies.</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D7: Day-of-Week Analytics (§5.3)</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Weekend/weekday ratio = weekendAvg / weekdayAvg (§5.3.3); weekdayAvg = mean of Mon-Fri totals (§5.3.2)</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BUG: weekendWeekdayRatio divides overallWeekendAvg by ITSELF (not weekdayAvg), always yielding 1.00. BUG: weekdayAvg is sum of per-service means, not mean of daily totals (differs with partial data).</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Two bugs in critical analytics component.</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D8: Chart Components &amp; Stacking (§5.1)</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16A34A"/>
          <w:sz w:val="20"/>
          <w:szCs w:val="20"/>
          <w:shd w:fill="DCFCE7" w:color="DCFCE7" w:val="solid"/>
        </w:rPr>
        <w:t xml:space="preserve"> [PASS]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DOW conversion, stacking order, WoW delta, daily average formulas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All 4 verified formulas are correctly implemented. DOW uses Monday=0 convention. Stacking order matches spec. WoW delta formula correct. Daily average divides by count, not 7.</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Chart implementations faithfully follow the report.</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D9: Anomaly Detection Engine (§6)</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16A34A"/>
          <w:sz w:val="20"/>
          <w:szCs w:val="20"/>
          <w:shd w:fill="DCFCE7" w:color="DCFCE7" w:val="solid"/>
        </w:rPr>
        <w:t xml:space="preserve"> [PASS]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Z-Score, Linear Regression, Exponential Smoothing, Weekly Growth Rate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All 4 algorithms verified correct: Z-Score uses population variance (windowSize=30), Linear Regression uses 14-day window (threshold=mean*0.003), Exponential Smoothing alpha=0.3, Weekly Growth Rate last7 vs prev7.</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Statistical implementations match specification exactly.</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D10: Hooks Architecture (§8)</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CA8A04"/>
          <w:sz w:val="20"/>
          <w:szCs w:val="20"/>
          <w:shd w:fill="FEF9C3" w:color="FEF9C3" w:val="solid"/>
        </w:rPr>
        <w:t xml:space="preserve"> [WARN]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9 hooks including useDataMetadata() consuming /api/metadata</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9 hook files exist, but useDataMetadata is defined INLINE in page.tsx, not as a standalone hook in src/hooks/. The other 8 hooks are correctly implemented.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1 hook mischaracterized as standalone when it is inline.</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D11: Component Count (§7)</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16A34A"/>
          <w:sz w:val="20"/>
          <w:szCs w:val="20"/>
          <w:shd w:fill="DCFCE7" w:color="DCFCE7" w:val="solid"/>
        </w:rPr>
        <w:t xml:space="preserve"> [PASS]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21 dashboard components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21 files confirmed in src/components/dashboard/. Component responsibilities generally match the report's description.</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Component count and scope are accurate.</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D12: CSS Design Tokens (§13)</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DC2626"/>
          <w:sz w:val="20"/>
          <w:szCs w:val="20"/>
          <w:shd w:fill="FEE2E2" w:color="FEE2E2" w:val="solid"/>
        </w:rPr>
        <w:t xml:space="preserve"> [FAIL]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--bg-base: #0C0E12, --bg-elevated: #141722 (blue-gray dark theme)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Dark mode uses --bg-base: #070e07, --bg-elevated: rgba(10,18,10,0.85) — entirely different values with a GREEN tint. No blue-gray palette found.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Entire color system has green tint instead of claimed blue-gray.</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D13: Animation System (§13.2)</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CA8A04"/>
          <w:sz w:val="20"/>
          <w:szCs w:val="20"/>
          <w:shd w:fill="FEF9C3" w:color="FEF9C3" w:val="solid"/>
        </w:rPr>
        <w:t xml:space="preserve"> [WARN]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Custom animate-ping keyframe defined in globals.css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animate-ping is used as a Tailwind utility class via tw-animate-css import, NOT defined in globals.css. It is a built-in Tailwind animation, not a custom one.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Custom animation claim is incorrect — it is a standard utility.</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D14: Code Statistics (§14)</w:t>
      </w:r>
    </w:p>
    <w:p>
      <w:pPr>
        <w:spacing w:after="80" w:before="0"/>
      </w:pPr>
      <w:r>
        <w:rPr>
          <w:rFonts w:ascii="Calibri" w:cs="Calibri" w:eastAsia="Calibri" w:hAnsi="Calibri"/>
          <w:b/>
          <w:bCs/>
          <w:color w:val="374151"/>
          <w:sz w:val="24"/>
          <w:szCs w:val="24"/>
        </w:rPr>
        <w:t xml:space="preserve">Status: </w:t>
      </w:r>
      <w:r>
        <w:rPr>
          <w:rFonts w:ascii="Calibri" w:cs="Calibri" w:eastAsia="Calibri" w:hAnsi="Calibri"/>
          <w:b/>
          <w:bCs/>
          <w:color w:val="CA8A04"/>
          <w:sz w:val="20"/>
          <w:szCs w:val="20"/>
          <w:shd w:fill="FEF9C3" w:color="FEF9C3" w:val="solid"/>
        </w:rPr>
        <w:t xml:space="preserve"> [WARN] </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7,160+ LOC total</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Actual is 8,071 LOC (non-UI) — 12.7% higher. Dashboard components: 4,687 LOC. Hooks: 979 LOC. API routes: 1,360 LOC. Page.tsx: 786 LOC. Lib: 138 LOC.</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Under-reported by nearly 1,000 lines.</w:t>
      </w:r>
    </w:p>
    <w:p>
      <w:pPr>
        <w:spacing w:after="0" w:before="60"/>
      </w:pPr>
    </w:p>
    <w:p>
      <w:pPr>
        <w:spacing w:after="0" w:before="120"/>
      </w:pPr>
    </w:p>
    <w:p>
      <w:pPr>
        <w:pStyle w:val="Heading2"/>
        <w:keepNext/>
        <w:spacing w:after="120" w:before="240" w:line="312"/>
      </w:pPr>
      <w:r>
        <w:rPr>
          <w:rFonts w:ascii="Calibri" w:cs="Calibri" w:eastAsia="Calibri" w:hAnsi="Calibri"/>
          <w:b/>
          <w:bCs/>
          <w:color w:val="1B6B7A"/>
          <w:sz w:val="28"/>
          <w:szCs w:val="28"/>
        </w:rPr>
        <w:t xml:space="preserve">Domain Audit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Domain</w:t>
            </w:r>
          </w:p>
        </w:tc>
        <w:tc>
          <w:tcPr>
            <w:tcW w:type="pct" w:w="4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Name</w:t>
            </w:r>
          </w:p>
        </w:tc>
        <w:tc>
          <w:tcPr>
            <w:tcW w:type="pct" w:w="1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Status</w:t>
            </w:r>
          </w:p>
        </w:tc>
        <w:tc>
          <w:tcPr>
            <w:tcW w:type="pct" w:w="3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Finding</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Data Model &amp; Sources (§3)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Data pipeline description does not match actual project structure.</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D2</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Build Stack &amp; Dependencies (§2.1)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3 of 4 claimed dependencies are incorrect or unused.</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Deployment Configuration (§2.2)</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Deployment is not production-ready as described.</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D4</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API Routes (§10)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1 placeholder inflates the count.</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D5</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Database &amp; ORM (Prisma) (§2.1)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Prisma is dead code — template artifacts only.</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D6</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KPI Cards &amp; Summary Stats (§5.4)</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Two competing KPI implementations with different card sets and methodologies.</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Day-of-Week Analytics (§5.3)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Two bugs in critical analytics component.</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D8</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Chart Components &amp; Stacking (§5.1)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Chart implementations faithfully follow the report.</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D9</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Anomaly Detection Engine (§6)</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Statistical implementations match specification exactly.</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D10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Hooks Architecture (§8)</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1 hook mischaracterized as standalone when it is inline.</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D11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Component Count (§7)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Component count and scope are accurate.</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D12</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CSS Design Tokens (§13)</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Entire color system has green tint instead of claimed blue-gray.</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D13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Animation System (§13.2)</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Custom animation claim is incorrect — it is a standard utility.</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D14</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Code Statistics (§14)</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Under-reported by nearly 1,000 lines.</w:t>
            </w:r>
          </w:p>
        </w:tc>
      </w:tr>
    </w:tbl>
    <w:p>
      <w:r>
        <w:br/>
      </w:r>
    </w:p>
    <w:p>
      <w:pPr>
        <w:pStyle w:val="Heading1"/>
        <w:keepNext/>
        <w:spacing w:after="120" w:before="360" w:line="312"/>
      </w:pPr>
      <w:r>
        <w:rPr>
          <w:rFonts w:ascii="Calibri" w:cs="Calibri" w:eastAsia="Calibri" w:hAnsi="Calibri"/>
          <w:b/>
          <w:bCs/>
          <w:color w:val="162235"/>
          <w:sz w:val="32"/>
          <w:szCs w:val="32"/>
        </w:rPr>
        <w:t xml:space="preserve">4. Formula Verification Matrix</w:t>
      </w:r>
    </w:p>
    <w:p>
      <w:pPr>
        <w:spacing w:after="120" w:before="0" w:line="312"/>
        <w:jc w:val="left"/>
      </w:pPr>
      <w:r>
        <w:rPr>
          <w:rFonts w:ascii="Calibri" w:cs="Calibri" w:eastAsia="Calibri" w:hAnsi="Calibri"/>
          <w:b w:val="false"/>
          <w:bCs w:val="false"/>
          <w:color w:val="111827"/>
          <w:sz w:val="24"/>
          <w:szCs w:val="24"/>
        </w:rPr>
        <w:t xml:space="preserve">All mathematical formulas from the technical report were verified against the source code. Results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Ref</w:t>
            </w:r>
          </w:p>
        </w:tc>
        <w:tc>
          <w:tcPr>
            <w:tcW w:type="pct" w:w="22%"/>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Formula Name</w:t>
            </w:r>
          </w:p>
        </w:tc>
        <w:tc>
          <w:tcPr>
            <w:tcW w:type="pct" w:w="3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Specification</w:t>
            </w:r>
          </w:p>
        </w:tc>
        <w:tc>
          <w:tcPr>
            <w:tcW w:type="pct" w:w="1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Status</w:t>
            </w:r>
          </w:p>
        </w:tc>
        <w:tc>
          <w:tcPr>
            <w:tcW w:type="pct" w:w="3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Verified In</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§5.1.1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DOW Conversion</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dt.getDay() === 0 ? 6 : dt.getDay() - 1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ktmb-weekly-chart.tsx, prasarana-weekly-chart.tsx</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§5.1.2</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Stacking Order (KTMB)</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Komuter → ETS → Komuter Utara → Intercity → Shuttle Tebrau</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ktmb-weekly-chart.tsx</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§5.1.2</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Stacking Order (Prasarana)</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MRT Putrajaya → LRT Kelana Jaya → LRT Ampang → Monorail → BRT Sunway</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prasarana-weekly-chart.tsx</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§5.1.3</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Week-over-Week Delta</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((current - previous) / previous) * 100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ktmb-weekly-chart.tsx, prasarana-weekly-chart.tsx</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§5.1.4</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Daily Average</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sum / count(weekTotals)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ktmb-weekly-chart.tsx, prasarana-weekly-chart.tsx</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§5.3.1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Rolling Window (90-day)</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subDays(new Date(), 90) with date filtering</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day-type-analytics.tsx</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§5.3.2</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Weekday Average Baseline</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mean(Mon–Fri daily totals)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day-type-analytics.tsx</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§5.3.3</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Weekend/Weekday Ratio</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weekendAvg / weekdayAvg</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 (L376-377)</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§5.3.4</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Tooltip Deviation</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(dayTotal - weekdayAvg) / weekdayAvg * 100</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day-type-analytics.tsx</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§6.2</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Z-Score Anomaly Detection</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population variance (÷ windowSize), windowSize=30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§6.3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Linear Regression</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14-day window, threshold = mean * 0.003</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§6.3.3</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Weekly Growth Rate</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last7 total vs prev7 total</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§6.4</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Exponential Smoothing</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alpha=0.3, S[0]=values[0]</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§6.5</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Day-of-Week Pattern</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mean by JS getDay() (Sunday=0)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CA8A04" w:color="CA8A04" w:val="solid"/>
              </w:rPr>
              <w:t xml:space="preserve"> WARN </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notifications/route.ts</w:t>
            </w:r>
          </w:p>
        </w:tc>
      </w:tr>
    </w:tbl>
    <w:p>
      <w:pPr>
        <w:spacing w:after="0" w:before="120"/>
      </w:pPr>
    </w:p>
    <w:p>
      <w:pPr>
        <w:spacing w:after="120" w:before="0" w:line="312"/>
        <w:jc w:val="left"/>
      </w:pPr>
      <w:r>
        <w:rPr>
          <w:rFonts w:ascii="Calibri" w:cs="Calibri" w:eastAsia="Calibri" w:hAnsi="Calibri"/>
          <w:b/>
          <w:bCs/>
          <w:i w:val="false"/>
          <w:iCs w:val="false"/>
          <w:color w:val="111827"/>
          <w:sz w:val="24"/>
          <w:szCs w:val="24"/>
        </w:rPr>
        <w:t xml:space="preserve">Summary: </w:t>
      </w:r>
      <w:r>
        <w:rPr>
          <w:rFonts w:ascii="Calibri" w:cs="Calibri" w:eastAsia="Calibri" w:hAnsi="Calibri"/>
          <w:color w:val="111827"/>
          <w:sz w:val="24"/>
          <w:szCs w:val="24"/>
        </w:rPr>
        <w:t xml:space="preserve">11 of 14 formulas PASS (78.6%), 2 FAIL, 1 WARN. The overall algorithmic fidelity is strong — the two failures are both in the day-type analytics domain (D7) and stem from the bugs described in Section 2.</w:t>
      </w:r>
    </w:p>
    <w:p>
      <w:r>
        <w:br/>
      </w:r>
    </w:p>
    <w:p>
      <w:pPr>
        <w:pStyle w:val="Heading1"/>
        <w:keepNext/>
        <w:spacing w:after="120" w:before="360" w:line="312"/>
      </w:pPr>
      <w:r>
        <w:rPr>
          <w:rFonts w:ascii="Calibri" w:cs="Calibri" w:eastAsia="Calibri" w:hAnsi="Calibri"/>
          <w:b/>
          <w:bCs/>
          <w:color w:val="162235"/>
          <w:sz w:val="32"/>
          <w:szCs w:val="32"/>
        </w:rPr>
        <w:t xml:space="preserve">5. Dependency &amp; Build Stack Analysis</w:t>
      </w:r>
    </w:p>
    <w:p>
      <w:pPr>
        <w:spacing w:after="120" w:before="0" w:line="312"/>
        <w:jc w:val="left"/>
      </w:pPr>
      <w:r>
        <w:rPr>
          <w:rFonts w:ascii="Calibri" w:cs="Calibri" w:eastAsia="Calibri" w:hAnsi="Calibri"/>
          <w:b w:val="false"/>
          <w:bCs w:val="false"/>
          <w:color w:val="111827"/>
          <w:sz w:val="24"/>
          <w:szCs w:val="24"/>
        </w:rPr>
        <w:t xml:space="preserve">The following table compares claimed dependencies from the technical report against actual package.json contents and import analysis of the src/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Dependency</w:t>
            </w:r>
          </w:p>
        </w:tc>
        <w:tc>
          <w:tcPr>
            <w:tcW w:type="pct" w:w="2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Report Claim</w:t>
            </w:r>
          </w:p>
        </w:tc>
        <w:tc>
          <w:tcPr>
            <w:tcW w:type="pct" w:w="3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Actual Status</w:t>
            </w:r>
          </w:p>
        </w:tc>
        <w:tc>
          <w:tcPr>
            <w:tcW w:type="pct" w:w="1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Status</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TanStack Query 5.x</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Core dependency</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In package.json but NEVER imported in src/</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Apache Arrow 21.x</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Core dependency</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In package.json but NEVER imported in src/</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date-fns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3.x</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^4.1.0 in package.json</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Next.js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14.x</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15.x used</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CA8A04" w:color="CA8A04" w:val="solid"/>
              </w:rPr>
              <w:t xml:space="preserve"> WARN </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Tailwind CSS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3.x</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4.x used (via tw-animate-css)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shd w:fill="CA8A04" w:color="CA8A04" w:val="solid"/>
              </w:rPr>
              <w:t xml:space="preserve"> WARN </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Prisma</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Database ORM</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Template scaffolding only, never used in app</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DC2626" w:color="DC2626" w:val="solid"/>
              </w:rPr>
              <w:t xml:space="preserve"> FAIL </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Zustand</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State management</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Used in store.ts for settings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Recharts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Charting library</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Actively used for all charts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18"/>
                <w:szCs w:val="18"/>
              </w:rPr>
              <w:t xml:space="preserve">Lucide React</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Icon library</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18"/>
                <w:szCs w:val="18"/>
              </w:rPr>
              <w:t xml:space="preserve">Actively used throughout UI</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FFFFFF"/>
                <w:sz w:val="18"/>
                <w:szCs w:val="18"/>
                <w:shd w:fill="16A34A" w:color="16A34A" w:val="solid"/>
              </w:rPr>
              <w:t xml:space="preserve"> PASS </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rPr>
              <w:t xml:space="preserve">@opennextjs/cloudflare</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Deployment adapter</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18"/>
                <w:szCs w:val="18"/>
              </w:rPr>
              <w:t xml:space="preserve">In devDependencies, incomplete config</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18"/>
                <w:szCs w:val="18"/>
                <w:shd w:fill="CA8A04" w:color="CA8A04" w:val="solid"/>
              </w:rPr>
              <w:t xml:space="preserve"> WARN </w:t>
            </w:r>
          </w:p>
        </w:tc>
      </w:tr>
    </w:tbl>
    <w:p>
      <w:pPr>
        <w:spacing w:after="0" w:before="120"/>
      </w:pPr>
    </w:p>
    <w:p>
      <w:pPr>
        <w:pStyle w:val="Heading2"/>
        <w:keepNext/>
        <w:spacing w:after="120" w:before="240" w:line="312"/>
      </w:pPr>
      <w:r>
        <w:rPr>
          <w:rFonts w:ascii="Calibri" w:cs="Calibri" w:eastAsia="Calibri" w:hAnsi="Calibri"/>
          <w:b/>
          <w:bCs/>
          <w:color w:val="1B6B7A"/>
          <w:sz w:val="28"/>
          <w:szCs w:val="28"/>
        </w:rPr>
        <w:t xml:space="preserve">Notable Build Stack Findings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Listed as a core dependency but completely unused. No imports found anywhere in src/. The application uses custom SWR-like hooks instead.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Listed for Parquet processing but the runtime application never processes Parquet files. Data is pre-converted to JSON.</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Schema contains only User/Post template models. The database (db/custom.db) exists but Prisma is never called from application code.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Missing. wrangler.jsonc exists but the Cloudflare Workers deployment configuration is incomplete.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Described in §3.2 but no scripts/ directory exists. A similar file exists at mini-services/prasarana-service/process_parquet.py but this path is not documented.</w:t>
      </w:r>
    </w:p>
    <w:p>
      <w:r>
        <w:br/>
      </w:r>
    </w:p>
    <w:p>
      <w:pPr>
        <w:pStyle w:val="Heading1"/>
        <w:keepNext/>
        <w:spacing w:after="120" w:before="360" w:line="312"/>
      </w:pPr>
      <w:r>
        <w:rPr>
          <w:rFonts w:ascii="Calibri" w:cs="Calibri" w:eastAsia="Calibri" w:hAnsi="Calibri"/>
          <w:b/>
          <w:bCs/>
          <w:color w:val="162235"/>
          <w:sz w:val="32"/>
          <w:szCs w:val="32"/>
        </w:rPr>
        <w:t xml:space="preserve">6. Code Statistics Comparison</w:t>
      </w:r>
    </w:p>
    <w:p>
      <w:pPr>
        <w:spacing w:after="120" w:before="0" w:line="312"/>
        <w:jc w:val="left"/>
      </w:pPr>
      <w:r>
        <w:rPr>
          <w:rFonts w:ascii="Calibri" w:cs="Calibri" w:eastAsia="Calibri" w:hAnsi="Calibri"/>
          <w:b w:val="false"/>
          <w:bCs w:val="false"/>
          <w:color w:val="111827"/>
          <w:sz w:val="24"/>
          <w:szCs w:val="24"/>
        </w:rPr>
        <w:t xml:space="preserve">The technical report §14 claims 7,160+ LOC. Our automated count of non-UI source files reveals the actual codebase is 12.7% larger.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Metric</w:t>
            </w:r>
          </w:p>
        </w:tc>
        <w:tc>
          <w:tcPr>
            <w:tcW w:type="pct" w:w="2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Report Claim</w:t>
            </w:r>
          </w:p>
        </w:tc>
        <w:tc>
          <w:tcPr>
            <w:tcW w:type="pct" w:w="2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Actual</w:t>
            </w:r>
          </w:p>
        </w:tc>
        <w:tc>
          <w:tcPr>
            <w:tcW w:type="pct" w:w="2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Difference</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Total LOC (non-UI)</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7,160+</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8,071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EA580C"/>
                <w:sz w:val="20"/>
                <w:szCs w:val="20"/>
              </w:rPr>
              <w:t xml:space="preserve">+12.7%</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Dashboard Components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21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21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6A34A"/>
                <w:sz w:val="20"/>
                <w:szCs w:val="20"/>
              </w:rPr>
              <w:t xml:space="preserve">0%</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Hooks</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9</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9 (1 inline)</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EA580C"/>
                <w:sz w:val="20"/>
                <w:szCs w:val="20"/>
              </w:rPr>
              <w:t xml:space="preserve">Mischaracterized</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API Routes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8</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7 + 1 placeholder</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EA580C"/>
                <w:sz w:val="20"/>
                <w:szCs w:val="20"/>
              </w:rPr>
              <w:t xml:space="preserve">-1 real route</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Component LOC</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N/A</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4,687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Hooks LOC</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N/A</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979</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API Route LOC</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N/A</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1,360</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111827"/>
                <w:sz w:val="20"/>
                <w:szCs w:val="20"/>
              </w:rPr>
              <w:t xml:space="preserve">Page.tsx LOC</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N/A</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786</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bCs/>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Lib LOC</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N/A</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138</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6B7280"/>
                <w:sz w:val="20"/>
                <w:szCs w:val="20"/>
              </w:rPr>
              <w:t xml:space="preserve">—</w:t>
            </w:r>
          </w:p>
        </w:tc>
      </w:tr>
    </w:tbl>
    <w:p>
      <w:pPr>
        <w:spacing w:after="0" w:before="120"/>
      </w:pPr>
    </w:p>
    <w:p>
      <w:pPr>
        <w:pStyle w:val="Heading2"/>
        <w:keepNext/>
        <w:spacing w:after="120" w:before="240" w:line="312"/>
      </w:pPr>
      <w:r>
        <w:rPr>
          <w:rFonts w:ascii="Calibri" w:cs="Calibri" w:eastAsia="Calibri" w:hAnsi="Calibri"/>
          <w:b/>
          <w:bCs/>
          <w:color w:val="1B6B7A"/>
          <w:sz w:val="28"/>
          <w:szCs w:val="28"/>
        </w:rPr>
        <w:t xml:space="preserve">Line-of-Code Breakdown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Module</w:t>
            </w:r>
          </w:p>
        </w:tc>
        <w:tc>
          <w:tcPr>
            <w:tcW w:type="pct" w:w="2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Lines of Code</w:t>
            </w:r>
          </w:p>
        </w:tc>
        <w:tc>
          <w:tcPr>
            <w:tcW w:type="pct" w:w="20%"/>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 of Total</w:t>
            </w:r>
          </w:p>
        </w:tc>
        <w:tc>
          <w:tcPr>
            <w:tcW w:type="pct" w:w="15%"/>
            <w:tcBorders>
              <w:top w:val="single" w:color="E5E7EB" w:sz="1"/>
              <w:left w:val="single" w:color="E5E7EB" w:sz="1"/>
              <w:bottom w:val="single" w:color="E5E7EB" w:sz="1"/>
              <w:right w:val="single" w:color="E5E7EB" w:sz="1"/>
            </w:tcBorders>
            <w:shd w:fill="0D1926" w:color="0D1926" w:val="solid"/>
            <w:vAlign w:val="center"/>
          </w:tcPr>
          <w:p>
            <w:pPr>
              <w:spacing w:after="40" w:before="40" w:line="276"/>
              <w:jc w:val="left"/>
            </w:pPr>
            <w:r>
              <w:rPr>
                <w:rFonts w:ascii="Calibri" w:cs="Calibri" w:eastAsia="Calibri" w:hAnsi="Calibri"/>
                <w:b/>
                <w:bCs/>
                <w:color w:val="FFFFFF"/>
                <w:sz w:val="20"/>
                <w:szCs w:val="20"/>
              </w:rPr>
              <w:t xml:space="preserve">File Count</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Dashboard Components (src/components/dashboard/)</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4,687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58.1%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21</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API Routes (src/app/api/)</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1,360</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16.8%</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7 + 1 placeholder</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Page (src/app/page.tsx)</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786</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9.7%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Hooks (src/hooks/)</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979</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12.1%</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9</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Library (src/lib/)</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138</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1.7%</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val="false"/>
                <w:bCs w:val="false"/>
                <w:color w:val="111827"/>
                <w:sz w:val="20"/>
                <w:szCs w:val="20"/>
              </w:rPr>
              <w:t xml:space="preserve">2</w:t>
            </w:r>
          </w:p>
        </w:tc>
      </w:tr>
      <w:tr>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Other (layout, globals, theme, etc.)</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~126</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1.6%</w:t>
            </w:r>
          </w:p>
        </w:tc>
        <w:tc>
          <w:tcPr>
            <w:tcBorders>
              <w:top w:val="single" w:color="E5E7EB" w:sz="1"/>
              <w:left w:val="single" w:color="E5E7EB" w:sz="1"/>
              <w:bottom w:val="single" w:color="E5E7EB" w:sz="1"/>
              <w:right w:val="single" w:color="E5E7EB" w:sz="1"/>
            </w:tcBorders>
            <w:shd w:fill="F9FAFB" w:color="F9FAFB" w:val="solid"/>
            <w:vAlign w:val="center"/>
          </w:tcPr>
          <w:p>
            <w:pPr>
              <w:spacing w:after="40" w:before="40" w:line="276"/>
              <w:jc w:val="left"/>
            </w:pPr>
            <w:r>
              <w:rPr>
                <w:rFonts w:ascii="Calibri" w:cs="Calibri" w:eastAsia="Calibri" w:hAnsi="Calibri"/>
                <w:b w:val="false"/>
                <w:bCs w:val="false"/>
                <w:color w:val="111827"/>
                <w:sz w:val="20"/>
                <w:szCs w:val="20"/>
              </w:rPr>
              <w:t xml:space="preserve">3</w:t>
            </w:r>
          </w:p>
        </w:tc>
      </w:tr>
      <w:tr>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TOTAL</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8,071</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100%</w:t>
            </w:r>
          </w:p>
        </w:tc>
        <w:tc>
          <w:tcPr>
            <w:tcBorders>
              <w:top w:val="single" w:color="E5E7EB" w:sz="1"/>
              <w:left w:val="single" w:color="E5E7EB" w:sz="1"/>
              <w:bottom w:val="single" w:color="E5E7EB" w:sz="1"/>
              <w:right w:val="single" w:color="E5E7EB" w:sz="1"/>
            </w:tcBorders>
            <w:shd w:fill="FFFFFF" w:color="FFFFFF" w:val="solid"/>
            <w:vAlign w:val="center"/>
          </w:tcPr>
          <w:p>
            <w:pPr>
              <w:spacing w:after="40" w:before="40" w:line="276"/>
              <w:jc w:val="left"/>
            </w:pPr>
            <w:r>
              <w:rPr>
                <w:rFonts w:ascii="Calibri" w:cs="Calibri" w:eastAsia="Calibri" w:hAnsi="Calibri"/>
                <w:b/>
                <w:bCs/>
                <w:color w:val="111827"/>
                <w:sz w:val="20"/>
                <w:szCs w:val="20"/>
              </w:rPr>
              <w:t xml:space="preserve">44</w:t>
            </w:r>
          </w:p>
        </w:tc>
      </w:tr>
    </w:tbl>
    <w:p>
      <w:r>
        <w:br/>
      </w:r>
    </w:p>
    <w:p>
      <w:pPr>
        <w:pStyle w:val="Heading1"/>
        <w:keepNext/>
        <w:spacing w:after="120" w:before="360" w:line="312"/>
      </w:pPr>
      <w:r>
        <w:rPr>
          <w:rFonts w:ascii="Calibri" w:cs="Calibri" w:eastAsia="Calibri" w:hAnsi="Calibri"/>
          <w:b/>
          <w:bCs/>
          <w:color w:val="162235"/>
          <w:sz w:val="32"/>
          <w:szCs w:val="32"/>
        </w:rPr>
        <w:t xml:space="preserve">7. Over-Engineering Assessment</w:t>
      </w:r>
    </w:p>
    <w:p>
      <w:pPr>
        <w:spacing w:after="120" w:before="0" w:line="312"/>
        <w:jc w:val="left"/>
      </w:pPr>
      <w:r>
        <w:rPr>
          <w:rFonts w:ascii="Calibri" w:cs="Calibri" w:eastAsia="Calibri" w:hAnsi="Calibri"/>
          <w:b w:val="false"/>
          <w:bCs w:val="false"/>
          <w:color w:val="111827"/>
          <w:sz w:val="24"/>
          <w:szCs w:val="24"/>
        </w:rPr>
        <w:t xml:space="preserve">The codebase exhibits several patterns where complexity exceeds the functional requirements, leading to redundant network requests, duplicate data fetching, and unnecessary abstraction layers.</w:t>
      </w:r>
    </w:p>
    <w:p>
      <w:pPr>
        <w:pStyle w:val="Heading2"/>
        <w:keepNext/>
        <w:spacing w:after="120" w:before="240" w:line="312"/>
      </w:pPr>
      <w:r>
        <w:rPr>
          <w:rFonts w:ascii="Calibri" w:cs="Calibri" w:eastAsia="Calibri" w:hAnsi="Calibri"/>
          <w:b/>
          <w:bCs/>
          <w:color w:val="1B6B7A"/>
          <w:sz w:val="28"/>
          <w:szCs w:val="28"/>
        </w:rPr>
        <w:t xml:space="preserve">OE-1: Duplicate Ridership Data Fetching</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Both useRidership() and useAnalytics() fetch from /api/ridership and /api/ridership-extended respectively. These proxy the SAME upstream API (ridership_headline) with identical proxy code. A single hook with configurable parameters would suffice.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Two separate API calls for the same underlying data. On initial page load, this doubles the network traffic for ridership data.</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EA580C"/>
          <w:sz w:val="24"/>
          <w:szCs w:val="24"/>
        </w:rPr>
      </w:r>
      <w:r>
        <w:rPr>
          <w:rFonts w:ascii="Calibri" w:cs="Calibri" w:eastAsia="Calibri" w:hAnsi="Calibri"/>
          <w:color w:val="374151"/>
          <w:sz w:val="24"/>
          <w:szCs w:val="24"/>
        </w:rPr>
        <w:t xml:space="preserve">MEDIUM — functional duplication with performance cost.</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OE-2: KPI Cards Duplicate useRidership() Call</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kpi-cards.tsx imports useRidership() independently from page.tsx, causing a DUPLICATE network request for the same /api/ridership endpoint.</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The same 30-day ridership data is fetched twice on every page render — once by page.tsx for hero stats, once by kpi-cards.tsx for the 6-card grid.</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EA580C"/>
          <w:sz w:val="24"/>
          <w:szCs w:val="24"/>
        </w:rPr>
      </w:r>
      <w:r>
        <w:rPr>
          <w:rFonts w:ascii="Calibri" w:cs="Calibri" w:eastAsia="Calibri" w:hAnsi="Calibri"/>
          <w:color w:val="374151"/>
          <w:sz w:val="24"/>
          <w:szCs w:val="24"/>
        </w:rPr>
        <w:t xml:space="preserve">MEDIUM — unnecessary network duplication.</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OE-3: MCP Route Complexity vs. Usage</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The /api/mcp route implements sophisticated Cloudflare Cache API integration with model context protocol handling, but is only used as a fallback in useRidership(). Its primary consumer could be simplified to a direct API call.</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Significant code complexity (approximately 200+ LOC) for a feature that serves as a fallback mechanism.</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CA8A04"/>
          <w:sz w:val="24"/>
          <w:szCs w:val="24"/>
        </w:rPr>
      </w:r>
      <w:r>
        <w:rPr>
          <w:rFonts w:ascii="Calibri" w:cs="Calibri" w:eastAsia="Calibri" w:hAnsi="Calibri"/>
          <w:color w:val="374151"/>
          <w:sz w:val="24"/>
          <w:szCs w:val="24"/>
        </w:rPr>
        <w:t xml:space="preserve">LOW — architectural concern, not a functional bug.</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OE-4: Redundant Metadata Fetches</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Three components each independently call /api/metadata: the inline useDataMetadata in page.tsx, plus at least 2 other consumers. Despite having a Zustand store, metadata is not sourced through it.</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Multiple identical network requests for metadata on every page load. A single Zustand-sourced metadata provider would eliminate this redundancy.</w:t>
      </w:r>
    </w:p>
    <w:p>
      <w:pPr>
        <w:spacing w:after="40" w:before="40" w:line="312"/>
        <w:ind w:left="360" w:hanging="180"/>
      </w:pPr>
      <w:r>
        <w:rPr>
          <w:rFonts w:ascii="Calibri" w:cs="Calibri" w:eastAsia="Calibri" w:hAnsi="Calibri"/>
          <w:color w:val="374151"/>
          <w:sz w:val="24"/>
          <w:szCs w:val="24"/>
        </w:rPr>
        <w:t xml:space="preserve">•  </w:t>
      </w:r>
      <w:r>
        <w:rPr>
          <w:rFonts w:ascii="Calibri" w:cs="Calibri" w:eastAsia="Calibri" w:hAnsi="Calibri"/>
          <w:b/>
          <w:bCs/>
          <w:i w:val="false"/>
          <w:iCs w:val="false"/>
          <w:color w:val="EA580C"/>
          <w:sz w:val="24"/>
          <w:szCs w:val="24"/>
        </w:rPr>
      </w:r>
      <w:r>
        <w:rPr>
          <w:rFonts w:ascii="Calibri" w:cs="Calibri" w:eastAsia="Calibri" w:hAnsi="Calibri"/>
          <w:color w:val="374151"/>
          <w:sz w:val="24"/>
          <w:szCs w:val="24"/>
        </w:rPr>
        <w:t xml:space="preserve">MEDIUM — Zustand exists but is underutilized for shared data.</w:t>
      </w:r>
    </w:p>
    <w:p>
      <w:r>
        <w:br/>
      </w:r>
    </w:p>
    <w:p>
      <w:pPr>
        <w:pStyle w:val="Heading1"/>
        <w:keepNext/>
        <w:spacing w:after="120" w:before="360" w:line="312"/>
      </w:pPr>
      <w:r>
        <w:rPr>
          <w:rFonts w:ascii="Calibri" w:cs="Calibri" w:eastAsia="Calibri" w:hAnsi="Calibri"/>
          <w:b/>
          <w:bCs/>
          <w:color w:val="162235"/>
          <w:sz w:val="32"/>
          <w:szCs w:val="32"/>
        </w:rPr>
        <w:t xml:space="preserve">8. Recommendations &amp; Priority Roadmap</w:t>
      </w:r>
    </w:p>
    <w:p>
      <w:pPr>
        <w:spacing w:after="120" w:before="0" w:line="312"/>
        <w:jc w:val="left"/>
      </w:pPr>
      <w:r>
        <w:rPr>
          <w:rFonts w:ascii="Calibri" w:cs="Calibri" w:eastAsia="Calibri" w:hAnsi="Calibri"/>
          <w:b w:val="false"/>
          <w:bCs w:val="false"/>
          <w:color w:val="111827"/>
          <w:sz w:val="24"/>
          <w:szCs w:val="24"/>
        </w:rPr>
        <w:t xml:space="preserve">Based on the audit findings, the following actions are recommended, ordered by priority.</w:t>
      </w:r>
    </w:p>
    <w:p>
      <w:pPr>
        <w:pStyle w:val="Heading2"/>
        <w:keepNext/>
        <w:spacing w:after="120" w:before="240" w:line="312"/>
      </w:pPr>
      <w:r>
        <w:rPr>
          <w:rFonts w:ascii="Calibri" w:cs="Calibri" w:eastAsia="Calibri" w:hAnsi="Calibri"/>
          <w:b/>
          <w:bCs/>
          <w:color w:val="1B6B7A"/>
          <w:sz w:val="28"/>
          <w:szCs w:val="28"/>
        </w:rPr>
        <w:t xml:space="preserve">Priority 1 — Critical Fixes (Immediate)</w:t>
      </w:r>
    </w:p>
    <w:p>
      <w:pPr>
        <w:spacing w:after="80" w:before="0"/>
      </w:pPr>
      <w:r>
        <w:rPr>
          <w:rFonts w:ascii="Calibri" w:cs="Calibri" w:eastAsia="Calibri" w:hAnsi="Calibri"/>
          <w:b/>
          <w:bCs/>
          <w:color w:val="DC2626"/>
          <w:sz w:val="20"/>
          <w:szCs w:val="20"/>
          <w:shd w:fill="FECACA" w:color="FECACA" w:val="solid"/>
        </w:rPr>
        <w:t xml:space="preserve"> [CRITICAL] </w:t>
      </w:r>
    </w:p>
    <w:p>
      <w:pPr>
        <w:spacing w:after="40" w:before="40" w:line="312"/>
        <w:ind w:left="540" w:hanging="360"/>
      </w:pPr>
      <w:r>
        <w:rPr>
          <w:rFonts w:ascii="Calibri" w:cs="Calibri" w:eastAsia="Calibri" w:hAnsi="Calibri"/>
          <w:b/>
          <w:bCs/>
          <w:color w:val="374151"/>
          <w:sz w:val="24"/>
          <w:szCs w:val="24"/>
        </w:rPr>
        <w:t xml:space="preserve">1.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Change denominator in src/app/api/notifications/route.ts line 377 from overallWeekendAvg to overallWeekdayAvg. This is a one-character fix with critical impact on analytics accuracy.</w:t>
      </w:r>
    </w:p>
    <w:p>
      <w:pPr>
        <w:spacing w:after="40" w:before="40" w:line="312"/>
        <w:ind w:left="540" w:hanging="360"/>
      </w:pPr>
      <w:r>
        <w:rPr>
          <w:rFonts w:ascii="Calibri" w:cs="Calibri" w:eastAsia="Calibri" w:hAnsi="Calibri"/>
          <w:b/>
          <w:bCs/>
          <w:color w:val="374151"/>
          <w:sz w:val="24"/>
          <w:szCs w:val="24"/>
        </w:rPr>
        <w:t xml:space="preserve">2.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Refactor computeDayTypeAverages in day-type-analytics.tsx to compute daily totals first, then average. Add a comment documenting the mathematical equivalence when data is complete.</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Priority 2 — High (This Sprint)</w:t>
      </w:r>
    </w:p>
    <w:p>
      <w:pPr>
        <w:spacing w:after="80" w:before="0"/>
      </w:pPr>
      <w:r>
        <w:rPr>
          <w:rFonts w:ascii="Calibri" w:cs="Calibri" w:eastAsia="Calibri" w:hAnsi="Calibri"/>
          <w:b/>
          <w:bCs/>
          <w:color w:val="DC2626"/>
          <w:sz w:val="20"/>
          <w:szCs w:val="20"/>
          <w:shd w:fill="FECACA" w:color="FECACA" w:val="solid"/>
        </w:rPr>
        <w:t xml:space="preserve"> [HIGH] </w:t>
      </w:r>
    </w:p>
    <w:p>
      <w:pPr>
        <w:spacing w:after="40" w:before="40" w:line="312"/>
        <w:ind w:left="540" w:hanging="360"/>
      </w:pPr>
      <w:r>
        <w:rPr>
          <w:rFonts w:ascii="Calibri" w:cs="Calibri" w:eastAsia="Calibri" w:hAnsi="Calibri"/>
          <w:b/>
          <w:bCs/>
          <w:color w:val="374151"/>
          <w:sz w:val="24"/>
          <w:szCs w:val="24"/>
        </w:rPr>
        <w:t xml:space="preserve">3.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Merge useRidership() and useAnalytics() into a single configurable hook. Pass the KPI cards data as props from page.tsx instead of fetching independently.</w:t>
      </w:r>
    </w:p>
    <w:p>
      <w:pPr>
        <w:spacing w:after="40" w:before="40" w:line="312"/>
        <w:ind w:left="540" w:hanging="360"/>
      </w:pPr>
      <w:r>
        <w:rPr>
          <w:rFonts w:ascii="Calibri" w:cs="Calibri" w:eastAsia="Calibri" w:hAnsi="Calibri"/>
          <w:b/>
          <w:bCs/>
          <w:color w:val="374151"/>
          <w:sz w:val="24"/>
          <w:szCs w:val="24"/>
        </w:rPr>
        <w:t xml:space="preserve">4.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Create a useMetadataStore in src/lib/store.ts. Have all metadata consumers read from the store instead of making independent fetch calls.</w:t>
      </w:r>
    </w:p>
    <w:p>
      <w:pPr>
        <w:spacing w:after="40" w:before="40" w:line="312"/>
        <w:ind w:left="540" w:hanging="360"/>
      </w:pPr>
      <w:r>
        <w:rPr>
          <w:rFonts w:ascii="Calibri" w:cs="Calibri" w:eastAsia="Calibri" w:hAnsi="Calibri"/>
          <w:b/>
          <w:bCs/>
          <w:color w:val="374151"/>
          <w:sz w:val="24"/>
          <w:szCs w:val="24"/>
        </w:rPr>
        <w:t xml:space="preserve">5.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Correct all 10 report-code divergences identified in this audit. Specifically update dependency versions (date-fns 4.x), remove unused dependencies (TanStack Query, Apache Arrow, Prisma), fix API route count (7 real), and correct CSS token values.</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Priority 3 — Medium (Next Sprint)</w:t>
      </w:r>
    </w:p>
    <w:p>
      <w:pPr>
        <w:spacing w:after="80" w:before="0"/>
      </w:pPr>
      <w:r>
        <w:rPr>
          <w:rFonts w:ascii="Calibri" w:cs="Calibri" w:eastAsia="Calibri" w:hAnsi="Calibri"/>
          <w:b/>
          <w:bCs/>
          <w:color w:val="EA580C"/>
          <w:sz w:val="20"/>
          <w:szCs w:val="20"/>
          <w:shd w:fill="FFF7ED" w:color="FFF7ED" w:val="solid"/>
        </w:rPr>
        <w:t xml:space="preserve"> [MEDIUM] </w:t>
      </w:r>
    </w:p>
    <w:p>
      <w:pPr>
        <w:spacing w:after="40" w:before="40" w:line="312"/>
        <w:ind w:left="540" w:hanging="360"/>
      </w:pPr>
      <w:r>
        <w:rPr>
          <w:rFonts w:ascii="Calibri" w:cs="Calibri" w:eastAsia="Calibri" w:hAnsi="Calibri"/>
          <w:b/>
          <w:bCs/>
          <w:color w:val="374151"/>
          <w:sz w:val="24"/>
          <w:szCs w:val="24"/>
        </w:rPr>
        <w:t xml:space="preserve">6.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Remove Prisma schema, db.ts imports, template User/Post models, and unused @tanstack/react-query dependency from package.json.</w:t>
      </w:r>
    </w:p>
    <w:p>
      <w:pPr>
        <w:spacing w:after="40" w:before="40" w:line="312"/>
        <w:ind w:left="540" w:hanging="360"/>
      </w:pPr>
      <w:r>
        <w:rPr>
          <w:rFonts w:ascii="Calibri" w:cs="Calibri" w:eastAsia="Calibri" w:hAnsi="Calibri"/>
          <w:b/>
          <w:bCs/>
          <w:color w:val="374151"/>
          <w:sz w:val="24"/>
          <w:szCs w:val="24"/>
        </w:rPr>
        <w:t xml:space="preserve">7.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Create wrangler.toml with proper Cloudflare Workers configuration, or remove the deployment section from the technical report if Cloudflare deployment is not planned.</w:t>
      </w:r>
    </w:p>
    <w:p>
      <w:pPr>
        <w:spacing w:after="40" w:before="40" w:line="312"/>
        <w:ind w:left="540" w:hanging="360"/>
      </w:pPr>
      <w:r>
        <w:rPr>
          <w:rFonts w:ascii="Calibri" w:cs="Calibri" w:eastAsia="Calibri" w:hAnsi="Calibri"/>
          <w:b/>
          <w:bCs/>
          <w:color w:val="374151"/>
          <w:sz w:val="24"/>
          <w:szCs w:val="24"/>
        </w:rPr>
        <w:t xml:space="preserve">8.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Evaluate whether the /api/mcp route complexity is justified. If it only serves as a fallback, consider replacing it with a simpler direct API call.</w:t>
      </w:r>
    </w:p>
    <w:p>
      <w:pPr>
        <w:spacing w:after="40" w:before="40" w:line="312"/>
        <w:ind w:left="540" w:hanging="360"/>
      </w:pPr>
      <w:r>
        <w:rPr>
          <w:rFonts w:ascii="Calibri" w:cs="Calibri" w:eastAsia="Calibri" w:hAnsi="Calibri"/>
          <w:b/>
          <w:bCs/>
          <w:color w:val="374151"/>
          <w:sz w:val="24"/>
          <w:szCs w:val="24"/>
        </w:rPr>
        <w:t xml:space="preserve">9.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Move the inline useDataMetadata function from page.tsx to src/hooks/use-data-metadata.ts for consistency with the reported architecture.</w:t>
      </w:r>
    </w:p>
    <w:p>
      <w:pPr>
        <w:spacing w:after="0" w:before="60"/>
      </w:pPr>
    </w:p>
    <w:p>
      <w:pPr>
        <w:pStyle w:val="Heading2"/>
        <w:keepNext/>
        <w:spacing w:after="120" w:before="240" w:line="312"/>
      </w:pPr>
      <w:r>
        <w:rPr>
          <w:rFonts w:ascii="Calibri" w:cs="Calibri" w:eastAsia="Calibri" w:hAnsi="Calibri"/>
          <w:b/>
          <w:bCs/>
          <w:color w:val="1B6B7A"/>
          <w:sz w:val="28"/>
          <w:szCs w:val="28"/>
        </w:rPr>
        <w:t xml:space="preserve">Priority 4 — Low (Backlog)</w:t>
      </w:r>
    </w:p>
    <w:p>
      <w:pPr>
        <w:spacing w:after="80" w:before="0"/>
      </w:pPr>
      <w:r>
        <w:rPr>
          <w:rFonts w:ascii="Calibri" w:cs="Calibri" w:eastAsia="Calibri" w:hAnsi="Calibri"/>
          <w:b/>
          <w:bCs/>
          <w:color w:val="CA8A04"/>
          <w:sz w:val="20"/>
          <w:szCs w:val="20"/>
          <w:shd w:fill="FEF9C3" w:color="FEF9C3" w:val="solid"/>
        </w:rPr>
        <w:t xml:space="preserve"> [LOW] </w:t>
      </w:r>
    </w:p>
    <w:p>
      <w:pPr>
        <w:spacing w:after="40" w:before="40" w:line="312"/>
        <w:ind w:left="540" w:hanging="360"/>
      </w:pPr>
      <w:r>
        <w:rPr>
          <w:rFonts w:ascii="Calibri" w:cs="Calibri" w:eastAsia="Calibri" w:hAnsi="Calibri"/>
          <w:b/>
          <w:bCs/>
          <w:color w:val="374151"/>
          <w:sz w:val="24"/>
          <w:szCs w:val="24"/>
        </w:rPr>
        <w:t xml:space="preserve">10.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Decide whether page.tsx hero stats or kpi-cards.tsx is the authoritative KPI implementation. Remove or merge the duplicate.</w:t>
      </w:r>
    </w:p>
    <w:p>
      <w:pPr>
        <w:spacing w:after="40" w:before="40" w:line="312"/>
        <w:ind w:left="540" w:hanging="360"/>
      </w:pPr>
      <w:r>
        <w:rPr>
          <w:rFonts w:ascii="Calibri" w:cs="Calibri" w:eastAsia="Calibri" w:hAnsi="Calibri"/>
          <w:b/>
          <w:bCs/>
          <w:color w:val="374151"/>
          <w:sz w:val="24"/>
          <w:szCs w:val="24"/>
        </w:rPr>
        <w:t xml:space="preserve">11.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Standardize Monday=0 convention across the codebase. The anomaly detection uses JS getDay() (Sunday=0) while chart components use the report's Monday=0 conversion.</w:t>
      </w:r>
    </w:p>
    <w:p>
      <w:pPr>
        <w:spacing w:after="40" w:before="40" w:line="312"/>
        <w:ind w:left="540" w:hanging="360"/>
      </w:pPr>
      <w:r>
        <w:rPr>
          <w:rFonts w:ascii="Calibri" w:cs="Calibri" w:eastAsia="Calibri" w:hAnsi="Calibri"/>
          <w:b/>
          <w:bCs/>
          <w:color w:val="374151"/>
          <w:sz w:val="24"/>
          <w:szCs w:val="24"/>
        </w:rPr>
        <w:t xml:space="preserve">12.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Revise LOC counts to reflect actual 8,071 lines.</w:t>
      </w:r>
    </w:p>
    <w:p>
      <w:pPr>
        <w:spacing w:after="40" w:before="40" w:line="312"/>
        <w:ind w:left="540" w:hanging="360"/>
      </w:pPr>
      <w:r>
        <w:rPr>
          <w:rFonts w:ascii="Calibri" w:cs="Calibri" w:eastAsia="Calibri" w:hAnsi="Calibri"/>
          <w:b/>
          <w:bCs/>
          <w:color w:val="374151"/>
          <w:sz w:val="24"/>
          <w:szCs w:val="24"/>
        </w:rPr>
        <w:t xml:space="preserve">13. </w:t>
      </w:r>
      <w:r>
        <w:rPr>
          <w:rFonts w:ascii="Calibri" w:cs="Calibri" w:eastAsia="Calibri" w:hAnsi="Calibri"/>
          <w:b/>
          <w:bCs/>
          <w:i w:val="false"/>
          <w:iCs w:val="false"/>
          <w:color w:val="374151"/>
          <w:sz w:val="24"/>
          <w:szCs w:val="24"/>
        </w:rPr>
      </w:r>
      <w:r>
        <w:rPr>
          <w:rFonts w:ascii="Calibri" w:cs="Calibri" w:eastAsia="Calibri" w:hAnsi="Calibri"/>
          <w:color w:val="374151"/>
          <w:sz w:val="24"/>
          <w:szCs w:val="24"/>
        </w:rPr>
        <w:t xml:space="preserve">Update §13.2 to accurately describe animate-ping as a Tailwind built-in utility via tw-animate-css, not a custom keyframe.</w:t>
      </w:r>
    </w:p>
    <w:p>
      <w:pPr>
        <w:spacing w:after="0" w:before="200"/>
      </w:pPr>
    </w:p>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0" w:hRule="exact"/>
        </w:trPr>
        <w:tc>
          <w:tcPr>
            <w:tcW w:type="pct" w:w="100%"/>
            <w:tcBorders>
              <w:top w:val="single" w:color="37DCF2" w:sz="2"/>
              <w:left w:val="single" w:color="37DCF2" w:sz="2"/>
              <w:bottom w:val="single" w:color="37DCF2" w:sz="2"/>
              <w:right w:val="single" w:color="37DCF2" w:sz="2"/>
            </w:tcBorders>
            <w:shd w:fill="E8F8FC" w:color="E8F8FC" w:val="solid"/>
            <w:vAlign w:val="center"/>
          </w:tcPr>
          <w:p>
            <w:pPr>
              <w:spacing w:after="60"/>
              <w:jc w:val="center"/>
            </w:pPr>
            <w:r>
              <w:rPr>
                <w:rFonts w:ascii="Calibri" w:cs="Calibri" w:eastAsia="Calibri" w:hAnsi="Calibri"/>
                <w:b/>
                <w:bCs/>
                <w:color w:val="1B6B7A"/>
                <w:sz w:val="24"/>
                <w:szCs w:val="24"/>
              </w:rPr>
              <w:t xml:space="preserve">AUDIT VERDICT</w:t>
            </w:r>
          </w:p>
          <w:p>
            <w:pPr>
              <w:spacing w:after="60" w:before="0"/>
              <w:jc w:val="center"/>
            </w:pPr>
            <w:r>
              <w:rPr>
                <w:rFonts w:ascii="Calibri" w:cs="Calibri" w:eastAsia="Calibri" w:hAnsi="Calibri"/>
                <w:color w:val="374151"/>
                <w:sz w:val="22"/>
                <w:szCs w:val="22"/>
              </w:rPr>
              <w:t xml:space="preserve">The Malaysia Transit Dashboard demonstrates strong analytical algorithm implementation but has a critical bug in weekend/weekday ratio computation and significant documentation drift from the published technical report. The codebase is functional and well-structured but contains dead code, redundant data fetching patterns, and over-engineered abstractions that should be addressed in priority order. The report v0.2.0 requires substantial revision to accurately reflect the actual codebase.</w:t>
            </w:r>
          </w:p>
        </w:tc>
      </w:tr>
    </w:tbl>
    <w:sectPr>
      <w:footerReference w:type="default" r:id="rId7"/>
      <w:pgSz w:w="11906" w:h="16838" w:orient="portrait"/>
      <w:pgMar w:top="1133" w:right="1133" w:bottom="141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Malaysia Transit Dashboard — Engineering Audit Report</w:t>
    </w:r>
    <w:r>
      <w:rPr>
        <w:rFonts w:ascii="Calibri" w:cs="Calibri" w:eastAsia="Calibri" w:hAnsi="Calibri"/>
        <w:color w:val="D1D5DB"/>
        <w:sz w:val="16"/>
        <w:szCs w:val="16"/>
      </w:rPr>
      <w:t xml:space="preserve">    |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line="312"/>
    </w:pPr>
    <w:rPr>
      <w:rFonts w:ascii="Calibri" w:cs="Calibri" w:eastAsia="Calibri" w:hAnsi="Calibri"/>
      <w:b/>
      <w:bCs/>
      <w:color w:val="162235"/>
      <w:sz w:val="32"/>
      <w:szCs w:val="32"/>
    </w:rPr>
  </w:style>
  <w:style w:type="paragraph" w:styleId="Heading2">
    <w:name w:val="Heading 2"/>
    <w:basedOn w:val="Normal"/>
    <w:next w:val="Normal"/>
    <w:qFormat/>
    <w:pPr>
      <w:spacing w:after="120" w:before="240" w:line="312"/>
    </w:pPr>
    <w:rPr>
      <w:rFonts w:ascii="Calibri" w:cs="Calibri" w:eastAsia="Calibri" w:hAnsi="Calibri"/>
      <w:b/>
      <w:bCs/>
      <w:color w:val="1B6B7A"/>
      <w:sz w:val="28"/>
      <w:szCs w:val="28"/>
    </w:rPr>
  </w:style>
  <w:style w:type="paragraph" w:styleId="Heading3">
    <w:name w:val="Heading 3"/>
    <w:basedOn w:val="Normal"/>
    <w:next w:val="Normal"/>
    <w:qFormat/>
    <w:pPr>
      <w:spacing w:after="80" w:before="180" w:line="312"/>
    </w:pPr>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Malaysia Transit Dashboard — Full Engineering Audit Report</dc:title>
  <dc:creator>RapidStats MY Engineering</dc:creator>
  <dc:description>14-Domain Code &amp; Architecture Audit Against Technical Report v0.2.0</dc:description>
  <cp:lastModifiedBy>Un-named</cp:lastModifiedBy>
  <cp:revision>1</cp:revision>
  <dcterms:created xsi:type="dcterms:W3CDTF">2026-05-25T18:42:53.281Z</dcterms:created>
  <dcterms:modified xsi:type="dcterms:W3CDTF">2026-05-25T18:42:53.282Z</dcterms:modified>
</cp:coreProperties>
</file>

<file path=docProps/custom.xml><?xml version="1.0" encoding="utf-8"?>
<Properties xmlns="http://schemas.openxmlformats.org/officeDocument/2006/custom-properties" xmlns:vt="http://schemas.openxmlformats.org/officeDocument/2006/docPropsVTypes"/>
</file>