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146C" w14:textId="77777777" w:rsidR="00FD4F7C" w:rsidRPr="00D72A05" w:rsidRDefault="00D5003D">
      <w:pPr>
        <w:rPr>
          <w:rFonts w:ascii="Arial Rounded MT Bold" w:hAnsi="Arial Rounded MT Bold" w:cs="Arial"/>
          <w:b/>
        </w:rPr>
      </w:pPr>
      <w:r w:rsidRPr="00D72A05">
        <w:rPr>
          <w:rFonts w:ascii="Arial Rounded MT Bold" w:hAnsi="Arial Rounded MT Bold" w:cs="Arial"/>
          <w:b/>
        </w:rPr>
        <w:t>Documentation of My Comparison of EPA’s PAH/POM Health Values against DEQ Toxicity Values</w:t>
      </w:r>
    </w:p>
    <w:p w14:paraId="12A06341" w14:textId="2ED55D4F" w:rsidR="00D5003D" w:rsidRPr="00D72A05" w:rsidRDefault="00297AD2">
      <w:pPr>
        <w:rPr>
          <w:rFonts w:ascii="Arial Rounded MT Bold" w:hAnsi="Arial Rounded MT Bold" w:cs="Arial"/>
          <w:b/>
        </w:rPr>
      </w:pPr>
      <w:r w:rsidRPr="00D72A05">
        <w:rPr>
          <w:rFonts w:ascii="Arial Rounded MT Bold" w:hAnsi="Arial Rounded MT Bold" w:cs="Arial"/>
          <w:b/>
        </w:rPr>
        <w:t>(Sue MacMillan, Sept. 1</w:t>
      </w:r>
      <w:r w:rsidR="007C218E">
        <w:rPr>
          <w:rFonts w:ascii="Arial Rounded MT Bold" w:hAnsi="Arial Rounded MT Bold" w:cs="Arial"/>
          <w:b/>
        </w:rPr>
        <w:t>7</w:t>
      </w:r>
      <w:r w:rsidR="00D72A05" w:rsidRPr="00D72A05">
        <w:rPr>
          <w:rFonts w:ascii="Arial Rounded MT Bold" w:hAnsi="Arial Rounded MT Bold" w:cs="Arial"/>
          <w:b/>
        </w:rPr>
        <w:t>, 2021)</w:t>
      </w:r>
    </w:p>
    <w:p w14:paraId="2E0C7D5F" w14:textId="77777777" w:rsidR="00D72A05" w:rsidRPr="00D5003D" w:rsidRDefault="00D72A05">
      <w:pPr>
        <w:rPr>
          <w:rFonts w:ascii="Arial" w:hAnsi="Arial" w:cs="Arial"/>
          <w:b/>
        </w:rPr>
      </w:pPr>
    </w:p>
    <w:p w14:paraId="3032674D" w14:textId="77777777" w:rsidR="00D5003D" w:rsidRPr="00D72A05" w:rsidRDefault="00D72A05">
      <w:pPr>
        <w:rPr>
          <w:rFonts w:ascii="Arial" w:hAnsi="Arial" w:cs="Arial"/>
          <w:b/>
          <w:sz w:val="24"/>
          <w:szCs w:val="24"/>
        </w:rPr>
      </w:pPr>
      <w:r w:rsidRPr="00D72A05">
        <w:rPr>
          <w:rFonts w:ascii="Arial" w:hAnsi="Arial" w:cs="Arial"/>
          <w:b/>
          <w:sz w:val="24"/>
          <w:szCs w:val="24"/>
        </w:rPr>
        <w:t>Recommendation:</w:t>
      </w:r>
    </w:p>
    <w:p w14:paraId="18B1BAE2" w14:textId="77777777" w:rsidR="00D72A05" w:rsidRDefault="00D72A05" w:rsidP="00D72A05">
      <w:pPr>
        <w:rPr>
          <w:rFonts w:cstheme="minorHAnsi"/>
          <w:shd w:val="clear" w:color="auto" w:fill="FFFFFF"/>
        </w:rPr>
      </w:pPr>
      <w:r w:rsidRPr="00C671DB">
        <w:rPr>
          <w:rFonts w:cstheme="minorHAnsi"/>
          <w:shd w:val="clear" w:color="auto" w:fill="FFFFFF"/>
        </w:rPr>
        <w:t xml:space="preserve">In order to keep things simple, I do not recommend trying to </w:t>
      </w:r>
      <w:r>
        <w:rPr>
          <w:rFonts w:cstheme="minorHAnsi"/>
          <w:shd w:val="clear" w:color="auto" w:fill="FFFFFF"/>
        </w:rPr>
        <w:t>assign risk values to individual PAHs in the EPA PAH/POM list and the DEQ PAH list, and then summing TEF-converted values in each case to use as a tool for comparison. Instead, I recommend converting the URE value of 9.6 x 10</w:t>
      </w:r>
      <w:r w:rsidRPr="002C38CF">
        <w:rPr>
          <w:rFonts w:cstheme="minorHAnsi"/>
          <w:shd w:val="clear" w:color="auto" w:fill="FFFFFF"/>
          <w:vertAlign w:val="superscript"/>
        </w:rPr>
        <w:t>-4</w:t>
      </w:r>
      <w:r>
        <w:rPr>
          <w:rFonts w:cstheme="minorHAnsi"/>
          <w:shd w:val="clear" w:color="auto" w:fill="FFFFFF"/>
        </w:rPr>
        <w:t xml:space="preserve"> per ug/m</w:t>
      </w:r>
      <w:r w:rsidRPr="002C38CF">
        <w:rPr>
          <w:rFonts w:cstheme="minorHAnsi"/>
          <w:shd w:val="clear" w:color="auto" w:fill="FFFFFF"/>
          <w:vertAlign w:val="superscript"/>
        </w:rPr>
        <w:t>3</w:t>
      </w:r>
      <w:r>
        <w:rPr>
          <w:rFonts w:cstheme="minorHAnsi"/>
          <w:shd w:val="clear" w:color="auto" w:fill="FFFFFF"/>
        </w:rPr>
        <w:t xml:space="preserve"> in EPA’s Table 2-3 for benzo(a)pyrene (and in turn for Total PAH concentrations) to a protective concentration (i.e., toxicity value) of 0.00096 ug/m</w:t>
      </w:r>
      <w:r w:rsidRPr="002C38CF">
        <w:rPr>
          <w:rFonts w:cstheme="minorHAnsi"/>
          <w:shd w:val="clear" w:color="auto" w:fill="FFFFFF"/>
          <w:vertAlign w:val="superscript"/>
        </w:rPr>
        <w:t>3</w:t>
      </w:r>
      <w:r>
        <w:rPr>
          <w:rFonts w:cstheme="minorHAnsi"/>
          <w:shd w:val="clear" w:color="auto" w:fill="FFFFFF"/>
        </w:rPr>
        <w:t>, or 0.001 ug/m</w:t>
      </w:r>
      <w:r w:rsidRPr="002C38CF">
        <w:rPr>
          <w:rFonts w:cstheme="minorHAnsi"/>
          <w:shd w:val="clear" w:color="auto" w:fill="FFFFFF"/>
          <w:vertAlign w:val="superscript"/>
        </w:rPr>
        <w:t>3</w:t>
      </w:r>
      <w:r>
        <w:rPr>
          <w:rFonts w:cstheme="minorHAnsi"/>
          <w:shd w:val="clear" w:color="auto" w:fill="FFFFFF"/>
        </w:rPr>
        <w:t xml:space="preserve"> when rounded up. This value is approximately half of the ABC aka TRV toxicity value of 0.002 ug/m</w:t>
      </w:r>
      <w:r w:rsidRPr="002C38CF">
        <w:rPr>
          <w:rFonts w:cstheme="minorHAnsi"/>
          <w:shd w:val="clear" w:color="auto" w:fill="FFFFFF"/>
          <w:vertAlign w:val="superscript"/>
        </w:rPr>
        <w:t xml:space="preserve">3 </w:t>
      </w:r>
      <w:r>
        <w:rPr>
          <w:rFonts w:cstheme="minorHAnsi"/>
          <w:shd w:val="clear" w:color="auto" w:fill="FFFFFF"/>
        </w:rPr>
        <w:t>for benzo(a)pyrene, and in turn for Total PAH concentrations.</w:t>
      </w:r>
    </w:p>
    <w:p w14:paraId="755B35A2" w14:textId="77777777" w:rsidR="00D72A05" w:rsidRDefault="00D72A05" w:rsidP="00D72A05">
      <w:pPr>
        <w:rPr>
          <w:rFonts w:cstheme="minorHAnsi"/>
          <w:shd w:val="clear" w:color="auto" w:fill="FFFFFF"/>
        </w:rPr>
      </w:pPr>
      <w:r>
        <w:rPr>
          <w:rFonts w:cstheme="minorHAnsi"/>
          <w:shd w:val="clear" w:color="auto" w:fill="FFFFFF"/>
        </w:rPr>
        <w:t>To demonstrate how the two protective values discussed above generate different cancer risk values, let’s say we have a concentration of 0.0064 ug/m</w:t>
      </w:r>
      <w:r w:rsidRPr="00C60E81">
        <w:rPr>
          <w:rFonts w:cstheme="minorHAnsi"/>
          <w:shd w:val="clear" w:color="auto" w:fill="FFFFFF"/>
          <w:vertAlign w:val="superscript"/>
        </w:rPr>
        <w:t>3</w:t>
      </w:r>
      <w:r>
        <w:rPr>
          <w:rFonts w:cstheme="minorHAnsi"/>
          <w:shd w:val="clear" w:color="auto" w:fill="FFFFFF"/>
        </w:rPr>
        <w:t xml:space="preserve"> of EPA PAH/POM or of DEQ Total PAHs in air:</w:t>
      </w:r>
    </w:p>
    <w:p w14:paraId="47257745" w14:textId="77777777" w:rsidR="00D72A05" w:rsidRDefault="00D72A05" w:rsidP="00D72A05">
      <w:pPr>
        <w:ind w:left="720" w:firstLine="720"/>
        <w:rPr>
          <w:rFonts w:cstheme="minorHAnsi"/>
          <w:shd w:val="clear" w:color="auto" w:fill="FFFFFF"/>
        </w:rPr>
      </w:pPr>
      <w:r>
        <w:rPr>
          <w:rFonts w:cstheme="minorHAnsi"/>
          <w:shd w:val="clear" w:color="auto" w:fill="FFFFFF"/>
        </w:rPr>
        <w:t>0.0064 ug/m</w:t>
      </w:r>
      <w:r w:rsidRPr="00C60E81">
        <w:rPr>
          <w:rFonts w:cstheme="minorHAnsi"/>
          <w:shd w:val="clear" w:color="auto" w:fill="FFFFFF"/>
          <w:vertAlign w:val="superscript"/>
        </w:rPr>
        <w:t>3</w:t>
      </w:r>
      <w:r>
        <w:rPr>
          <w:rFonts w:cstheme="minorHAnsi"/>
          <w:shd w:val="clear" w:color="auto" w:fill="FFFFFF"/>
        </w:rPr>
        <w:t xml:space="preserve"> PAH/POM / 0.001 = Cancer risk of 6.4    (EPA)</w:t>
      </w:r>
    </w:p>
    <w:p w14:paraId="035D6FCE" w14:textId="77777777" w:rsidR="00D72A05" w:rsidRDefault="00D72A05" w:rsidP="00D72A05">
      <w:pPr>
        <w:ind w:left="720" w:firstLine="720"/>
        <w:rPr>
          <w:rFonts w:cstheme="minorHAnsi"/>
          <w:shd w:val="clear" w:color="auto" w:fill="FFFFFF"/>
        </w:rPr>
      </w:pPr>
      <w:r>
        <w:rPr>
          <w:rFonts w:cstheme="minorHAnsi"/>
          <w:shd w:val="clear" w:color="auto" w:fill="FFFFFF"/>
        </w:rPr>
        <w:t>0.0064 ug/m</w:t>
      </w:r>
      <w:r w:rsidRPr="00C60E81">
        <w:rPr>
          <w:rFonts w:cstheme="minorHAnsi"/>
          <w:shd w:val="clear" w:color="auto" w:fill="FFFFFF"/>
          <w:vertAlign w:val="superscript"/>
        </w:rPr>
        <w:t>3</w:t>
      </w:r>
      <w:r>
        <w:rPr>
          <w:rFonts w:cstheme="minorHAnsi"/>
          <w:shd w:val="clear" w:color="auto" w:fill="FFFFFF"/>
        </w:rPr>
        <w:t xml:space="preserve"> Total PAHs / 0.002 = Cancer risk of 3.2      (DEQ)</w:t>
      </w:r>
    </w:p>
    <w:p w14:paraId="3296EE3B" w14:textId="77777777" w:rsidR="00D72A05" w:rsidRPr="00D72A05" w:rsidRDefault="00D72A05" w:rsidP="00D72A05">
      <w:pPr>
        <w:rPr>
          <w:rFonts w:cstheme="minorHAnsi"/>
          <w:b/>
          <w:i/>
          <w:shd w:val="clear" w:color="auto" w:fill="FFFFFF"/>
        </w:rPr>
      </w:pPr>
      <w:r w:rsidRPr="00D72A05">
        <w:rPr>
          <w:rFonts w:cstheme="minorHAnsi"/>
          <w:b/>
          <w:i/>
          <w:shd w:val="clear" w:color="auto" w:fill="FFFFFF"/>
        </w:rPr>
        <w:t>Thus, I recommend that the cancer risk related to any EPA concentration based on PAH/POM in air be divided by two in order to be equivalent to the cancer risk for DEQ-generated concentrations of Total PAH in air.</w:t>
      </w:r>
    </w:p>
    <w:p w14:paraId="633E1058" w14:textId="77777777" w:rsidR="00D72A05" w:rsidRPr="00C671DB" w:rsidRDefault="00D72A05" w:rsidP="00D72A05">
      <w:pPr>
        <w:rPr>
          <w:rFonts w:cstheme="minorHAnsi"/>
          <w:shd w:val="clear" w:color="auto" w:fill="FFFFFF"/>
        </w:rPr>
      </w:pPr>
    </w:p>
    <w:p w14:paraId="5F05E1AC" w14:textId="56297248" w:rsidR="00D72A05" w:rsidRPr="00D72A05" w:rsidRDefault="00D72A05">
      <w:pPr>
        <w:rPr>
          <w:rFonts w:ascii="Arial" w:hAnsi="Arial" w:cs="Arial"/>
          <w:b/>
          <w:sz w:val="24"/>
          <w:szCs w:val="24"/>
        </w:rPr>
      </w:pPr>
      <w:r w:rsidRPr="00D72A05">
        <w:rPr>
          <w:rFonts w:ascii="Arial" w:hAnsi="Arial" w:cs="Arial"/>
          <w:b/>
          <w:sz w:val="24"/>
          <w:szCs w:val="24"/>
        </w:rPr>
        <w:t>How I Came to My Conclusions</w:t>
      </w:r>
      <w:r w:rsidR="007C218E">
        <w:rPr>
          <w:rFonts w:ascii="Arial" w:hAnsi="Arial" w:cs="Arial"/>
          <w:b/>
          <w:sz w:val="24"/>
          <w:szCs w:val="24"/>
        </w:rPr>
        <w:t xml:space="preserve"> and Information Used</w:t>
      </w:r>
      <w:r w:rsidRPr="00D72A05">
        <w:rPr>
          <w:rFonts w:ascii="Arial" w:hAnsi="Arial" w:cs="Arial"/>
          <w:b/>
          <w:sz w:val="24"/>
          <w:szCs w:val="24"/>
        </w:rPr>
        <w:t>:</w:t>
      </w:r>
    </w:p>
    <w:p w14:paraId="7FAF7E4A" w14:textId="77777777" w:rsidR="00D5003D" w:rsidRPr="004B7A86" w:rsidRDefault="00D5003D">
      <w:pPr>
        <w:rPr>
          <w:sz w:val="24"/>
          <w:szCs w:val="24"/>
        </w:rPr>
      </w:pPr>
      <w:r w:rsidRPr="004B7A86">
        <w:rPr>
          <w:sz w:val="24"/>
          <w:szCs w:val="24"/>
        </w:rPr>
        <w:t>I did this work at the request of Meenakshi Rao for her NATA 2014 cancer maps c</w:t>
      </w:r>
      <w:r w:rsidR="009228BA">
        <w:rPr>
          <w:sz w:val="24"/>
          <w:szCs w:val="24"/>
        </w:rPr>
        <w:t>reated via the use of R coding.</w:t>
      </w:r>
      <w:r w:rsidRPr="004B7A86">
        <w:rPr>
          <w:sz w:val="24"/>
          <w:szCs w:val="24"/>
        </w:rPr>
        <w:t xml:space="preserve"> She wanted to know if the EPA cancer values for PAH/POM was sim</w:t>
      </w:r>
      <w:r w:rsidR="009228BA">
        <w:rPr>
          <w:sz w:val="24"/>
          <w:szCs w:val="24"/>
        </w:rPr>
        <w:t xml:space="preserve">ilar to what DEQ has for PAHs. </w:t>
      </w:r>
      <w:r w:rsidRPr="004B7A86">
        <w:rPr>
          <w:sz w:val="24"/>
          <w:szCs w:val="24"/>
        </w:rPr>
        <w:t>I told her no, and that I’d have to do some research on my own to figure out if there is some kind of proportional relationship that we can use to convert EPA risk values to DEQ-based risk values for her map.</w:t>
      </w:r>
    </w:p>
    <w:p w14:paraId="0A8CD1ED" w14:textId="77777777" w:rsidR="00D5003D" w:rsidRPr="004B7A86" w:rsidRDefault="00D5003D">
      <w:pPr>
        <w:rPr>
          <w:sz w:val="24"/>
          <w:szCs w:val="24"/>
        </w:rPr>
      </w:pPr>
      <w:r w:rsidRPr="004B7A86">
        <w:rPr>
          <w:sz w:val="24"/>
          <w:szCs w:val="24"/>
        </w:rPr>
        <w:t xml:space="preserve">Documents referred to: </w:t>
      </w:r>
    </w:p>
    <w:p w14:paraId="575E1A15" w14:textId="77777777" w:rsidR="00D5003D" w:rsidRPr="004B7A86" w:rsidRDefault="00D5003D" w:rsidP="006E683F">
      <w:pPr>
        <w:pStyle w:val="ListParagraph"/>
        <w:numPr>
          <w:ilvl w:val="0"/>
          <w:numId w:val="1"/>
        </w:numPr>
        <w:rPr>
          <w:sz w:val="24"/>
          <w:szCs w:val="24"/>
        </w:rPr>
      </w:pPr>
      <w:r w:rsidRPr="004B7A86">
        <w:rPr>
          <w:sz w:val="24"/>
          <w:szCs w:val="24"/>
        </w:rPr>
        <w:t>EPA OAQPS Technical Support Document</w:t>
      </w:r>
      <w:r w:rsidR="006E683F" w:rsidRPr="004B7A86">
        <w:rPr>
          <w:sz w:val="24"/>
          <w:szCs w:val="24"/>
        </w:rPr>
        <w:t>,</w:t>
      </w:r>
      <w:r w:rsidRPr="004B7A86">
        <w:rPr>
          <w:sz w:val="24"/>
          <w:szCs w:val="24"/>
        </w:rPr>
        <w:t xml:space="preserve"> EPA’s 2014 National Air Toxics Assessment</w:t>
      </w:r>
      <w:r w:rsidR="006E683F" w:rsidRPr="004B7A86">
        <w:rPr>
          <w:sz w:val="24"/>
          <w:szCs w:val="24"/>
        </w:rPr>
        <w:t xml:space="preserve">, 2014 NATA TSD, August 2018.  </w:t>
      </w:r>
      <w:proofErr w:type="spellStart"/>
      <w:r w:rsidR="006E683F" w:rsidRPr="004B7A86">
        <w:rPr>
          <w:sz w:val="24"/>
          <w:szCs w:val="24"/>
        </w:rPr>
        <w:t>Pgs</w:t>
      </w:r>
      <w:proofErr w:type="spellEnd"/>
      <w:r w:rsidR="006E683F" w:rsidRPr="004B7A86">
        <w:rPr>
          <w:sz w:val="24"/>
          <w:szCs w:val="24"/>
        </w:rPr>
        <w:t xml:space="preserve"> 21-23.</w:t>
      </w:r>
    </w:p>
    <w:p w14:paraId="501B7F2E" w14:textId="77777777" w:rsidR="006E683F" w:rsidRPr="004B7A86" w:rsidRDefault="006E683F" w:rsidP="006E683F">
      <w:pPr>
        <w:pStyle w:val="ListParagraph"/>
        <w:numPr>
          <w:ilvl w:val="0"/>
          <w:numId w:val="1"/>
        </w:numPr>
        <w:rPr>
          <w:sz w:val="24"/>
          <w:szCs w:val="24"/>
        </w:rPr>
      </w:pPr>
      <w:r w:rsidRPr="004B7A86">
        <w:rPr>
          <w:sz w:val="24"/>
          <w:szCs w:val="24"/>
        </w:rPr>
        <w:t>CAO Table 3 – Toxicity Reference Values</w:t>
      </w:r>
    </w:p>
    <w:p w14:paraId="49EAE299" w14:textId="77777777" w:rsidR="006E683F" w:rsidRPr="0096023F" w:rsidRDefault="006E683F" w:rsidP="006E683F">
      <w:pPr>
        <w:pStyle w:val="ListParagraph"/>
        <w:numPr>
          <w:ilvl w:val="0"/>
          <w:numId w:val="1"/>
        </w:numPr>
        <w:rPr>
          <w:sz w:val="24"/>
          <w:szCs w:val="24"/>
        </w:rPr>
      </w:pPr>
      <w:r w:rsidRPr="004B7A86">
        <w:rPr>
          <w:sz w:val="24"/>
          <w:szCs w:val="24"/>
        </w:rPr>
        <w:t>Ambient Benchmark Criteria table, circa 2018</w:t>
      </w:r>
    </w:p>
    <w:p w14:paraId="5303EE15" w14:textId="77777777" w:rsidR="00D72A05" w:rsidRPr="00D72A05" w:rsidRDefault="00D72A05" w:rsidP="006E683F">
      <w:pPr>
        <w:rPr>
          <w:rFonts w:ascii="Arial" w:hAnsi="Arial" w:cs="Arial"/>
          <w:b/>
        </w:rPr>
      </w:pPr>
      <w:r w:rsidRPr="00D72A05">
        <w:rPr>
          <w:rFonts w:ascii="Arial" w:hAnsi="Arial" w:cs="Arial"/>
          <w:b/>
        </w:rPr>
        <w:t>EPA Health-Based Values (toxicity values) for PAH/POM</w:t>
      </w:r>
    </w:p>
    <w:p w14:paraId="58D1880D" w14:textId="77777777" w:rsidR="000C0F40" w:rsidRPr="004B7A86" w:rsidRDefault="006E683F" w:rsidP="006E683F">
      <w:pPr>
        <w:rPr>
          <w:sz w:val="24"/>
          <w:szCs w:val="24"/>
        </w:rPr>
      </w:pPr>
      <w:r w:rsidRPr="004B7A86">
        <w:rPr>
          <w:sz w:val="24"/>
          <w:szCs w:val="24"/>
        </w:rPr>
        <w:t xml:space="preserve">For EPA’s 2014 NATA, polycyclic aromatic hydrocarbons and polycyclic organic matter (PAH/POM) were lumped together as a single group. However, the individual compounds in these groups have widely varying risks. A tabulated list of individual PAH/POM compounds is </w:t>
      </w:r>
      <w:r w:rsidRPr="004B7A86">
        <w:rPr>
          <w:sz w:val="24"/>
          <w:szCs w:val="24"/>
        </w:rPr>
        <w:lastRenderedPageBreak/>
        <w:t>provided in Table 2.3 of the EPA TSD, based on EPA’s modeling of PAH/POM into eight separate groups by Unit Risk Estimate (URE), in units of 1/(ug/m</w:t>
      </w:r>
      <w:r w:rsidRPr="004B7A86">
        <w:rPr>
          <w:sz w:val="24"/>
          <w:szCs w:val="24"/>
          <w:vertAlign w:val="superscript"/>
        </w:rPr>
        <w:t>3</w:t>
      </w:r>
      <w:r w:rsidR="000C0F40" w:rsidRPr="004B7A86">
        <w:rPr>
          <w:sz w:val="24"/>
          <w:szCs w:val="24"/>
        </w:rPr>
        <w:t>).</w:t>
      </w:r>
    </w:p>
    <w:p w14:paraId="795D2E31" w14:textId="77777777" w:rsidR="000C0F40" w:rsidRPr="004B7A86" w:rsidRDefault="000C0F40" w:rsidP="006E683F">
      <w:pPr>
        <w:rPr>
          <w:rFonts w:cstheme="minorHAnsi"/>
          <w:color w:val="000000"/>
          <w:sz w:val="24"/>
          <w:szCs w:val="24"/>
          <w:shd w:val="clear" w:color="auto" w:fill="FFFFFF"/>
        </w:rPr>
      </w:pPr>
      <w:r w:rsidRPr="004B7A86">
        <w:rPr>
          <w:rFonts w:cstheme="minorHAnsi"/>
          <w:sz w:val="24"/>
          <w:szCs w:val="24"/>
        </w:rPr>
        <w:t>A URE</w:t>
      </w:r>
      <w:r w:rsidR="006E683F" w:rsidRPr="004B7A86">
        <w:rPr>
          <w:rFonts w:cstheme="minorHAnsi"/>
          <w:color w:val="000000"/>
          <w:sz w:val="24"/>
          <w:szCs w:val="24"/>
          <w:shd w:val="clear" w:color="auto" w:fill="FFFFFF"/>
        </w:rPr>
        <w:t xml:space="preserve"> is the upper-bound excess lifetime cancer risk estimated to result from continuous exposure to an agent at a concentration of 1 µg/m</w:t>
      </w:r>
      <w:r w:rsidR="006E683F" w:rsidRPr="00420EE1">
        <w:rPr>
          <w:rFonts w:cstheme="minorHAnsi"/>
          <w:color w:val="000000"/>
          <w:sz w:val="24"/>
          <w:szCs w:val="24"/>
          <w:shd w:val="clear" w:color="auto" w:fill="FFFFFF"/>
          <w:vertAlign w:val="superscript"/>
        </w:rPr>
        <w:t>3</w:t>
      </w:r>
      <w:r w:rsidR="006E683F" w:rsidRPr="004B7A86">
        <w:rPr>
          <w:rFonts w:cstheme="minorHAnsi"/>
          <w:color w:val="000000"/>
          <w:sz w:val="24"/>
          <w:szCs w:val="24"/>
          <w:shd w:val="clear" w:color="auto" w:fill="FFFFFF"/>
        </w:rPr>
        <w:t xml:space="preserve"> in air. The interpretation of the URE would be as follows: if the URE = 1.5 x 10</w:t>
      </w:r>
      <w:r w:rsidR="006E683F" w:rsidRPr="004B7A86">
        <w:rPr>
          <w:rFonts w:cstheme="minorHAnsi"/>
          <w:color w:val="000000"/>
          <w:sz w:val="24"/>
          <w:szCs w:val="24"/>
          <w:shd w:val="clear" w:color="auto" w:fill="FFFFFF"/>
          <w:vertAlign w:val="superscript"/>
        </w:rPr>
        <w:t>-6</w:t>
      </w:r>
      <w:r w:rsidR="006E683F" w:rsidRPr="004B7A86">
        <w:rPr>
          <w:rFonts w:cstheme="minorHAnsi"/>
          <w:color w:val="000000"/>
          <w:sz w:val="24"/>
          <w:szCs w:val="24"/>
          <w:shd w:val="clear" w:color="auto" w:fill="FFFFFF"/>
        </w:rPr>
        <w:t xml:space="preserve"> µg/m</w:t>
      </w:r>
      <w:r w:rsidR="006E683F" w:rsidRPr="00420EE1">
        <w:rPr>
          <w:rFonts w:cstheme="minorHAnsi"/>
          <w:color w:val="000000"/>
          <w:sz w:val="24"/>
          <w:szCs w:val="24"/>
          <w:shd w:val="clear" w:color="auto" w:fill="FFFFFF"/>
          <w:vertAlign w:val="superscript"/>
        </w:rPr>
        <w:t>3</w:t>
      </w:r>
      <w:r w:rsidR="006E683F" w:rsidRPr="004B7A86">
        <w:rPr>
          <w:rFonts w:cstheme="minorHAnsi"/>
          <w:color w:val="000000"/>
          <w:sz w:val="24"/>
          <w:szCs w:val="24"/>
          <w:shd w:val="clear" w:color="auto" w:fill="FFFFFF"/>
        </w:rPr>
        <w:t>, 1.5 excess tumors are expected to develop per 1,000,000 people if exposed daily for a lifetime to 1 µg of the ch</w:t>
      </w:r>
      <w:r w:rsidRPr="004B7A86">
        <w:rPr>
          <w:rFonts w:cstheme="minorHAnsi"/>
          <w:color w:val="000000"/>
          <w:sz w:val="24"/>
          <w:szCs w:val="24"/>
          <w:shd w:val="clear" w:color="auto" w:fill="FFFFFF"/>
        </w:rPr>
        <w:t>emical in 1 cubic meter of air.  In order to convert a URE into a concentration that is protective at a</w:t>
      </w:r>
      <w:r w:rsidR="004B7A86">
        <w:rPr>
          <w:rFonts w:cstheme="minorHAnsi"/>
          <w:color w:val="000000"/>
          <w:sz w:val="24"/>
          <w:szCs w:val="24"/>
          <w:shd w:val="clear" w:color="auto" w:fill="FFFFFF"/>
        </w:rPr>
        <w:t xml:space="preserve"> one in a million or </w:t>
      </w:r>
      <w:r w:rsidRPr="004B7A86">
        <w:rPr>
          <w:rFonts w:cstheme="minorHAnsi"/>
          <w:color w:val="000000"/>
          <w:sz w:val="24"/>
          <w:szCs w:val="24"/>
          <w:shd w:val="clear" w:color="auto" w:fill="FFFFFF"/>
        </w:rPr>
        <w:t>1 x 10</w:t>
      </w:r>
      <w:r w:rsidRPr="004B7A86">
        <w:rPr>
          <w:rFonts w:cstheme="minorHAnsi"/>
          <w:color w:val="000000"/>
          <w:sz w:val="24"/>
          <w:szCs w:val="24"/>
          <w:shd w:val="clear" w:color="auto" w:fill="FFFFFF"/>
          <w:vertAlign w:val="superscript"/>
        </w:rPr>
        <w:t xml:space="preserve">-6 </w:t>
      </w:r>
      <w:r w:rsidRPr="004B7A86">
        <w:rPr>
          <w:rFonts w:cstheme="minorHAnsi"/>
          <w:color w:val="000000"/>
          <w:sz w:val="24"/>
          <w:szCs w:val="24"/>
          <w:shd w:val="clear" w:color="auto" w:fill="FFFFFF"/>
        </w:rPr>
        <w:t>cancer risk, the cancer risk (in decimal form of 0.000001) must be divided by the URE value.  The result is a concentration in units of ug/m</w:t>
      </w:r>
      <w:r w:rsidRPr="00420EE1">
        <w:rPr>
          <w:rFonts w:cstheme="minorHAnsi"/>
          <w:color w:val="000000"/>
          <w:sz w:val="24"/>
          <w:szCs w:val="24"/>
          <w:shd w:val="clear" w:color="auto" w:fill="FFFFFF"/>
          <w:vertAlign w:val="superscript"/>
        </w:rPr>
        <w:t>3</w:t>
      </w:r>
      <w:r w:rsidRPr="004B7A86">
        <w:rPr>
          <w:rFonts w:cstheme="minorHAnsi"/>
          <w:color w:val="000000"/>
          <w:sz w:val="24"/>
          <w:szCs w:val="24"/>
          <w:shd w:val="clear" w:color="auto" w:fill="FFFFFF"/>
        </w:rPr>
        <w:t xml:space="preserve"> that is protective at a 10</w:t>
      </w:r>
      <w:r w:rsidRPr="004B7A86">
        <w:rPr>
          <w:rFonts w:cstheme="minorHAnsi"/>
          <w:color w:val="000000"/>
          <w:sz w:val="24"/>
          <w:szCs w:val="24"/>
          <w:shd w:val="clear" w:color="auto" w:fill="FFFFFF"/>
          <w:vertAlign w:val="superscript"/>
        </w:rPr>
        <w:t>-6</w:t>
      </w:r>
      <w:r w:rsidRPr="004B7A86">
        <w:rPr>
          <w:rFonts w:cstheme="minorHAnsi"/>
          <w:color w:val="000000"/>
          <w:sz w:val="24"/>
          <w:szCs w:val="24"/>
          <w:shd w:val="clear" w:color="auto" w:fill="FFFFFF"/>
        </w:rPr>
        <w:t xml:space="preserve"> cancer risk, typically referred to as a toxicity reference value, or a risk-based value. </w:t>
      </w:r>
    </w:p>
    <w:p w14:paraId="06C1F4FB" w14:textId="77777777" w:rsidR="004B7A86" w:rsidRDefault="004B7A86" w:rsidP="006E683F">
      <w:pPr>
        <w:rPr>
          <w:rFonts w:cstheme="minorHAnsi"/>
          <w:color w:val="000000"/>
          <w:sz w:val="24"/>
          <w:szCs w:val="24"/>
          <w:shd w:val="clear" w:color="auto" w:fill="FFFFFF"/>
        </w:rPr>
      </w:pPr>
      <w:r w:rsidRPr="004B7A86">
        <w:rPr>
          <w:rFonts w:cstheme="minorHAnsi"/>
          <w:color w:val="000000"/>
          <w:sz w:val="24"/>
          <w:szCs w:val="24"/>
          <w:shd w:val="clear" w:color="auto" w:fill="FFFFFF"/>
        </w:rPr>
        <w:t xml:space="preserve">In Table 2.3 of the EPA TSD, the final column displays the </w:t>
      </w:r>
      <w:r>
        <w:rPr>
          <w:rFonts w:cstheme="minorHAnsi"/>
          <w:color w:val="000000"/>
          <w:sz w:val="24"/>
          <w:szCs w:val="24"/>
          <w:shd w:val="clear" w:color="auto" w:fill="FFFFFF"/>
        </w:rPr>
        <w:t xml:space="preserve">eight </w:t>
      </w:r>
      <w:r w:rsidRPr="004B7A86">
        <w:rPr>
          <w:rFonts w:cstheme="minorHAnsi"/>
          <w:color w:val="000000"/>
          <w:sz w:val="24"/>
          <w:szCs w:val="24"/>
          <w:shd w:val="clear" w:color="auto" w:fill="FFFFFF"/>
        </w:rPr>
        <w:t>URE values (in units of 1/ ug/m</w:t>
      </w:r>
      <w:r w:rsidRPr="004B7A86">
        <w:rPr>
          <w:rFonts w:cstheme="minorHAnsi"/>
          <w:color w:val="000000"/>
          <w:sz w:val="24"/>
          <w:szCs w:val="24"/>
          <w:shd w:val="clear" w:color="auto" w:fill="FFFFFF"/>
          <w:vertAlign w:val="superscript"/>
        </w:rPr>
        <w:t>3</w:t>
      </w:r>
      <w:r w:rsidR="00165574">
        <w:rPr>
          <w:rFonts w:cstheme="minorHAnsi"/>
          <w:color w:val="000000"/>
          <w:sz w:val="24"/>
          <w:szCs w:val="24"/>
          <w:shd w:val="clear" w:color="auto" w:fill="FFFFFF"/>
        </w:rPr>
        <w:t>, or [</w:t>
      </w:r>
      <w:r w:rsidRPr="004B7A86">
        <w:rPr>
          <w:rFonts w:cstheme="minorHAnsi"/>
          <w:color w:val="000000"/>
          <w:sz w:val="24"/>
          <w:szCs w:val="24"/>
          <w:shd w:val="clear" w:color="auto" w:fill="FFFFFF"/>
        </w:rPr>
        <w:t>ug/m</w:t>
      </w:r>
      <w:r w:rsidRPr="004B7A86">
        <w:rPr>
          <w:rFonts w:cstheme="minorHAnsi"/>
          <w:color w:val="000000"/>
          <w:sz w:val="24"/>
          <w:szCs w:val="24"/>
          <w:shd w:val="clear" w:color="auto" w:fill="FFFFFF"/>
          <w:vertAlign w:val="superscript"/>
        </w:rPr>
        <w:t>3</w:t>
      </w:r>
      <w:r w:rsidR="00165574">
        <w:rPr>
          <w:rFonts w:cstheme="minorHAnsi"/>
          <w:color w:val="000000"/>
          <w:sz w:val="24"/>
          <w:szCs w:val="24"/>
          <w:shd w:val="clear" w:color="auto" w:fill="FFFFFF"/>
        </w:rPr>
        <w:t>]</w:t>
      </w:r>
      <w:r w:rsidRPr="004B7A86">
        <w:rPr>
          <w:rFonts w:cstheme="minorHAnsi"/>
          <w:color w:val="000000"/>
          <w:sz w:val="24"/>
          <w:szCs w:val="24"/>
          <w:shd w:val="clear" w:color="auto" w:fill="FFFFFF"/>
          <w:vertAlign w:val="superscript"/>
        </w:rPr>
        <w:t>-1</w:t>
      </w:r>
      <w:r w:rsidRPr="004B7A86">
        <w:rPr>
          <w:rFonts w:cstheme="minorHAnsi"/>
          <w:color w:val="000000"/>
          <w:sz w:val="24"/>
          <w:szCs w:val="24"/>
          <w:shd w:val="clear" w:color="auto" w:fill="FFFFFF"/>
        </w:rPr>
        <w:t xml:space="preserve">) for the individual PAH compounds in </w:t>
      </w:r>
      <w:r>
        <w:rPr>
          <w:rFonts w:cstheme="minorHAnsi"/>
          <w:color w:val="000000"/>
          <w:sz w:val="24"/>
          <w:szCs w:val="24"/>
          <w:shd w:val="clear" w:color="auto" w:fill="FFFFFF"/>
        </w:rPr>
        <w:t xml:space="preserve">each of the eight groups. The table below lists these eight URE values, followed by the calculated </w:t>
      </w:r>
      <w:r w:rsidR="0096023F">
        <w:rPr>
          <w:rFonts w:cstheme="minorHAnsi"/>
          <w:color w:val="000000"/>
          <w:sz w:val="24"/>
          <w:szCs w:val="24"/>
          <w:shd w:val="clear" w:color="auto" w:fill="FFFFFF"/>
        </w:rPr>
        <w:t>risk-based</w:t>
      </w:r>
      <w:r>
        <w:rPr>
          <w:rFonts w:cstheme="minorHAnsi"/>
          <w:color w:val="000000"/>
          <w:sz w:val="24"/>
          <w:szCs w:val="24"/>
          <w:shd w:val="clear" w:color="auto" w:fill="FFFFFF"/>
        </w:rPr>
        <w:t xml:space="preserve"> concentration that is related to a 10</w:t>
      </w:r>
      <w:r w:rsidRPr="004B7A86">
        <w:rPr>
          <w:rFonts w:cstheme="minorHAnsi"/>
          <w:color w:val="000000"/>
          <w:sz w:val="24"/>
          <w:szCs w:val="24"/>
          <w:shd w:val="clear" w:color="auto" w:fill="FFFFFF"/>
          <w:vertAlign w:val="superscript"/>
        </w:rPr>
        <w:t>-6</w:t>
      </w:r>
      <w:r>
        <w:rPr>
          <w:rFonts w:cstheme="minorHAnsi"/>
          <w:color w:val="000000"/>
          <w:sz w:val="24"/>
          <w:szCs w:val="24"/>
          <w:shd w:val="clear" w:color="auto" w:fill="FFFFFF"/>
        </w:rPr>
        <w:t xml:space="preserve"> cancer risk.</w:t>
      </w:r>
      <w:r w:rsidRPr="004B7A86">
        <w:rPr>
          <w:rFonts w:cstheme="minorHAnsi"/>
          <w:color w:val="000000"/>
          <w:sz w:val="24"/>
          <w:szCs w:val="24"/>
          <w:shd w:val="clear" w:color="auto" w:fill="FFFFFF"/>
        </w:rPr>
        <w:t xml:space="preserve"> </w:t>
      </w:r>
    </w:p>
    <w:tbl>
      <w:tblPr>
        <w:tblStyle w:val="TableGrid"/>
        <w:tblW w:w="0" w:type="auto"/>
        <w:tblLook w:val="04A0" w:firstRow="1" w:lastRow="0" w:firstColumn="1" w:lastColumn="0" w:noHBand="0" w:noVBand="1"/>
      </w:tblPr>
      <w:tblGrid>
        <w:gridCol w:w="2065"/>
        <w:gridCol w:w="2880"/>
        <w:gridCol w:w="3870"/>
      </w:tblGrid>
      <w:tr w:rsidR="0096023F" w14:paraId="782F4002" w14:textId="77777777" w:rsidTr="00E72F47">
        <w:tc>
          <w:tcPr>
            <w:tcW w:w="2065" w:type="dxa"/>
            <w:tcBorders>
              <w:bottom w:val="double" w:sz="4" w:space="0" w:color="auto"/>
            </w:tcBorders>
          </w:tcPr>
          <w:p w14:paraId="59DFF94E" w14:textId="77777777" w:rsidR="0096023F" w:rsidRPr="00E72F47" w:rsidRDefault="0096023F" w:rsidP="006E683F">
            <w:pPr>
              <w:rPr>
                <w:rFonts w:ascii="Arial" w:hAnsi="Arial" w:cs="Arial"/>
                <w:b/>
                <w:color w:val="000000"/>
                <w:sz w:val="24"/>
                <w:szCs w:val="24"/>
                <w:shd w:val="clear" w:color="auto" w:fill="FFFFFF"/>
              </w:rPr>
            </w:pPr>
            <w:r w:rsidRPr="00E72F47">
              <w:rPr>
                <w:rFonts w:ascii="Arial" w:hAnsi="Arial" w:cs="Arial"/>
                <w:b/>
                <w:color w:val="000000"/>
                <w:sz w:val="24"/>
                <w:szCs w:val="24"/>
                <w:shd w:val="clear" w:color="auto" w:fill="FFFFFF"/>
              </w:rPr>
              <w:t>Group</w:t>
            </w:r>
          </w:p>
        </w:tc>
        <w:tc>
          <w:tcPr>
            <w:tcW w:w="2880" w:type="dxa"/>
            <w:tcBorders>
              <w:bottom w:val="double" w:sz="4" w:space="0" w:color="auto"/>
            </w:tcBorders>
          </w:tcPr>
          <w:p w14:paraId="006C010D" w14:textId="77777777" w:rsidR="0096023F" w:rsidRPr="00E72F47" w:rsidRDefault="00E72F47" w:rsidP="0096023F">
            <w:pPr>
              <w:jc w:val="center"/>
              <w:rPr>
                <w:rFonts w:ascii="Arial" w:hAnsi="Arial" w:cs="Arial"/>
                <w:b/>
                <w:color w:val="000000"/>
                <w:shd w:val="clear" w:color="auto" w:fill="FFFFFF"/>
              </w:rPr>
            </w:pPr>
            <w:r w:rsidRPr="00E72F47">
              <w:rPr>
                <w:rFonts w:ascii="Arial" w:hAnsi="Arial" w:cs="Arial"/>
                <w:b/>
                <w:color w:val="000000"/>
                <w:shd w:val="clear" w:color="auto" w:fill="FFFFFF"/>
              </w:rPr>
              <w:t>URE</w:t>
            </w:r>
            <w:r w:rsidR="0096023F" w:rsidRPr="00E72F47">
              <w:rPr>
                <w:rFonts w:ascii="Arial" w:hAnsi="Arial" w:cs="Arial"/>
                <w:b/>
                <w:color w:val="000000"/>
                <w:shd w:val="clear" w:color="auto" w:fill="FFFFFF"/>
              </w:rPr>
              <w:t xml:space="preserve"> (1/[ug/m</w:t>
            </w:r>
            <w:r w:rsidR="0096023F" w:rsidRPr="00E72F47">
              <w:rPr>
                <w:rFonts w:ascii="Arial" w:hAnsi="Arial" w:cs="Arial"/>
                <w:b/>
                <w:color w:val="000000"/>
                <w:shd w:val="clear" w:color="auto" w:fill="FFFFFF"/>
                <w:vertAlign w:val="superscript"/>
              </w:rPr>
              <w:t>3</w:t>
            </w:r>
            <w:r w:rsidR="0096023F" w:rsidRPr="00E72F47">
              <w:rPr>
                <w:rFonts w:ascii="Arial" w:hAnsi="Arial" w:cs="Arial"/>
                <w:b/>
                <w:color w:val="000000"/>
                <w:shd w:val="clear" w:color="auto" w:fill="FFFFFF"/>
              </w:rPr>
              <w:t>])</w:t>
            </w:r>
          </w:p>
        </w:tc>
        <w:tc>
          <w:tcPr>
            <w:tcW w:w="3870" w:type="dxa"/>
            <w:tcBorders>
              <w:bottom w:val="double" w:sz="4" w:space="0" w:color="auto"/>
            </w:tcBorders>
          </w:tcPr>
          <w:p w14:paraId="4A710FC9" w14:textId="77777777" w:rsidR="0096023F" w:rsidRPr="00E72F47" w:rsidRDefault="0096023F" w:rsidP="0096023F">
            <w:pPr>
              <w:jc w:val="center"/>
              <w:rPr>
                <w:rFonts w:ascii="Arial" w:hAnsi="Arial" w:cs="Arial"/>
                <w:b/>
                <w:color w:val="000000"/>
                <w:shd w:val="clear" w:color="auto" w:fill="FFFFFF"/>
              </w:rPr>
            </w:pPr>
            <w:r w:rsidRPr="00E72F47">
              <w:rPr>
                <w:rFonts w:ascii="Arial" w:hAnsi="Arial" w:cs="Arial"/>
                <w:b/>
                <w:color w:val="000000"/>
                <w:shd w:val="clear" w:color="auto" w:fill="FFFFFF"/>
              </w:rPr>
              <w:t>Concentration based on 10</w:t>
            </w:r>
            <w:r w:rsidRPr="00E72F47">
              <w:rPr>
                <w:rFonts w:ascii="Arial" w:hAnsi="Arial" w:cs="Arial"/>
                <w:b/>
                <w:color w:val="000000"/>
                <w:shd w:val="clear" w:color="auto" w:fill="FFFFFF"/>
                <w:vertAlign w:val="superscript"/>
              </w:rPr>
              <w:t>-6</w:t>
            </w:r>
            <w:r w:rsidRPr="00E72F47">
              <w:rPr>
                <w:rFonts w:ascii="Arial" w:hAnsi="Arial" w:cs="Arial"/>
                <w:b/>
                <w:color w:val="000000"/>
                <w:shd w:val="clear" w:color="auto" w:fill="FFFFFF"/>
              </w:rPr>
              <w:t xml:space="preserve"> cancer risk</w:t>
            </w:r>
          </w:p>
          <w:p w14:paraId="6E777779" w14:textId="77777777" w:rsidR="0096023F" w:rsidRPr="00E72F47" w:rsidRDefault="0096023F" w:rsidP="0096023F">
            <w:pPr>
              <w:jc w:val="center"/>
              <w:rPr>
                <w:rFonts w:ascii="Arial" w:hAnsi="Arial" w:cs="Arial"/>
                <w:b/>
                <w:color w:val="000000"/>
                <w:shd w:val="clear" w:color="auto" w:fill="FFFFFF"/>
              </w:rPr>
            </w:pPr>
            <w:r w:rsidRPr="00E72F47">
              <w:rPr>
                <w:rFonts w:ascii="Arial" w:hAnsi="Arial" w:cs="Arial"/>
                <w:b/>
                <w:color w:val="000000"/>
                <w:shd w:val="clear" w:color="auto" w:fill="FFFFFF"/>
              </w:rPr>
              <w:t>(ug/m</w:t>
            </w:r>
            <w:r w:rsidRPr="00E72F47">
              <w:rPr>
                <w:rFonts w:ascii="Arial" w:hAnsi="Arial" w:cs="Arial"/>
                <w:b/>
                <w:color w:val="000000"/>
                <w:shd w:val="clear" w:color="auto" w:fill="FFFFFF"/>
                <w:vertAlign w:val="superscript"/>
              </w:rPr>
              <w:t>3</w:t>
            </w:r>
            <w:r w:rsidRPr="00E72F47">
              <w:rPr>
                <w:rFonts w:ascii="Arial" w:hAnsi="Arial" w:cs="Arial"/>
                <w:b/>
                <w:color w:val="000000"/>
                <w:shd w:val="clear" w:color="auto" w:fill="FFFFFF"/>
              </w:rPr>
              <w:t>)</w:t>
            </w:r>
          </w:p>
        </w:tc>
      </w:tr>
      <w:tr w:rsidR="0096023F" w14:paraId="4192A3ED" w14:textId="77777777" w:rsidTr="00E72F47">
        <w:tc>
          <w:tcPr>
            <w:tcW w:w="2065" w:type="dxa"/>
            <w:tcBorders>
              <w:top w:val="double" w:sz="4" w:space="0" w:color="auto"/>
            </w:tcBorders>
          </w:tcPr>
          <w:p w14:paraId="47B79206" w14:textId="77777777" w:rsidR="0096023F" w:rsidRDefault="00E72F47" w:rsidP="006E683F">
            <w:pPr>
              <w:rPr>
                <w:rFonts w:cstheme="minorHAnsi"/>
                <w:color w:val="000000"/>
                <w:sz w:val="24"/>
                <w:szCs w:val="24"/>
                <w:shd w:val="clear" w:color="auto" w:fill="FFFFFF"/>
              </w:rPr>
            </w:pPr>
            <w:r>
              <w:rPr>
                <w:rFonts w:cstheme="minorHAnsi"/>
                <w:color w:val="000000"/>
                <w:sz w:val="24"/>
                <w:szCs w:val="24"/>
                <w:shd w:val="clear" w:color="auto" w:fill="FFFFFF"/>
              </w:rPr>
              <w:t>1</w:t>
            </w:r>
          </w:p>
        </w:tc>
        <w:tc>
          <w:tcPr>
            <w:tcW w:w="2880" w:type="dxa"/>
            <w:tcBorders>
              <w:top w:val="double" w:sz="4" w:space="0" w:color="auto"/>
            </w:tcBorders>
          </w:tcPr>
          <w:p w14:paraId="6869CF69" w14:textId="77777777" w:rsidR="0096023F" w:rsidRDefault="0096023F"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0.01</w:t>
            </w:r>
          </w:p>
        </w:tc>
        <w:tc>
          <w:tcPr>
            <w:tcW w:w="3870" w:type="dxa"/>
            <w:tcBorders>
              <w:top w:val="double" w:sz="4" w:space="0" w:color="auto"/>
            </w:tcBorders>
          </w:tcPr>
          <w:p w14:paraId="3E46EA2D" w14:textId="77777777" w:rsidR="0096023F"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0.0001, or 1E-04</w:t>
            </w:r>
          </w:p>
        </w:tc>
      </w:tr>
      <w:tr w:rsidR="0096023F" w14:paraId="60BADDDA" w14:textId="77777777" w:rsidTr="00E72F47">
        <w:tc>
          <w:tcPr>
            <w:tcW w:w="2065" w:type="dxa"/>
          </w:tcPr>
          <w:p w14:paraId="31A7A44C" w14:textId="77777777" w:rsidR="0096023F" w:rsidRDefault="00E72F47" w:rsidP="006E683F">
            <w:pPr>
              <w:rPr>
                <w:rFonts w:cstheme="minorHAnsi"/>
                <w:color w:val="000000"/>
                <w:sz w:val="24"/>
                <w:szCs w:val="24"/>
                <w:shd w:val="clear" w:color="auto" w:fill="FFFFFF"/>
              </w:rPr>
            </w:pPr>
            <w:r>
              <w:rPr>
                <w:rFonts w:cstheme="minorHAnsi"/>
                <w:color w:val="000000"/>
                <w:sz w:val="24"/>
                <w:szCs w:val="24"/>
                <w:shd w:val="clear" w:color="auto" w:fill="FFFFFF"/>
              </w:rPr>
              <w:t>2</w:t>
            </w:r>
          </w:p>
        </w:tc>
        <w:tc>
          <w:tcPr>
            <w:tcW w:w="2880" w:type="dxa"/>
          </w:tcPr>
          <w:p w14:paraId="0756D25A" w14:textId="77777777" w:rsidR="0096023F" w:rsidRDefault="0096023F"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0.114</w:t>
            </w:r>
          </w:p>
        </w:tc>
        <w:tc>
          <w:tcPr>
            <w:tcW w:w="3870" w:type="dxa"/>
          </w:tcPr>
          <w:p w14:paraId="28D078E6" w14:textId="77777777" w:rsidR="0096023F"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0.0000088, or 8.8E-06</w:t>
            </w:r>
          </w:p>
        </w:tc>
      </w:tr>
      <w:tr w:rsidR="0096023F" w14:paraId="2735CE34" w14:textId="77777777" w:rsidTr="00E72F47">
        <w:tc>
          <w:tcPr>
            <w:tcW w:w="2065" w:type="dxa"/>
          </w:tcPr>
          <w:p w14:paraId="7BDDED47" w14:textId="77777777" w:rsidR="0096023F" w:rsidRDefault="00E72F47" w:rsidP="006E683F">
            <w:pPr>
              <w:rPr>
                <w:rFonts w:cstheme="minorHAnsi"/>
                <w:color w:val="000000"/>
                <w:sz w:val="24"/>
                <w:szCs w:val="24"/>
                <w:shd w:val="clear" w:color="auto" w:fill="FFFFFF"/>
              </w:rPr>
            </w:pPr>
            <w:r>
              <w:rPr>
                <w:rFonts w:cstheme="minorHAnsi"/>
                <w:color w:val="000000"/>
                <w:sz w:val="24"/>
                <w:szCs w:val="24"/>
                <w:shd w:val="clear" w:color="auto" w:fill="FFFFFF"/>
              </w:rPr>
              <w:t>3</w:t>
            </w:r>
          </w:p>
        </w:tc>
        <w:tc>
          <w:tcPr>
            <w:tcW w:w="2880" w:type="dxa"/>
          </w:tcPr>
          <w:p w14:paraId="0BE4AB04" w14:textId="77777777" w:rsidR="0096023F" w:rsidRDefault="0096023F"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9.6E-03</w:t>
            </w:r>
          </w:p>
        </w:tc>
        <w:tc>
          <w:tcPr>
            <w:tcW w:w="3870" w:type="dxa"/>
          </w:tcPr>
          <w:p w14:paraId="5E81736C" w14:textId="77777777" w:rsidR="0096023F"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0.0001, or 1E-04</w:t>
            </w:r>
          </w:p>
        </w:tc>
      </w:tr>
      <w:tr w:rsidR="0096023F" w14:paraId="7825CAFB" w14:textId="77777777" w:rsidTr="00E72F47">
        <w:tc>
          <w:tcPr>
            <w:tcW w:w="2065" w:type="dxa"/>
          </w:tcPr>
          <w:p w14:paraId="56345DCE" w14:textId="77777777" w:rsidR="0096023F" w:rsidRPr="00165574" w:rsidRDefault="00E72F47" w:rsidP="006E683F">
            <w:pPr>
              <w:rPr>
                <w:rFonts w:cstheme="minorHAnsi"/>
                <w:color w:val="000000"/>
                <w:sz w:val="24"/>
                <w:szCs w:val="24"/>
                <w:shd w:val="clear" w:color="auto" w:fill="FFFFFF"/>
              </w:rPr>
            </w:pPr>
            <w:r w:rsidRPr="00165574">
              <w:rPr>
                <w:rFonts w:cstheme="minorHAnsi"/>
                <w:color w:val="000000"/>
                <w:sz w:val="24"/>
                <w:szCs w:val="24"/>
                <w:shd w:val="clear" w:color="auto" w:fill="FFFFFF"/>
              </w:rPr>
              <w:t>4</w:t>
            </w:r>
            <w:r w:rsidR="00165574">
              <w:rPr>
                <w:rFonts w:cstheme="minorHAnsi"/>
                <w:color w:val="000000"/>
                <w:sz w:val="24"/>
                <w:szCs w:val="24"/>
                <w:shd w:val="clear" w:color="auto" w:fill="FFFFFF"/>
              </w:rPr>
              <w:t xml:space="preserve"> </w:t>
            </w:r>
            <w:r w:rsidR="00165574" w:rsidRPr="00165574">
              <w:rPr>
                <w:rFonts w:cstheme="minorHAnsi"/>
                <w:color w:val="000000"/>
                <w:sz w:val="28"/>
                <w:szCs w:val="28"/>
                <w:shd w:val="clear" w:color="auto" w:fill="FFFFFF"/>
                <w:vertAlign w:val="superscript"/>
              </w:rPr>
              <w:t>A</w:t>
            </w:r>
          </w:p>
        </w:tc>
        <w:tc>
          <w:tcPr>
            <w:tcW w:w="2880" w:type="dxa"/>
          </w:tcPr>
          <w:p w14:paraId="31FF9B87" w14:textId="77777777" w:rsidR="0096023F" w:rsidRPr="00165574" w:rsidRDefault="0096023F" w:rsidP="00E72F47">
            <w:pPr>
              <w:jc w:val="center"/>
              <w:rPr>
                <w:rFonts w:cstheme="minorHAnsi"/>
                <w:color w:val="000000"/>
                <w:sz w:val="24"/>
                <w:szCs w:val="24"/>
                <w:shd w:val="clear" w:color="auto" w:fill="FFFFFF"/>
              </w:rPr>
            </w:pPr>
            <w:r w:rsidRPr="00165574">
              <w:rPr>
                <w:rFonts w:cstheme="minorHAnsi"/>
                <w:color w:val="000000"/>
                <w:sz w:val="24"/>
                <w:szCs w:val="24"/>
                <w:shd w:val="clear" w:color="auto" w:fill="FFFFFF"/>
              </w:rPr>
              <w:t>9.6E-04</w:t>
            </w:r>
          </w:p>
        </w:tc>
        <w:tc>
          <w:tcPr>
            <w:tcW w:w="3870" w:type="dxa"/>
          </w:tcPr>
          <w:p w14:paraId="35FE4EE7" w14:textId="77777777" w:rsidR="0096023F" w:rsidRPr="00165574" w:rsidRDefault="00E72F47" w:rsidP="00E72F47">
            <w:pPr>
              <w:jc w:val="center"/>
              <w:rPr>
                <w:rFonts w:cstheme="minorHAnsi"/>
                <w:color w:val="000000"/>
                <w:sz w:val="24"/>
                <w:szCs w:val="24"/>
                <w:shd w:val="clear" w:color="auto" w:fill="FFFFFF"/>
              </w:rPr>
            </w:pPr>
            <w:r w:rsidRPr="00165574">
              <w:rPr>
                <w:rFonts w:cstheme="minorHAnsi"/>
                <w:color w:val="000000"/>
                <w:sz w:val="24"/>
                <w:szCs w:val="24"/>
                <w:shd w:val="clear" w:color="auto" w:fill="FFFFFF"/>
              </w:rPr>
              <w:t>0.001, or 1E-03</w:t>
            </w:r>
          </w:p>
        </w:tc>
      </w:tr>
      <w:tr w:rsidR="0096023F" w14:paraId="2F41A152" w14:textId="77777777" w:rsidTr="00E72F47">
        <w:tc>
          <w:tcPr>
            <w:tcW w:w="2065" w:type="dxa"/>
          </w:tcPr>
          <w:p w14:paraId="5CE901EF" w14:textId="77777777" w:rsidR="0096023F" w:rsidRDefault="00E72F47" w:rsidP="006E683F">
            <w:pPr>
              <w:rPr>
                <w:rFonts w:cstheme="minorHAnsi"/>
                <w:color w:val="000000"/>
                <w:sz w:val="24"/>
                <w:szCs w:val="24"/>
                <w:shd w:val="clear" w:color="auto" w:fill="FFFFFF"/>
              </w:rPr>
            </w:pPr>
            <w:r>
              <w:rPr>
                <w:rFonts w:cstheme="minorHAnsi"/>
                <w:color w:val="000000"/>
                <w:sz w:val="24"/>
                <w:szCs w:val="24"/>
                <w:shd w:val="clear" w:color="auto" w:fill="FFFFFF"/>
              </w:rPr>
              <w:t>5</w:t>
            </w:r>
          </w:p>
        </w:tc>
        <w:tc>
          <w:tcPr>
            <w:tcW w:w="2880" w:type="dxa"/>
          </w:tcPr>
          <w:p w14:paraId="71FC0650" w14:textId="77777777" w:rsidR="0096023F" w:rsidRDefault="0096023F"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9.6E-05</w:t>
            </w:r>
          </w:p>
        </w:tc>
        <w:tc>
          <w:tcPr>
            <w:tcW w:w="3870" w:type="dxa"/>
          </w:tcPr>
          <w:p w14:paraId="6C8B18C1" w14:textId="77777777" w:rsidR="0096023F"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0.01, or 1E-02</w:t>
            </w:r>
          </w:p>
        </w:tc>
      </w:tr>
      <w:tr w:rsidR="0096023F" w14:paraId="62D2B545" w14:textId="77777777" w:rsidTr="00E72F47">
        <w:tc>
          <w:tcPr>
            <w:tcW w:w="2065" w:type="dxa"/>
          </w:tcPr>
          <w:p w14:paraId="03D68E59" w14:textId="77777777" w:rsidR="0096023F" w:rsidRDefault="00E72F47" w:rsidP="006E683F">
            <w:pPr>
              <w:rPr>
                <w:rFonts w:cstheme="minorHAnsi"/>
                <w:color w:val="000000"/>
                <w:sz w:val="24"/>
                <w:szCs w:val="24"/>
                <w:shd w:val="clear" w:color="auto" w:fill="FFFFFF"/>
              </w:rPr>
            </w:pPr>
            <w:r>
              <w:rPr>
                <w:rFonts w:cstheme="minorHAnsi"/>
                <w:color w:val="000000"/>
                <w:sz w:val="24"/>
                <w:szCs w:val="24"/>
                <w:shd w:val="clear" w:color="auto" w:fill="FFFFFF"/>
              </w:rPr>
              <w:t>6</w:t>
            </w:r>
          </w:p>
        </w:tc>
        <w:tc>
          <w:tcPr>
            <w:tcW w:w="2880" w:type="dxa"/>
          </w:tcPr>
          <w:p w14:paraId="591FB1B7" w14:textId="77777777" w:rsidR="0096023F" w:rsidRDefault="0096023F"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9.6E-06</w:t>
            </w:r>
          </w:p>
        </w:tc>
        <w:tc>
          <w:tcPr>
            <w:tcW w:w="3870" w:type="dxa"/>
          </w:tcPr>
          <w:p w14:paraId="2FF19AF7" w14:textId="77777777" w:rsidR="0096023F"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0.1, or 1E-01</w:t>
            </w:r>
          </w:p>
        </w:tc>
      </w:tr>
      <w:tr w:rsidR="00E72F47" w14:paraId="74AC385F" w14:textId="77777777" w:rsidTr="00E72F47">
        <w:trPr>
          <w:trHeight w:val="125"/>
        </w:trPr>
        <w:tc>
          <w:tcPr>
            <w:tcW w:w="2065" w:type="dxa"/>
          </w:tcPr>
          <w:p w14:paraId="4880F31B" w14:textId="77777777" w:rsidR="00E72F47" w:rsidRDefault="00E72F47" w:rsidP="006E683F">
            <w:pPr>
              <w:rPr>
                <w:rFonts w:cstheme="minorHAnsi"/>
                <w:color w:val="000000"/>
                <w:sz w:val="24"/>
                <w:szCs w:val="24"/>
                <w:shd w:val="clear" w:color="auto" w:fill="FFFFFF"/>
              </w:rPr>
            </w:pPr>
            <w:r>
              <w:rPr>
                <w:rFonts w:cstheme="minorHAnsi"/>
                <w:color w:val="000000"/>
                <w:sz w:val="24"/>
                <w:szCs w:val="24"/>
                <w:shd w:val="clear" w:color="auto" w:fill="FFFFFF"/>
              </w:rPr>
              <w:t>7</w:t>
            </w:r>
          </w:p>
        </w:tc>
        <w:tc>
          <w:tcPr>
            <w:tcW w:w="2880" w:type="dxa"/>
          </w:tcPr>
          <w:p w14:paraId="15FB20E3" w14:textId="77777777" w:rsidR="00E72F47"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9.9E-04</w:t>
            </w:r>
          </w:p>
        </w:tc>
        <w:tc>
          <w:tcPr>
            <w:tcW w:w="3870" w:type="dxa"/>
          </w:tcPr>
          <w:p w14:paraId="5E296247" w14:textId="77777777" w:rsidR="00E72F47"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0.001, or 1E-03</w:t>
            </w:r>
          </w:p>
        </w:tc>
      </w:tr>
      <w:tr w:rsidR="0096023F" w14:paraId="526BD619" w14:textId="77777777" w:rsidTr="00E72F47">
        <w:trPr>
          <w:trHeight w:val="125"/>
        </w:trPr>
        <w:tc>
          <w:tcPr>
            <w:tcW w:w="2065" w:type="dxa"/>
          </w:tcPr>
          <w:p w14:paraId="0DFB9B03" w14:textId="77777777" w:rsidR="0096023F" w:rsidRDefault="0096023F" w:rsidP="006E683F">
            <w:pPr>
              <w:rPr>
                <w:rFonts w:cstheme="minorHAnsi"/>
                <w:color w:val="000000"/>
                <w:sz w:val="24"/>
                <w:szCs w:val="24"/>
                <w:shd w:val="clear" w:color="auto" w:fill="FFFFFF"/>
              </w:rPr>
            </w:pPr>
            <w:r>
              <w:rPr>
                <w:rFonts w:cstheme="minorHAnsi"/>
                <w:color w:val="000000"/>
                <w:sz w:val="24"/>
                <w:szCs w:val="24"/>
                <w:shd w:val="clear" w:color="auto" w:fill="FFFFFF"/>
              </w:rPr>
              <w:t>8</w:t>
            </w:r>
          </w:p>
        </w:tc>
        <w:tc>
          <w:tcPr>
            <w:tcW w:w="2880" w:type="dxa"/>
          </w:tcPr>
          <w:p w14:paraId="0876775E" w14:textId="77777777" w:rsidR="0096023F" w:rsidRDefault="0096023F"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4.8E-05</w:t>
            </w:r>
          </w:p>
        </w:tc>
        <w:tc>
          <w:tcPr>
            <w:tcW w:w="3870" w:type="dxa"/>
          </w:tcPr>
          <w:p w14:paraId="43CE0A3E" w14:textId="77777777" w:rsidR="0096023F" w:rsidRDefault="00E72F47" w:rsidP="00E72F47">
            <w:pPr>
              <w:jc w:val="center"/>
              <w:rPr>
                <w:rFonts w:cstheme="minorHAnsi"/>
                <w:color w:val="000000"/>
                <w:sz w:val="24"/>
                <w:szCs w:val="24"/>
                <w:shd w:val="clear" w:color="auto" w:fill="FFFFFF"/>
              </w:rPr>
            </w:pPr>
            <w:r>
              <w:rPr>
                <w:rFonts w:cstheme="minorHAnsi"/>
                <w:color w:val="000000"/>
                <w:sz w:val="24"/>
                <w:szCs w:val="24"/>
                <w:shd w:val="clear" w:color="auto" w:fill="FFFFFF"/>
              </w:rPr>
              <w:t>0.021, or 2.1E-02</w:t>
            </w:r>
          </w:p>
        </w:tc>
      </w:tr>
    </w:tbl>
    <w:p w14:paraId="0E01544D" w14:textId="77777777" w:rsidR="0096023F" w:rsidRPr="004B7A86" w:rsidRDefault="00165574" w:rsidP="006E683F">
      <w:pPr>
        <w:rPr>
          <w:rFonts w:cstheme="minorHAnsi"/>
          <w:color w:val="000000"/>
          <w:sz w:val="24"/>
          <w:szCs w:val="24"/>
          <w:shd w:val="clear" w:color="auto" w:fill="FFFFFF"/>
        </w:rPr>
      </w:pPr>
      <w:r w:rsidRPr="00165574">
        <w:rPr>
          <w:rFonts w:cstheme="minorHAnsi"/>
          <w:color w:val="000000"/>
          <w:sz w:val="28"/>
          <w:szCs w:val="28"/>
          <w:shd w:val="clear" w:color="auto" w:fill="FFFFFF"/>
          <w:vertAlign w:val="superscript"/>
        </w:rPr>
        <w:t>A</w:t>
      </w:r>
      <w:r>
        <w:rPr>
          <w:rFonts w:cstheme="minorHAnsi"/>
          <w:color w:val="000000"/>
          <w:sz w:val="24"/>
          <w:szCs w:val="24"/>
          <w:shd w:val="clear" w:color="auto" w:fill="FFFFFF"/>
        </w:rPr>
        <w:t xml:space="preserve"> = Group 4 contains the PAH Benzo(a)pyrene.</w:t>
      </w:r>
    </w:p>
    <w:p w14:paraId="640BD1EE" w14:textId="77777777" w:rsidR="00D72A05" w:rsidRDefault="00165574" w:rsidP="006E683F">
      <w:pPr>
        <w:rPr>
          <w:rFonts w:cstheme="minorHAnsi"/>
          <w:color w:val="000000"/>
          <w:shd w:val="clear" w:color="auto" w:fill="FFFFFF"/>
        </w:rPr>
      </w:pPr>
      <w:r>
        <w:rPr>
          <w:rFonts w:cstheme="minorHAnsi"/>
          <w:color w:val="000000"/>
          <w:shd w:val="clear" w:color="auto" w:fill="FFFFFF"/>
        </w:rPr>
        <w:t xml:space="preserve">Table 2.3 of the EPA TSD lists a total of 49 individual compounds or </w:t>
      </w:r>
      <w:r w:rsidR="00FF0F02">
        <w:rPr>
          <w:rFonts w:cstheme="minorHAnsi"/>
          <w:color w:val="000000"/>
          <w:shd w:val="clear" w:color="auto" w:fill="FFFFFF"/>
        </w:rPr>
        <w:t>unspecified compound groupings.</w:t>
      </w:r>
    </w:p>
    <w:p w14:paraId="34818E00" w14:textId="77777777" w:rsidR="00FF0F02" w:rsidRPr="00FF0F02" w:rsidRDefault="00FF0F02" w:rsidP="006E683F">
      <w:pPr>
        <w:rPr>
          <w:rFonts w:cstheme="minorHAnsi"/>
          <w:color w:val="000000"/>
          <w:shd w:val="clear" w:color="auto" w:fill="FFFFFF"/>
        </w:rPr>
      </w:pPr>
    </w:p>
    <w:p w14:paraId="6931571C" w14:textId="77777777" w:rsidR="00165574" w:rsidRPr="00D72A05" w:rsidRDefault="00D72A05" w:rsidP="006E683F">
      <w:pPr>
        <w:rPr>
          <w:rFonts w:ascii="Arial" w:hAnsi="Arial" w:cs="Arial"/>
          <w:b/>
          <w:color w:val="000000"/>
          <w:shd w:val="clear" w:color="auto" w:fill="FFFFFF"/>
        </w:rPr>
      </w:pPr>
      <w:r w:rsidRPr="00D72A05">
        <w:rPr>
          <w:rFonts w:ascii="Arial" w:hAnsi="Arial" w:cs="Arial"/>
          <w:b/>
          <w:color w:val="000000"/>
          <w:shd w:val="clear" w:color="auto" w:fill="FFFFFF"/>
        </w:rPr>
        <w:t>DEQ Toxicity Values for Total PAHs</w:t>
      </w:r>
    </w:p>
    <w:p w14:paraId="24E7C775" w14:textId="77777777" w:rsidR="00B11E6C" w:rsidRDefault="00165574" w:rsidP="006E683F">
      <w:pPr>
        <w:rPr>
          <w:rFonts w:cstheme="minorHAnsi"/>
          <w:color w:val="000000"/>
          <w:shd w:val="clear" w:color="auto" w:fill="FFFFFF"/>
        </w:rPr>
      </w:pPr>
      <w:r>
        <w:rPr>
          <w:rFonts w:cstheme="minorHAnsi"/>
          <w:color w:val="000000"/>
          <w:shd w:val="clear" w:color="auto" w:fill="FFFFFF"/>
        </w:rPr>
        <w:t xml:space="preserve">Two sets of PAH </w:t>
      </w:r>
      <w:r w:rsidR="00B11E6C">
        <w:rPr>
          <w:rFonts w:cstheme="minorHAnsi"/>
          <w:color w:val="000000"/>
          <w:shd w:val="clear" w:color="auto" w:fill="FFFFFF"/>
        </w:rPr>
        <w:t>compounds</w:t>
      </w:r>
      <w:r>
        <w:rPr>
          <w:rFonts w:cstheme="minorHAnsi"/>
          <w:color w:val="000000"/>
          <w:shd w:val="clear" w:color="auto" w:fill="FFFFFF"/>
        </w:rPr>
        <w:t xml:space="preserve"> are available from DEQ</w:t>
      </w:r>
      <w:r w:rsidR="00C401EE">
        <w:rPr>
          <w:rFonts w:cstheme="minorHAnsi"/>
          <w:color w:val="000000"/>
          <w:shd w:val="clear" w:color="auto" w:fill="FFFFFF"/>
        </w:rPr>
        <w:t>, and overlap the EPA</w:t>
      </w:r>
      <w:r w:rsidR="00420EE1">
        <w:rPr>
          <w:rFonts w:cstheme="minorHAnsi"/>
          <w:color w:val="000000"/>
          <w:shd w:val="clear" w:color="auto" w:fill="FFFFFF"/>
        </w:rPr>
        <w:t xml:space="preserve"> PAH/POM</w:t>
      </w:r>
      <w:r w:rsidR="00C401EE">
        <w:rPr>
          <w:rFonts w:cstheme="minorHAnsi"/>
          <w:color w:val="000000"/>
          <w:shd w:val="clear" w:color="auto" w:fill="FFFFFF"/>
        </w:rPr>
        <w:t xml:space="preserve"> list above to some degree</w:t>
      </w:r>
      <w:r w:rsidR="00B11E6C">
        <w:rPr>
          <w:rFonts w:cstheme="minorHAnsi"/>
          <w:color w:val="000000"/>
          <w:shd w:val="clear" w:color="auto" w:fill="FFFFFF"/>
        </w:rPr>
        <w:t>:</w:t>
      </w:r>
    </w:p>
    <w:p w14:paraId="6ADB97C3" w14:textId="77777777" w:rsidR="00B11E6C" w:rsidRPr="00B11E6C" w:rsidRDefault="00165574" w:rsidP="00B11E6C">
      <w:pPr>
        <w:pStyle w:val="ListParagraph"/>
        <w:numPr>
          <w:ilvl w:val="0"/>
          <w:numId w:val="2"/>
        </w:numPr>
        <w:rPr>
          <w:rFonts w:cstheme="minorHAnsi"/>
          <w:color w:val="000000"/>
          <w:shd w:val="clear" w:color="auto" w:fill="FFFFFF"/>
        </w:rPr>
      </w:pPr>
      <w:r w:rsidRPr="00B11E6C">
        <w:rPr>
          <w:rFonts w:cstheme="minorHAnsi"/>
          <w:color w:val="000000"/>
          <w:shd w:val="clear" w:color="auto" w:fill="FFFFFF"/>
        </w:rPr>
        <w:t>One set</w:t>
      </w:r>
      <w:r w:rsidR="00C401EE">
        <w:rPr>
          <w:rFonts w:cstheme="minorHAnsi"/>
          <w:color w:val="000000"/>
          <w:shd w:val="clear" w:color="auto" w:fill="FFFFFF"/>
        </w:rPr>
        <w:t xml:space="preserve"> of DEQ PAHs</w:t>
      </w:r>
      <w:r w:rsidRPr="00B11E6C">
        <w:rPr>
          <w:rFonts w:cstheme="minorHAnsi"/>
          <w:color w:val="000000"/>
          <w:shd w:val="clear" w:color="auto" w:fill="FFFFFF"/>
        </w:rPr>
        <w:t xml:space="preserve"> is included in Ambient Benchmark Concentrations </w:t>
      </w:r>
      <w:r w:rsidR="009228BA">
        <w:rPr>
          <w:rFonts w:cstheme="minorHAnsi"/>
          <w:color w:val="000000"/>
          <w:shd w:val="clear" w:color="auto" w:fill="FFFFFF"/>
        </w:rPr>
        <w:t>(ABCs) l</w:t>
      </w:r>
      <w:r w:rsidRPr="00B11E6C">
        <w:rPr>
          <w:rFonts w:cstheme="minorHAnsi"/>
          <w:color w:val="000000"/>
          <w:shd w:val="clear" w:color="auto" w:fill="FFFFFF"/>
        </w:rPr>
        <w:t>ast updated in 2018</w:t>
      </w:r>
      <w:r w:rsidR="00B11E6C" w:rsidRPr="00B11E6C">
        <w:rPr>
          <w:rFonts w:cstheme="minorHAnsi"/>
          <w:color w:val="000000"/>
          <w:shd w:val="clear" w:color="auto" w:fill="FFFFFF"/>
        </w:rPr>
        <w:t>. There is an ABC for Total PAHs and for 26 individual PAH compounds included in this set of values.</w:t>
      </w:r>
      <w:r w:rsidR="00C401EE">
        <w:rPr>
          <w:rFonts w:cstheme="minorHAnsi"/>
          <w:color w:val="000000"/>
          <w:shd w:val="clear" w:color="auto" w:fill="FFFFFF"/>
        </w:rPr>
        <w:t xml:space="preserve"> Twenty-two (22) of these PAHs overlap with the EPA list shown in their Table 2-3.</w:t>
      </w:r>
    </w:p>
    <w:p w14:paraId="0559FFE4" w14:textId="77777777" w:rsidR="00165574" w:rsidRDefault="00B11E6C" w:rsidP="00B11E6C">
      <w:pPr>
        <w:pStyle w:val="ListParagraph"/>
        <w:numPr>
          <w:ilvl w:val="0"/>
          <w:numId w:val="2"/>
        </w:numPr>
        <w:rPr>
          <w:rFonts w:cstheme="minorHAnsi"/>
          <w:color w:val="000000"/>
          <w:shd w:val="clear" w:color="auto" w:fill="FFFFFF"/>
        </w:rPr>
      </w:pPr>
      <w:r w:rsidRPr="00B11E6C">
        <w:rPr>
          <w:rFonts w:cstheme="minorHAnsi"/>
          <w:color w:val="000000"/>
          <w:shd w:val="clear" w:color="auto" w:fill="FFFFFF"/>
        </w:rPr>
        <w:t>T</w:t>
      </w:r>
      <w:r w:rsidR="00165574" w:rsidRPr="00B11E6C">
        <w:rPr>
          <w:rFonts w:cstheme="minorHAnsi"/>
          <w:color w:val="000000"/>
          <w:shd w:val="clear" w:color="auto" w:fill="FFFFFF"/>
        </w:rPr>
        <w:t>he other set is listed in Cleaner Air Oregon’s Table 3, which contains toxicity reference values for</w:t>
      </w:r>
      <w:r w:rsidRPr="00B11E6C">
        <w:rPr>
          <w:rFonts w:cstheme="minorHAnsi"/>
          <w:color w:val="000000"/>
          <w:shd w:val="clear" w:color="auto" w:fill="FFFFFF"/>
        </w:rPr>
        <w:t xml:space="preserve"> PAHs and for</w:t>
      </w:r>
      <w:r w:rsidR="00165574" w:rsidRPr="00B11E6C">
        <w:rPr>
          <w:rFonts w:cstheme="minorHAnsi"/>
          <w:color w:val="000000"/>
          <w:shd w:val="clear" w:color="auto" w:fill="FFFFFF"/>
        </w:rPr>
        <w:t xml:space="preserve"> a large number of </w:t>
      </w:r>
      <w:r w:rsidRPr="00B11E6C">
        <w:rPr>
          <w:rFonts w:cstheme="minorHAnsi"/>
          <w:color w:val="000000"/>
          <w:shd w:val="clear" w:color="auto" w:fill="FFFFFF"/>
        </w:rPr>
        <w:t xml:space="preserve">other </w:t>
      </w:r>
      <w:r w:rsidR="00165574" w:rsidRPr="00B11E6C">
        <w:rPr>
          <w:rFonts w:cstheme="minorHAnsi"/>
          <w:color w:val="000000"/>
          <w:shd w:val="clear" w:color="auto" w:fill="FFFFFF"/>
        </w:rPr>
        <w:t>chemicals.</w:t>
      </w:r>
      <w:r w:rsidRPr="00B11E6C">
        <w:rPr>
          <w:rFonts w:cstheme="minorHAnsi"/>
          <w:color w:val="000000"/>
          <w:shd w:val="clear" w:color="auto" w:fill="FFFFFF"/>
        </w:rPr>
        <w:t xml:space="preserve"> There is a TRV for Total PAHs, and for</w:t>
      </w:r>
      <w:r w:rsidR="00F3442D">
        <w:rPr>
          <w:rFonts w:cstheme="minorHAnsi"/>
          <w:color w:val="000000"/>
          <w:shd w:val="clear" w:color="auto" w:fill="FFFFFF"/>
        </w:rPr>
        <w:t xml:space="preserve"> each of</w:t>
      </w:r>
      <w:r w:rsidRPr="00B11E6C">
        <w:rPr>
          <w:rFonts w:cstheme="minorHAnsi"/>
          <w:color w:val="000000"/>
          <w:shd w:val="clear" w:color="auto" w:fill="FFFFFF"/>
        </w:rPr>
        <w:t xml:space="preserve"> 19 individual PAH compounds.</w:t>
      </w:r>
      <w:r w:rsidR="00C401EE">
        <w:rPr>
          <w:rFonts w:cstheme="minorHAnsi"/>
          <w:color w:val="000000"/>
          <w:shd w:val="clear" w:color="auto" w:fill="FFFFFF"/>
        </w:rPr>
        <w:t xml:space="preserve"> Fourteen (14) of these PAHs overlap with EPA’s Table 2-3 list.</w:t>
      </w:r>
    </w:p>
    <w:p w14:paraId="68BA7E9B" w14:textId="750D228E" w:rsidR="00FF0F02" w:rsidRPr="00420EE1" w:rsidRDefault="00FF0F02" w:rsidP="00420EE1">
      <w:pPr>
        <w:pStyle w:val="ListParagraph"/>
        <w:numPr>
          <w:ilvl w:val="0"/>
          <w:numId w:val="2"/>
        </w:numPr>
        <w:rPr>
          <w:rFonts w:cstheme="minorHAnsi"/>
          <w:shd w:val="clear" w:color="auto" w:fill="FFFFFF"/>
        </w:rPr>
      </w:pPr>
      <w:r w:rsidRPr="00FF0F02">
        <w:rPr>
          <w:rFonts w:cstheme="minorHAnsi"/>
        </w:rPr>
        <w:lastRenderedPageBreak/>
        <w:t xml:space="preserve">Note that ABCs </w:t>
      </w:r>
      <w:r w:rsidR="007C218E">
        <w:rPr>
          <w:rFonts w:cstheme="minorHAnsi"/>
        </w:rPr>
        <w:t>and</w:t>
      </w:r>
      <w:r w:rsidRPr="00FF0F02">
        <w:rPr>
          <w:rFonts w:cstheme="minorHAnsi"/>
        </w:rPr>
        <w:t xml:space="preserve"> TRVs</w:t>
      </w:r>
      <w:r w:rsidR="007C218E">
        <w:rPr>
          <w:rFonts w:cstheme="minorHAnsi"/>
        </w:rPr>
        <w:t xml:space="preserve"> for PAHs provide the same toxicity values</w:t>
      </w:r>
      <w:r w:rsidR="00420EE1">
        <w:rPr>
          <w:rFonts w:cstheme="minorHAnsi"/>
        </w:rPr>
        <w:t>, and in fact</w:t>
      </w:r>
      <w:r w:rsidR="007C218E">
        <w:rPr>
          <w:rFonts w:cstheme="minorHAnsi"/>
        </w:rPr>
        <w:t xml:space="preserve"> ABCs</w:t>
      </w:r>
      <w:r w:rsidR="00420EE1">
        <w:rPr>
          <w:rFonts w:cstheme="minorHAnsi"/>
        </w:rPr>
        <w:t xml:space="preserve"> were included as TRVs in CAO Table 3</w:t>
      </w:r>
      <w:r w:rsidRPr="00FF0F02">
        <w:rPr>
          <w:rFonts w:cstheme="minorHAnsi"/>
        </w:rPr>
        <w:t xml:space="preserve">. DEQ uses ABCs to identify, evaluate, and address toxic air contaminant problems in Oregon airsheds. ABCs were developed to be air quality goals. ABCs were established </w:t>
      </w:r>
      <w:r w:rsidR="009228BA">
        <w:rPr>
          <w:rFonts w:cstheme="minorHAnsi"/>
        </w:rPr>
        <w:t xml:space="preserve">prior to the </w:t>
      </w:r>
      <w:r w:rsidRPr="00FF0F02">
        <w:rPr>
          <w:rFonts w:cstheme="minorHAnsi"/>
        </w:rPr>
        <w:t>Cleaner Air Oregon</w:t>
      </w:r>
      <w:r w:rsidR="009228BA">
        <w:rPr>
          <w:rFonts w:cstheme="minorHAnsi"/>
        </w:rPr>
        <w:t xml:space="preserve"> program</w:t>
      </w:r>
      <w:r w:rsidRPr="00FF0F02">
        <w:rPr>
          <w:rFonts w:cstheme="minorHAnsi"/>
        </w:rPr>
        <w:t xml:space="preserve">. The first set of ABCs were adopted into rule in 2006. ABCs only account for risk from long-term exposures (chronic). There is only one </w:t>
      </w:r>
      <w:r w:rsidR="00C469E0">
        <w:rPr>
          <w:rFonts w:cstheme="minorHAnsi"/>
        </w:rPr>
        <w:t>ABC</w:t>
      </w:r>
      <w:r w:rsidRPr="00FF0F02">
        <w:rPr>
          <w:rFonts w:cstheme="minorHAnsi"/>
        </w:rPr>
        <w:t xml:space="preserve"> (</w:t>
      </w:r>
      <w:r w:rsidR="009228BA">
        <w:rPr>
          <w:rFonts w:cstheme="minorHAnsi"/>
        </w:rPr>
        <w:t xml:space="preserve">either </w:t>
      </w:r>
      <w:r w:rsidRPr="00FF0F02">
        <w:rPr>
          <w:rFonts w:cstheme="minorHAnsi"/>
        </w:rPr>
        <w:t xml:space="preserve">cancer or noncancer) </w:t>
      </w:r>
      <w:r w:rsidR="00C469E0">
        <w:rPr>
          <w:rFonts w:cstheme="minorHAnsi"/>
        </w:rPr>
        <w:t>pe</w:t>
      </w:r>
      <w:r w:rsidR="009228BA">
        <w:rPr>
          <w:rFonts w:cstheme="minorHAnsi"/>
        </w:rPr>
        <w:t>r chemical, which is unlike a TRV</w:t>
      </w:r>
      <w:r w:rsidR="00C469E0">
        <w:rPr>
          <w:rFonts w:cstheme="minorHAnsi"/>
        </w:rPr>
        <w:t>, which may have as many as three types (chronic cancer</w:t>
      </w:r>
      <w:r w:rsidR="009228BA">
        <w:rPr>
          <w:rFonts w:cstheme="minorHAnsi"/>
        </w:rPr>
        <w:t xml:space="preserve"> TRV</w:t>
      </w:r>
      <w:r w:rsidR="00C469E0">
        <w:rPr>
          <w:rFonts w:cstheme="minorHAnsi"/>
        </w:rPr>
        <w:t>, chronic noncancer</w:t>
      </w:r>
      <w:r w:rsidR="009228BA">
        <w:rPr>
          <w:rFonts w:cstheme="minorHAnsi"/>
        </w:rPr>
        <w:t xml:space="preserve"> TRV</w:t>
      </w:r>
      <w:r w:rsidR="00C469E0">
        <w:rPr>
          <w:rFonts w:cstheme="minorHAnsi"/>
        </w:rPr>
        <w:t>, and acute noncancer</w:t>
      </w:r>
      <w:r w:rsidR="009228BA">
        <w:rPr>
          <w:rFonts w:cstheme="minorHAnsi"/>
        </w:rPr>
        <w:t xml:space="preserve"> TRV</w:t>
      </w:r>
      <w:r w:rsidR="00C469E0">
        <w:rPr>
          <w:rFonts w:cstheme="minorHAnsi"/>
        </w:rPr>
        <w:t>) for a chemical</w:t>
      </w:r>
      <w:r w:rsidRPr="00FF0F02">
        <w:rPr>
          <w:rFonts w:cstheme="minorHAnsi"/>
        </w:rPr>
        <w:t>.</w:t>
      </w:r>
      <w:r>
        <w:rPr>
          <w:rFonts w:cstheme="minorHAnsi"/>
        </w:rPr>
        <w:t xml:space="preserve"> </w:t>
      </w:r>
      <w:r w:rsidRPr="001922A5">
        <w:rPr>
          <w:rFonts w:cstheme="minorHAnsi"/>
          <w:color w:val="000000"/>
          <w:shd w:val="clear" w:color="auto" w:fill="FFFFFF"/>
        </w:rPr>
        <w:t xml:space="preserve">ABC values and TRV values will be </w:t>
      </w:r>
      <w:r>
        <w:rPr>
          <w:rFonts w:cstheme="minorHAnsi"/>
          <w:color w:val="000000"/>
          <w:shd w:val="clear" w:color="auto" w:fill="FFFFFF"/>
        </w:rPr>
        <w:t xml:space="preserve">considered </w:t>
      </w:r>
      <w:r w:rsidRPr="001922A5">
        <w:rPr>
          <w:rFonts w:cstheme="minorHAnsi"/>
          <w:color w:val="000000"/>
          <w:shd w:val="clear" w:color="auto" w:fill="FFFFFF"/>
        </w:rPr>
        <w:t>equivalent</w:t>
      </w:r>
      <w:r>
        <w:rPr>
          <w:rFonts w:cstheme="minorHAnsi"/>
          <w:color w:val="000000"/>
          <w:shd w:val="clear" w:color="auto" w:fill="FFFFFF"/>
        </w:rPr>
        <w:t xml:space="preserve"> values</w:t>
      </w:r>
      <w:r w:rsidRPr="001922A5">
        <w:rPr>
          <w:rFonts w:cstheme="minorHAnsi"/>
          <w:color w:val="000000"/>
          <w:shd w:val="clear" w:color="auto" w:fill="FFFFFF"/>
        </w:rPr>
        <w:t>, assuming that currently proposed Air Toxics Alignment Rules are adopted.</w:t>
      </w:r>
    </w:p>
    <w:p w14:paraId="5597E3AA" w14:textId="77777777" w:rsidR="00C401EE" w:rsidRDefault="00C401EE" w:rsidP="00B11E6C">
      <w:pPr>
        <w:pStyle w:val="ListParagraph"/>
        <w:numPr>
          <w:ilvl w:val="0"/>
          <w:numId w:val="2"/>
        </w:numPr>
        <w:rPr>
          <w:rFonts w:cstheme="minorHAnsi"/>
          <w:color w:val="000000"/>
          <w:shd w:val="clear" w:color="auto" w:fill="FFFFFF"/>
        </w:rPr>
      </w:pPr>
      <w:r>
        <w:rPr>
          <w:rFonts w:cstheme="minorHAnsi"/>
          <w:color w:val="000000"/>
          <w:shd w:val="clear" w:color="auto" w:fill="FFFFFF"/>
        </w:rPr>
        <w:t>Fourteen (14) of the PAHs listed in EPA’s Table 2-3 match PAHs related to both the ABC for Total PAHs and to the PAHs listed in CAO Table 3.</w:t>
      </w:r>
    </w:p>
    <w:p w14:paraId="3F05C50D" w14:textId="77777777" w:rsidR="00C401EE" w:rsidRDefault="009228BA" w:rsidP="00B11E6C">
      <w:pPr>
        <w:pStyle w:val="ListParagraph"/>
        <w:numPr>
          <w:ilvl w:val="0"/>
          <w:numId w:val="2"/>
        </w:numPr>
        <w:rPr>
          <w:rFonts w:cstheme="minorHAnsi"/>
          <w:color w:val="000000"/>
          <w:shd w:val="clear" w:color="auto" w:fill="FFFFFF"/>
        </w:rPr>
      </w:pPr>
      <w:r>
        <w:rPr>
          <w:rFonts w:cstheme="minorHAnsi"/>
          <w:color w:val="000000"/>
          <w:shd w:val="clear" w:color="auto" w:fill="FFFFFF"/>
        </w:rPr>
        <w:t>T</w:t>
      </w:r>
      <w:r w:rsidR="00C401EE">
        <w:rPr>
          <w:rFonts w:cstheme="minorHAnsi"/>
          <w:color w:val="000000"/>
          <w:shd w:val="clear" w:color="auto" w:fill="FFFFFF"/>
        </w:rPr>
        <w:t>he list of 26 PAHs related to the ABC for Total PAHs are described in DEQ’s</w:t>
      </w:r>
      <w:r w:rsidR="00C671DB">
        <w:rPr>
          <w:rFonts w:cstheme="minorHAnsi"/>
          <w:color w:val="000000"/>
          <w:shd w:val="clear" w:color="auto" w:fill="FFFFFF"/>
        </w:rPr>
        <w:t xml:space="preserve"> July 2020 </w:t>
      </w:r>
      <w:r w:rsidR="00C671DB" w:rsidRPr="00C671DB">
        <w:rPr>
          <w:rFonts w:cstheme="minorHAnsi"/>
          <w:i/>
          <w:color w:val="000000"/>
          <w:shd w:val="clear" w:color="auto" w:fill="FFFFFF"/>
        </w:rPr>
        <w:t>Recommended Procedures for Toxic Air Contaminant Risk Assessment</w:t>
      </w:r>
      <w:r w:rsidR="001922A5">
        <w:rPr>
          <w:rFonts w:cstheme="minorHAnsi"/>
          <w:color w:val="000000"/>
          <w:shd w:val="clear" w:color="auto" w:fill="FFFFFF"/>
        </w:rPr>
        <w:t>, Appendix E</w:t>
      </w:r>
      <w:r w:rsidR="00C469E0">
        <w:rPr>
          <w:rFonts w:cstheme="minorHAnsi"/>
          <w:color w:val="000000"/>
          <w:shd w:val="clear" w:color="auto" w:fill="FFFFFF"/>
        </w:rPr>
        <w:t>, Table E-3</w:t>
      </w:r>
      <w:r w:rsidR="001922A5">
        <w:rPr>
          <w:rFonts w:cstheme="minorHAnsi"/>
          <w:color w:val="000000"/>
          <w:shd w:val="clear" w:color="auto" w:fill="FFFFFF"/>
        </w:rPr>
        <w:t>.</w:t>
      </w:r>
    </w:p>
    <w:p w14:paraId="5B656AD3" w14:textId="77777777" w:rsidR="00420EE1" w:rsidRPr="00420EE1" w:rsidRDefault="001922A5" w:rsidP="00142E1B">
      <w:pPr>
        <w:pStyle w:val="ListParagraph"/>
        <w:numPr>
          <w:ilvl w:val="0"/>
          <w:numId w:val="2"/>
        </w:numPr>
        <w:rPr>
          <w:rFonts w:ascii="Arial" w:hAnsi="Arial" w:cs="Arial"/>
          <w:b/>
          <w:color w:val="000000"/>
          <w:shd w:val="clear" w:color="auto" w:fill="FFFFFF"/>
        </w:rPr>
      </w:pPr>
      <w:r w:rsidRPr="00420EE1">
        <w:rPr>
          <w:rFonts w:cstheme="minorHAnsi"/>
          <w:color w:val="000000"/>
          <w:shd w:val="clear" w:color="auto" w:fill="FFFFFF"/>
        </w:rPr>
        <w:t>The 2018 ABC (0.002 ug/m</w:t>
      </w:r>
      <w:r w:rsidRPr="00C469E0">
        <w:rPr>
          <w:rFonts w:cstheme="minorHAnsi"/>
          <w:color w:val="000000"/>
          <w:shd w:val="clear" w:color="auto" w:fill="FFFFFF"/>
          <w:vertAlign w:val="superscript"/>
        </w:rPr>
        <w:t>3</w:t>
      </w:r>
      <w:r w:rsidRPr="00420EE1">
        <w:rPr>
          <w:rFonts w:cstheme="minorHAnsi"/>
          <w:color w:val="000000"/>
          <w:shd w:val="clear" w:color="auto" w:fill="FFFFFF"/>
        </w:rPr>
        <w:t>) and the CAO Table 3 TRV (0.0017 ug/m</w:t>
      </w:r>
      <w:r w:rsidRPr="00C469E0">
        <w:rPr>
          <w:rFonts w:cstheme="minorHAnsi"/>
          <w:color w:val="000000"/>
          <w:shd w:val="clear" w:color="auto" w:fill="FFFFFF"/>
          <w:vertAlign w:val="superscript"/>
        </w:rPr>
        <w:t>3</w:t>
      </w:r>
      <w:r w:rsidRPr="00420EE1">
        <w:rPr>
          <w:rFonts w:cstheme="minorHAnsi"/>
          <w:color w:val="000000"/>
          <w:shd w:val="clear" w:color="auto" w:fill="FFFFFF"/>
        </w:rPr>
        <w:t xml:space="preserve">) for Total PAHs are the same value when rounded. In both cases, the ABC and TRV for Total PAHs are based on the ABC and TRV for benzo(a)pyrene. </w:t>
      </w:r>
    </w:p>
    <w:p w14:paraId="5CBFF818" w14:textId="77777777" w:rsidR="00420EE1" w:rsidRDefault="00420EE1" w:rsidP="00420EE1">
      <w:pPr>
        <w:rPr>
          <w:rFonts w:ascii="Arial" w:hAnsi="Arial" w:cs="Arial"/>
          <w:b/>
          <w:color w:val="000000"/>
          <w:shd w:val="clear" w:color="auto" w:fill="FFFFFF"/>
        </w:rPr>
      </w:pPr>
    </w:p>
    <w:p w14:paraId="4B9D8995" w14:textId="77777777" w:rsidR="00BD09E9" w:rsidRPr="00420EE1" w:rsidRDefault="00D72A05" w:rsidP="00420EE1">
      <w:pPr>
        <w:rPr>
          <w:rFonts w:ascii="Arial" w:hAnsi="Arial" w:cs="Arial"/>
          <w:b/>
          <w:color w:val="000000"/>
          <w:shd w:val="clear" w:color="auto" w:fill="FFFFFF"/>
        </w:rPr>
      </w:pPr>
      <w:r w:rsidRPr="00420EE1">
        <w:rPr>
          <w:rFonts w:ascii="Arial" w:hAnsi="Arial" w:cs="Arial"/>
          <w:b/>
          <w:color w:val="000000"/>
          <w:shd w:val="clear" w:color="auto" w:fill="FFFFFF"/>
        </w:rPr>
        <w:t>How the Toxicity Equivalency Factor Methodology Relates to Total PAHs</w:t>
      </w:r>
    </w:p>
    <w:p w14:paraId="75B4034D" w14:textId="77777777" w:rsidR="00BD09E9" w:rsidRDefault="00BD09E9" w:rsidP="006E683F">
      <w:r>
        <w:t>The toxicity equivalency factor (TEF) methodology was developed by the U.S. Environmental Protection Agency (EPA) to evaluate the toxicity and assess the risks of a mixture of structurally-related chemicals with a common mechanism of action. TEF methodology specific to mixtures of polycyclic aromatic hydrocarbons (PAHs) are used by the California EPA, the Washington Department of Ecology, and DEQ’s Cleaner Air Oregon Program.</w:t>
      </w:r>
      <w:r w:rsidR="001922A5">
        <w:t xml:space="preserve"> In this case, concentrations of individual PAHs can be used to calculate a concentration of Total PAHs, as explained below.</w:t>
      </w:r>
    </w:p>
    <w:p w14:paraId="15EF8993" w14:textId="77777777" w:rsidR="00BD09E9" w:rsidRDefault="00BD09E9" w:rsidP="006E683F">
      <w:r>
        <w:t>Concentrations of individual PAHs should be normalized to a concentration of the PAH benzo[a]pyrene</w:t>
      </w:r>
      <w:r w:rsidR="007D7716">
        <w:t xml:space="preserve">, or </w:t>
      </w:r>
      <w:proofErr w:type="spellStart"/>
      <w:r w:rsidR="007D7716">
        <w:t>BaP</w:t>
      </w:r>
      <w:proofErr w:type="spellEnd"/>
      <w:r>
        <w:t xml:space="preserve">, using TEFs. </w:t>
      </w:r>
      <w:r w:rsidR="007D7716">
        <w:t xml:space="preserve">Because </w:t>
      </w:r>
      <w:proofErr w:type="spellStart"/>
      <w:r w:rsidR="007D7716">
        <w:t>BaP</w:t>
      </w:r>
      <w:proofErr w:type="spellEnd"/>
      <w:r>
        <w:t xml:space="preserve"> is more carcinogenic than most of the other PAHs, it is used as the PAH against which the toxicity</w:t>
      </w:r>
      <w:r w:rsidR="00D72A05">
        <w:t>/carcinogenicity</w:t>
      </w:r>
      <w:r>
        <w:t xml:space="preserve"> of other PAHs is measured. Once this normalization is completed and the TEF results summed, the resulting toxic equivalency quotient (TEQ) concentration can be compared to the t</w:t>
      </w:r>
      <w:r w:rsidR="00B4136D">
        <w:t xml:space="preserve">oxicity value for </w:t>
      </w:r>
      <w:proofErr w:type="spellStart"/>
      <w:r w:rsidR="00B4136D">
        <w:t>BaP</w:t>
      </w:r>
      <w:r>
        <w:t>.</w:t>
      </w:r>
      <w:proofErr w:type="spellEnd"/>
      <w:r>
        <w:t xml:space="preserve"> The list of 26 PAHs </w:t>
      </w:r>
      <w:r w:rsidR="006B743A">
        <w:t xml:space="preserve">and their related TEF values </w:t>
      </w:r>
      <w:r>
        <w:t>shown in Table E-3</w:t>
      </w:r>
      <w:r w:rsidR="00D72A05">
        <w:t>, Appendix E</w:t>
      </w:r>
      <w:r w:rsidR="00BC0A09">
        <w:t xml:space="preserve"> of DEQ’s </w:t>
      </w:r>
      <w:r w:rsidR="00BC0A09" w:rsidRPr="00BC0A09">
        <w:rPr>
          <w:i/>
        </w:rPr>
        <w:t>Recommended Procedures for Toxic Air Contaminant Health Risk Assessments</w:t>
      </w:r>
      <w:r w:rsidR="00BC0A09">
        <w:t xml:space="preserve"> (July 2020)</w:t>
      </w:r>
      <w:r>
        <w:t xml:space="preserve"> should be used to generate a concentration for total PAHs</w:t>
      </w:r>
      <w:r w:rsidR="00B4136D">
        <w:t xml:space="preserve">, which </w:t>
      </w:r>
      <w:r w:rsidR="006B743A">
        <w:t xml:space="preserve">can </w:t>
      </w:r>
      <w:r w:rsidR="00B4136D">
        <w:t xml:space="preserve">then be compared to the toxicity value for </w:t>
      </w:r>
      <w:proofErr w:type="spellStart"/>
      <w:r w:rsidR="00B4136D">
        <w:t>BaP</w:t>
      </w:r>
      <w:r>
        <w:t>.</w:t>
      </w:r>
      <w:proofErr w:type="spellEnd"/>
      <w:r>
        <w:t xml:space="preserve"> Please note that current laboratory analytical methods are available for only a subset of the PAHs</w:t>
      </w:r>
      <w:r w:rsidR="00420EE1">
        <w:t xml:space="preserve"> shown</w:t>
      </w:r>
      <w:r>
        <w:t xml:space="preserve"> in Table E-3</w:t>
      </w:r>
      <w:r w:rsidR="001922A5">
        <w:t>. Once a concentration for Total PAHs is calculated, it can be compared to the ABC/TRV for benzo(a)pyrene to determine whether the related carcinogenic risk is acceptable or not.</w:t>
      </w:r>
    </w:p>
    <w:p w14:paraId="217D95C2" w14:textId="77777777" w:rsidR="00C401EE" w:rsidRPr="00C671DB" w:rsidRDefault="00C401EE" w:rsidP="00BD09E9">
      <w:pPr>
        <w:rPr>
          <w:rFonts w:ascii="Consolas" w:hAnsi="Consolas" w:cstheme="minorHAnsi"/>
          <w:shd w:val="clear" w:color="auto" w:fill="FFFFFF"/>
        </w:rPr>
      </w:pPr>
    </w:p>
    <w:sectPr w:rsidR="00C401EE" w:rsidRPr="00C67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47DD"/>
    <w:multiLevelType w:val="hybridMultilevel"/>
    <w:tmpl w:val="5ED81436"/>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6BD352CE"/>
    <w:multiLevelType w:val="hybridMultilevel"/>
    <w:tmpl w:val="DFD20BC6"/>
    <w:lvl w:ilvl="0" w:tplc="04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03D"/>
    <w:rsid w:val="000C0F40"/>
    <w:rsid w:val="00165574"/>
    <w:rsid w:val="001922A5"/>
    <w:rsid w:val="00297AD2"/>
    <w:rsid w:val="002C38CF"/>
    <w:rsid w:val="00420EE1"/>
    <w:rsid w:val="0043691A"/>
    <w:rsid w:val="004B7A86"/>
    <w:rsid w:val="00597B56"/>
    <w:rsid w:val="006B743A"/>
    <w:rsid w:val="006E683F"/>
    <w:rsid w:val="007217EB"/>
    <w:rsid w:val="007C218E"/>
    <w:rsid w:val="007D7716"/>
    <w:rsid w:val="00803F95"/>
    <w:rsid w:val="009228BA"/>
    <w:rsid w:val="0096023F"/>
    <w:rsid w:val="009B027D"/>
    <w:rsid w:val="00A423B2"/>
    <w:rsid w:val="00B018E4"/>
    <w:rsid w:val="00B11E6C"/>
    <w:rsid w:val="00B4136D"/>
    <w:rsid w:val="00BB20D5"/>
    <w:rsid w:val="00BC0A09"/>
    <w:rsid w:val="00BD09E9"/>
    <w:rsid w:val="00C401EE"/>
    <w:rsid w:val="00C469E0"/>
    <w:rsid w:val="00C60E81"/>
    <w:rsid w:val="00C671DB"/>
    <w:rsid w:val="00D5003D"/>
    <w:rsid w:val="00D72A05"/>
    <w:rsid w:val="00E72F47"/>
    <w:rsid w:val="00F3442D"/>
    <w:rsid w:val="00FD4F7C"/>
    <w:rsid w:val="00FF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D99B"/>
  <w15:chartTrackingRefBased/>
  <w15:docId w15:val="{07D0745D-6F2A-4638-880A-A2C6C95C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83F"/>
    <w:pPr>
      <w:ind w:left="720"/>
      <w:contextualSpacing/>
    </w:pPr>
  </w:style>
  <w:style w:type="table" w:styleId="TableGrid">
    <w:name w:val="Table Grid"/>
    <w:basedOn w:val="TableNormal"/>
    <w:uiPriority w:val="39"/>
    <w:rsid w:val="0096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Oregon Department of Environmental Quality</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MACMILLAN Susan</dc:creator>
  <cp:keywords/>
  <dc:description/>
  <cp:lastModifiedBy>MACMILLAN Susan * DEQ</cp:lastModifiedBy>
  <cp:revision>2</cp:revision>
  <dcterms:created xsi:type="dcterms:W3CDTF">2021-09-17T20:13:00Z</dcterms:created>
  <dcterms:modified xsi:type="dcterms:W3CDTF">2021-09-17T20:13:00Z</dcterms:modified>
</cp:coreProperties>
</file>