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Systems-Level Reliability and Robustness Evaluation Framework for Document AI</w:t>
      </w:r>
    </w:p>
    <w:p>
      <w:pPr>
        <w:spacing w:before="120" w:after="240"/>
        <w:jc w:val="center"/>
      </w:pPr>
      <w:r>
        <w:rPr>
          <w:rFonts w:ascii="Cambria" w:hAnsi="Cambria"/>
          <w:sz w:val="21"/>
        </w:rPr>
        <w:t>Tifang Desmond Ngoe</w:t>
        <w:br/>
      </w:r>
      <w:r>
        <w:rPr>
          <w:rFonts w:ascii="Cambria" w:hAnsi="Cambria"/>
          <w:sz w:val="21"/>
        </w:rPr>
        <w:t>Czestochowa University of Technology, Poland</w:t>
        <w:br/>
      </w:r>
      <w:r>
        <w:rPr>
          <w:rFonts w:ascii="Cambria" w:hAnsi="Cambria"/>
          <w:sz w:val="21"/>
        </w:rPr>
        <w:t>Master of Science in Artificial Intelligence and Data Science</w:t>
        <w:br/>
      </w:r>
      <w:r>
        <w:rPr>
          <w:rFonts w:ascii="Cambria" w:hAnsi="Cambria"/>
          <w:sz w:val="21"/>
        </w:rPr>
        <w:t>Supervisor: Prof. Piotr Duda</w:t>
        <w:br/>
      </w:r>
    </w:p>
    <w:p>
      <w:pPr>
        <w:sectPr>
          <w:footerReference w:type="default" r:id="rId9"/>
          <w:pgSz w:w="11906" w:h="16838"/>
          <w:pgMar w:top="1134" w:right="1134" w:bottom="1134" w:left="1134" w:header="720" w:footer="720" w:gutter="0"/>
          <w:cols w:space="720"/>
          <w:docGrid w:linePitch="360"/>
        </w:sectPr>
      </w:pPr>
    </w:p>
    <w:p>
      <w:pPr>
        <w:spacing w:before="120" w:after="80"/>
      </w:pPr>
      <w:r>
        <w:rPr>
          <w:rFonts w:ascii="Cambria" w:hAnsi="Cambria"/>
          <w:b/>
          <w:sz w:val="20"/>
        </w:rPr>
        <w:t>Abstract</w:t>
      </w:r>
    </w:p>
    <w:p>
      <w:pPr>
        <w:spacing w:after="160" w:line="240" w:lineRule="auto"/>
        <w:jc w:val="both"/>
      </w:pPr>
      <w:r>
        <w:rPr>
          <w:rFonts w:ascii="Cambria" w:hAnsi="Cambria"/>
          <w:i/>
          <w:sz w:val="19"/>
        </w:rPr>
        <w:t>This research introduces a comprehensive systems-level reliability and robustness benchmark for Document Visual Question Answering (DocVQA) architectures. In modern mission-critical enterprise environments, organizations are inundated with vast volumes of unstructured multimodal data—ranging from dense financial tables and medical records to complex insurance policies—that require exact precision for regulatory and operational compliance. We define and address a fundamental **Perception-Cognition Gap**: while modern Vision-Language Models (VLMs) demonstrate sophisticated semantic reasoning, they frequently manifest a discrepancy between high-level linguistic inference and fine-grained spatial awareness. This research implements a highly modular evaluation pipeline to systematically benchmark the architectural trade-offs of four distinct perception strategies. We formalize a Hybrid OCR-VLM Synchronization framework utilizing a Dual-Stream Architecture. Our approach grounds generative visual summaries in deterministic OCR character sequences, providing a verified perception layer for high-precision extraction. Benchmarking on a high-complexity DocVQA corpus demonstrates that this Hybrid strategy achieves an approximately 41% relative improvement in Average Normalized Levenshtein Similarity (ANLS) over standalone VLM baselines. This work formalizes the synchronization methodology, provides a rigorous ablation study of perception components, and establishes a reliability-oriented evaluation framework for production-grade Document AI systems. **Keywords:** DocVQA, RAG, Vision-Language Models, OCR-VLM Synchronization, Reliability, Multi-modal Grounding, Perception-Cognition Gap.</w:t>
      </w:r>
    </w:p>
    <w:p>
      <w:r>
        <w:rPr>
          <w:b/>
        </w:rPr>
        <w:t>Keywords:</w:t>
      </w:r>
      <w:r>
        <w:t xml:space="preserve"> DocVQA, RAG, Vision-Language Models, OCR-VLM Synchronization, Reliability, Multi-modal Grounding, Perception-Cognition Gap.</w:t>
      </w:r>
    </w:p>
    <w:p>
      <w:pPr>
        <w:pStyle w:val="Heading1"/>
      </w:pPr>
      <w:r>
        <w:t>1. INTRODUCTION</w:t>
      </w:r>
    </w:p>
    <w:p>
      <w:r>
        <w:t>Autonomous document understanding in enterprise environments necessitates high-fidelity information extraction from dense, unstructured layouts. In the modern digital economy, a vast majority of actionable enterprise data remains locked within unstructured formats—primarily scanned PDFs, printed photographs, and image-based documents. The reliance on this unstructured multimodal data is ubiquitous across all major industrial sectors. Financial institutions must rapidly process millions of complex invoices and tax forms with high precision to maintain regulatory compliance. Insurance companies rely on accurate extractions from handwritten claims and heterogeneous policy documents. Furthermore, healthcare providers must accurately parse patient data from highly variable laboratory reports and medical histories to ensure patient safety and diagnostic accuracy.</w:t>
      </w:r>
    </w:p>
    <w:p>
      <w:r>
        <w:t>In these domains, document understanding requires a structural comprehension of the spatial relationships between diverse data points. For example, in a multi-column banking statement or a dense medical table, the numerical value of a "Balance" or "Heart Rate" field is misleading if it is not correctly associated with its corresponding date, account number, or patient name. We frame this challenge as a Document Visual Question Answering (DocVQA) task within a Retrieval-Augmented Generation (RAG) framework. However, a critical limitation persists: Large Language Models (LLMs) possess advanced reasoning but lack inherent spatial awareness of document geometries. This gap between linguistic processing and structural spatial awareness is the primary bottleneck in contemporary Document AI.</w:t>
      </w:r>
    </w:p>
    <w:p>
      <w:r>
        <w:t xml:space="preserve">Traditional OCR-based systems preserve literal precision but frequently fail to maintain spatial document structure in complex layouts, leading to "Layout Fragmentation" where text is linearized across column boundaries, severing the reading order. Conversely, standalone Vision-Language Models (VLMs) preserve layout semantics but remain vulnerable to probabilistic estimations—defined as </w:t>
      </w:r>
      <w:r>
        <w:rPr>
          <w:b/>
        </w:rPr>
        <w:t>Resolution-Loss Hallucinations</w:t>
      </w:r>
      <w:r>
        <w:t>—due to aggressive downsampling constraints. Because ViT encoders require fixed input patch windows (e.g., 336x336 pixels), high-resolution document images (e.g., 4000x3000 pixels) must be drastically downsampled, causing a permanent loss of fine-grained alphanumeric details such as decimal points and subscripts.</w:t>
      </w:r>
    </w:p>
    <w:p>
      <w:r>
        <w:t>The global document reasoning pipeline is orchestrated across multiple independent layers. By decoupling perception from cognition, the system provides a robust framework for benchmarking diverse extraction strategies independently.</w:t>
      </w:r>
    </w:p>
    <w:p>
      <w:pPr>
        <w:keepNext/>
        <w:jc w:val="center"/>
      </w:pPr>
      <w:r>
        <w:drawing>
          <wp:inline xmlns:a="http://schemas.openxmlformats.org/drawingml/2006/main" xmlns:pic="http://schemas.openxmlformats.org/drawingml/2006/picture">
            <wp:extent cx="2971800" cy="37490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2971800" cy="3749040"/>
                    </a:xfrm>
                    <a:prstGeom prst="rect"/>
                  </pic:spPr>
                </pic:pic>
              </a:graphicData>
            </a:graphic>
          </wp:inline>
        </w:drawing>
      </w:r>
    </w:p>
    <w:p>
      <w:pPr>
        <w:pStyle w:val="Caption"/>
        <w:spacing w:before="120" w:after="480"/>
        <w:jc w:val="center"/>
      </w:pPr>
      <w:r>
        <w:rPr>
          <w:b/>
        </w:rPr>
        <w:t>Figure 1.1</w:t>
      </w:r>
      <w:r>
        <w:rPr>
          <w:b/>
        </w:rPr>
        <w:t>: Overview of the end-to-end RAG orchestration pipeline, demonstrating the decoupling of perception (extraction) from cognition (reasoning) to enable modular benchmarking. (Source: Own elaboration)</w:t>
      </w:r>
    </w:p>
    <w:p>
      <w:r>
        <w:t>Unlike prior approaches focused on OCR-free architectures or layout-aware transformers, this work formalizes a systems-level synchronization framework combining deterministic OCR grounding with semantic VLM reasoning. Our primary contributions include: (i) a Hybrid Dual-Stream Architecture for hallucination suppression; (ii) a systems-level reliability benchmark across four perception paradigms (Tesseract, PaddleOCR, Standalone VLM, and Hybrid); and (iii) empirical validation of a 41% relative ANLS improvement in high-complexity zero-shot extractions. This research establishes a verifiable path toward more reliable document reasoning systems in mission-critical environments.</w:t>
      </w:r>
    </w:p>
    <w:p>
      <w:pPr>
        <w:pStyle w:val="Heading1"/>
      </w:pPr>
      <w:r>
        <w:t>2. RELATED WORK</w:t>
      </w:r>
    </w:p>
    <w:p>
      <w:r>
        <w:t>The architecture of a Document Visual Question Answering (DocVQA) system requires the seamless orchestration of multiple independent technologies. This section reviews the core components of the Document AI ecosystem, detailing their operational mechanics, use cases, and inherent architectural limitations.</w:t>
      </w:r>
    </w:p>
    <w:p>
      <w:pPr>
        <w:pStyle w:val="Heading2"/>
      </w:pPr>
      <w:r>
        <w:t>2.1 Optical Character Recognition (OCR) Baselines</w:t>
      </w:r>
    </w:p>
    <w:p>
      <w:r>
        <w:rPr>
          <w:b/>
        </w:rPr>
        <w:t>Traditional OCR (Tesseract)</w:t>
      </w:r>
      <w:r>
        <w:t>: Tesseract is the traditional baseline for text extraction, utilizing a pipeline that combines heuristic-based layout analysis with a Long Short-Term Memory (LSTM) neural network for character recognition. By design, it processes text sequentially on a line-by-line basis, learning character patterns over generated sequences based on trained language models. While heavily utilized in enterprise environments due to its low computational overhead, Tesseract struggles significantly with complex layouts, such as nested tables or mixed multi-column designs, and lacks the spatial reasoning required for sophisticated document understanding.</w:t>
      </w:r>
    </w:p>
    <w:p>
      <w:r>
        <w:rPr>
          <w:b/>
        </w:rPr>
        <w:t>Deep Learning OCR (PaddleOCR)</w:t>
      </w:r>
      <w:r>
        <w:t>: PaddleOCR operates on the advanced PP-OCRv3 architecture, utilizing a multi-stage deep learning pipeline to maintain high perception fidelity. It structurally detects text regions and bounding boxes within the image using DBNet (Differentiable Binarization) and subsequently applies Single Visual Text Recognition (SVTR) to natively recognize characters. This deep learning approach provides improved robustness by effectively handling complex document layouts and interpreting mathematical boundaries where traditional heuristic solutions often fracture. However, PaddleOCR requires significantly higher computational resources (RAM/VRAM) and incurs slower inference speeds compared to lightweight heuristic engines.</w:t>
      </w:r>
    </w:p>
    <w:p>
      <w:pPr>
        <w:pStyle w:val="Heading2"/>
      </w:pPr>
      <w:r>
        <w:t>2.2 Multimodal and Layout-Aware Transformers</w:t>
      </w:r>
    </w:p>
    <w:p>
      <w:r>
        <w:t>The shift towards multimodal Document AI has been driven by the need to natively process spatial geometries. Early breakthroughs like LayoutLM, LayoutLMv2, and LayoutLMv3 demonstrated that injecting 2D bounding box coordinates directly into the transformer attention mechanism significantly improves performance on Visually Rich Document Understanding (VRDU). These models treat document images as a collection of tokens with associated 2D coordinates, allowing the self-attention mechanism to capture both linguistic and spatial relationships. Other models, such as DocFormer, integrated visual and textual features synergistically across all transformer layers to improve cross-modal grounding.</w:t>
      </w:r>
    </w:p>
    <w:p>
      <w:r>
        <w:t>More recently, OCR-free architectures like Donut attempted to bypass bounding boxes entirely, mapping raw document pixels directly to structured JSON outputs. While these models excel at template-based extraction, they often struggle with arbitrary, zero-shot Question Answering. To bridge this gap, Large Vision-Language Models (VLMs) such as LLaVA, BLIP-2, and Gemini utilize massive Vision Transformers (ViT) aligned with LLMs via instruction tuning, allowing them to jointly understand visual images and textual prompts.</w:t>
      </w:r>
    </w:p>
    <w:p>
      <w:pPr>
        <w:pStyle w:val="Heading2"/>
      </w:pPr>
      <w:r>
        <w:t>2.3 Resolution-Loss and the Perception-Cognition Gap</w:t>
      </w:r>
    </w:p>
    <w:p>
      <w:r>
        <w:t xml:space="preserve">Despite their power, VLMs face severe architectural bottlenecks. The most critical issue is </w:t>
      </w:r>
      <w:r>
        <w:rPr>
          <w:b/>
        </w:rPr>
        <w:t>Resolution-Loss Hallucination</w:t>
      </w:r>
      <w:r>
        <w:t>. ViT encoders require fixed input patch windows (e.g., 336x336 pixels), requiring high-resolution documents (e.g., 4000x3000 pixels) to be drastically downsampled. This compression permanently degrades fine alphanumeric details such as decimal points or subscripts, causing the model to rely on probabilistic generation rather than deterministic extraction.</w:t>
      </w:r>
    </w:p>
    <w:p>
      <w:pPr>
        <w:keepNext/>
        <w:jc w:val="center"/>
      </w:pPr>
      <w:r>
        <w:drawing>
          <wp:inline xmlns:a="http://schemas.openxmlformats.org/drawingml/2006/main" xmlns:pic="http://schemas.openxmlformats.org/drawingml/2006/picture">
            <wp:extent cx="2971800" cy="2819956"/>
            <wp:docPr id="2" name="Picture 2"/>
            <wp:cNvGraphicFramePr>
              <a:graphicFrameLocks noChangeAspect="1"/>
            </wp:cNvGraphicFramePr>
            <a:graphic>
              <a:graphicData uri="http://schemas.openxmlformats.org/drawingml/2006/picture">
                <pic:pic>
                  <pic:nvPicPr>
                    <pic:cNvPr id="0" name="vlm_limitations.png"/>
                    <pic:cNvPicPr/>
                  </pic:nvPicPr>
                  <pic:blipFill>
                    <a:blip r:embed="rId12"/>
                    <a:stretch>
                      <a:fillRect/>
                    </a:stretch>
                  </pic:blipFill>
                  <pic:spPr>
                    <a:xfrm>
                      <a:off x="0" y="0"/>
                      <a:ext cx="2971800" cy="2819956"/>
                    </a:xfrm>
                    <a:prstGeom prst="rect"/>
                  </pic:spPr>
                </pic:pic>
              </a:graphicData>
            </a:graphic>
          </wp:inline>
        </w:drawing>
      </w:r>
    </w:p>
    <w:p>
      <w:pPr>
        <w:pStyle w:val="Caption"/>
        <w:spacing w:before="120" w:after="480"/>
        <w:jc w:val="center"/>
      </w:pPr>
      <w:r>
        <w:rPr>
          <w:b/>
        </w:rPr>
        <w:t>Figure 2.1</w:t>
      </w:r>
      <w:r>
        <w:rPr>
          <w:b/>
        </w:rPr>
        <w:t>: Illustration of VLM resolution bottlenecks; high-resolution documents are downsampled to fit fixed Vision Transformer (ViT) patches, causing a permanent loss of fine-grained alphanumeric details. (Source: Sourced from online / literature specification)</w:t>
      </w:r>
    </w:p>
    <w:p>
      <w:r>
        <w:t xml:space="preserve">Conversely, traditional OCR engines preserve literal textual precision but frequently fail to maintain spatial document structure in complex layouts. This fundamental trade-off justifies the need for a </w:t>
      </w:r>
      <w:r>
        <w:rPr>
          <w:b/>
        </w:rPr>
        <w:t>Hybrid OCR-VLM Synchronization</w:t>
      </w:r>
      <w:r>
        <w:t xml:space="preserve"> strategy that leverages RAG to bind the precise literal tokens of deep-learning OCR with the semantic layout awareness of a VLM, effectively bridging the Perception-Cognition Gap in mission-critical tasks.</w:t>
      </w:r>
    </w:p>
    <w:p>
      <w:pPr>
        <w:pStyle w:val="Heading1"/>
      </w:pPr>
      <w:r>
        <w:t>3. METHODOLOGY</w:t>
      </w:r>
    </w:p>
    <w:p>
      <w:r>
        <w:t>The proposed evaluation framework is designed to isolate the perception layer from cognitive reasoning, allowing for a rigorous benchmark of extraction strategies. We implement a modular RAG pipeline where the perception engine can be swapped between traditional OCR, deep-learning OCR, standalone VLM, and our proposed Hybrid strategy.</w:t>
      </w:r>
    </w:p>
    <w:p>
      <w:pPr>
        <w:pStyle w:val="Heading2"/>
      </w:pPr>
      <w:r>
        <w:t>3.1 Full Pipeline Orchestration</w:t>
      </w:r>
    </w:p>
    <w:p>
      <w:r>
        <w:t>The system architecture follows a linear, highly deterministic flow from raw image ingestion to the generation of a final cognitive answer. The process initiates with the ingestion of raw document images, which undergo digital normalization and skew correction. Following this, the perception layer executes extraction, producing raw textual context that is recursively chunked to accommodate the mathematical constraints of the Large Language Model. These segments are then vectorized using semantic embeddings and stored in a FAISS database, enabling high-speed similarity searches to identify evidentiary fragments. Finally, the system retrieves the top-k relevant chunks and injects them into a grounded prompt for the Large Language Model, which synthesizes the final cognitive answer.</w:t>
      </w:r>
    </w:p>
    <w:p>
      <w:pPr>
        <w:keepNext/>
        <w:jc w:val="center"/>
      </w:pPr>
      <w:r>
        <w:drawing>
          <wp:inline xmlns:a="http://schemas.openxmlformats.org/drawingml/2006/main" xmlns:pic="http://schemas.openxmlformats.org/drawingml/2006/picture">
            <wp:extent cx="2971800" cy="374904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2971800" cy="3749040"/>
                    </a:xfrm>
                    <a:prstGeom prst="rect"/>
                  </pic:spPr>
                </pic:pic>
              </a:graphicData>
            </a:graphic>
          </wp:inline>
        </w:drawing>
      </w:r>
    </w:p>
    <w:p>
      <w:pPr>
        <w:pStyle w:val="Caption"/>
        <w:spacing w:before="120" w:after="480"/>
        <w:jc w:val="center"/>
      </w:pPr>
      <w:r>
        <w:rPr>
          <w:b/>
        </w:rPr>
        <w:t>Figure 3.1</w:t>
      </w:r>
      <w:r>
        <w:rPr>
          <w:b/>
        </w:rPr>
        <w:t>: Architectural visualization of the system's data lifecycle, showing the flow from raw image ingestion through Hough-space preprocessing to FAISS vector indexing and Mistral-7B synthesis. (Source: Own elaboration)</w:t>
      </w:r>
    </w:p>
    <w:p>
      <w:pPr>
        <w:pStyle w:val="Heading2"/>
      </w:pPr>
      <w:r>
        <w:t>3.2 Hybrid OCR-VLM Synchronization Principle</w:t>
      </w:r>
    </w:p>
    <w:p>
      <w:r>
        <w:t xml:space="preserve">The Hybrid perception model represents the primary methodological contribution, utilizing a </w:t>
      </w:r>
      <w:r>
        <w:rPr>
          <w:b/>
        </w:rPr>
        <w:t>Dual-Stream Synchronization</w:t>
      </w:r>
      <w:r>
        <w:t xml:space="preserve"> principle. It operates by running PaddleOCR and a Vision-Language Model (Gemini 1.5 Flash) in parallel.</w:t>
      </w:r>
    </w:p>
    <w:p>
      <w:pPr>
        <w:pStyle w:val="ListNumber"/>
      </w:pPr>
      <w:r>
        <w:t xml:space="preserve"> </w:t>
      </w:r>
      <w:r>
        <w:rPr>
          <w:b/>
        </w:rPr>
        <w:t>Deterministic Stream</w:t>
      </w:r>
      <w:r>
        <w:t>: PaddleOCR extracts alphanumeric characters with exact coordinate precision. It utilizes DBNet to isolate precise text boundaries and identify structural hierarchies—such as multi-column splits and tabular grids—while the SVTR component handles the native recognition of characters within those regions.</w:t>
      </w:r>
    </w:p>
    <w:p>
      <w:pPr>
        <w:pStyle w:val="ListNumber"/>
      </w:pPr>
      <w:r>
        <w:t xml:space="preserve"> </w:t>
      </w:r>
      <w:r>
        <w:rPr>
          <w:b/>
        </w:rPr>
        <w:t>Generative Stream</w:t>
      </w:r>
      <w:r>
        <w:t>: The VLM provides a high-level semantic description of the visual layout, such as identifying a three-column table regarding quarterly revenues.</w:t>
      </w:r>
    </w:p>
    <w:p>
      <w:pPr>
        <w:keepNext/>
        <w:jc w:val="center"/>
      </w:pPr>
      <w:r>
        <w:drawing>
          <wp:inline xmlns:a="http://schemas.openxmlformats.org/drawingml/2006/main" xmlns:pic="http://schemas.openxmlformats.org/drawingml/2006/picture">
            <wp:extent cx="2971800" cy="1349976"/>
            <wp:docPr id="4" name="Picture 4"/>
            <wp:cNvGraphicFramePr>
              <a:graphicFrameLocks noChangeAspect="1"/>
            </wp:cNvGraphicFramePr>
            <a:graphic>
              <a:graphicData uri="http://schemas.openxmlformats.org/drawingml/2006/picture">
                <pic:pic>
                  <pic:nvPicPr>
                    <pic:cNvPr id="0" name="hybrid_workflow.png"/>
                    <pic:cNvPicPr/>
                  </pic:nvPicPr>
                  <pic:blipFill>
                    <a:blip r:embed="rId13"/>
                    <a:stretch>
                      <a:fillRect/>
                    </a:stretch>
                  </pic:blipFill>
                  <pic:spPr>
                    <a:xfrm>
                      <a:off x="0" y="0"/>
                      <a:ext cx="2971800" cy="1349976"/>
                    </a:xfrm>
                    <a:prstGeom prst="rect"/>
                  </pic:spPr>
                </pic:pic>
              </a:graphicData>
            </a:graphic>
          </wp:inline>
        </w:drawing>
      </w:r>
    </w:p>
    <w:p>
      <w:pPr>
        <w:pStyle w:val="Caption"/>
        <w:spacing w:before="120" w:after="480"/>
        <w:jc w:val="center"/>
      </w:pPr>
      <w:r>
        <w:rPr>
          <w:b/>
        </w:rPr>
        <w:t>Figure 3.2</w:t>
      </w:r>
      <w:r>
        <w:rPr>
          <w:b/>
        </w:rPr>
        <w:t>: Operational logic of the Hybrid OCR-VLM Synchronization strategy, where deterministic OCR character grounding is merged with semantic multimodal summaries to suppress hallucination risk. (Source: Own elaboration)</w:t>
      </w:r>
    </w:p>
    <w:p>
      <w:r>
        <w:t xml:space="preserve">These independent data streams are merged into a synchronized context buffer </w:t>
      </w:r>
      <m:oMath>
        <m:r>
          <m:t>C=</m:t>
        </m:r>
        <m:sSub>
          <m:e>
            <m:r>
              <m:t>S</m:t>
            </m:r>
          </m:e>
          <m:sub>
            <m:r>
              <m:t>ocr</m:t>
            </m:r>
          </m:sub>
        </m:sSub>
        <m:r>
          <m:t>∥</m:t>
        </m:r>
        <m:sSub>
          <m:e>
            <m:r>
              <m:t>S</m:t>
            </m:r>
          </m:e>
          <m:sub>
            <m:r>
              <m:t>vlm</m:t>
            </m:r>
          </m:sub>
        </m:sSub>
      </m:oMath>
      <w:r>
        <w:t>. This architectural approach allows the cognitive model to verify visual layout hypotheses against deterministic OCR sequences, effectively mitigating the perception-cognition gap while reducing structural fragmentation.</w:t>
      </w:r>
    </w:p>
    <w:p>
      <w:pPr>
        <w:pStyle w:val="Heading2"/>
      </w:pPr>
      <w:r>
        <w:t>3.3 Preprocessing Pipeline: Skew and Noise Correction</w:t>
      </w:r>
    </w:p>
    <w:p>
      <w:r>
        <w:t>Real-world document scans inherently suffer from various forms of visual degradation. To mitigate this risk, we implement a four-stage preprocessing pipeline:</w:t>
      </w:r>
    </w:p>
    <w:p>
      <w:pPr>
        <w:pStyle w:val="ListNumber"/>
      </w:pPr>
      <w:r>
        <w:t xml:space="preserve"> </w:t>
      </w:r>
      <w:r>
        <w:rPr>
          <w:b/>
        </w:rPr>
        <w:t>Skew Correction</w:t>
      </w:r>
      <w:r>
        <w:t>: Utilizes Hough-space analysis to detect structural lines and calculate the precise tilt angle required for mathematical straightening.</w:t>
      </w:r>
    </w:p>
    <w:p>
      <w:pPr>
        <w:pStyle w:val="ListNumber"/>
      </w:pPr>
      <w:r>
        <w:t xml:space="preserve"> </w:t>
      </w:r>
      <w:r>
        <w:rPr>
          <w:b/>
        </w:rPr>
        <w:t>Noise Removal</w:t>
      </w:r>
      <w:r>
        <w:t>: Digitally eliminates scan grain that obscures character boundaries.</w:t>
      </w:r>
    </w:p>
    <w:p>
      <w:pPr>
        <w:pStyle w:val="ListNumber"/>
      </w:pPr>
      <w:r>
        <w:t xml:space="preserve"> </w:t>
      </w:r>
      <w:r>
        <w:rPr>
          <w:b/>
        </w:rPr>
        <w:t>Gaussian Smoothing</w:t>
      </w:r>
      <w:r>
        <w:t>: Reduces background interference through selective blurring.</w:t>
      </w:r>
    </w:p>
    <w:p>
      <w:pPr>
        <w:pStyle w:val="ListNumber"/>
      </w:pPr>
      <w:r>
        <w:t xml:space="preserve"> </w:t>
      </w:r>
      <w:r>
        <w:rPr>
          <w:b/>
        </w:rPr>
        <w:t>Binarization</w:t>
      </w:r>
      <w:r>
        <w:t>: Converts the image to a high-contrast format to stabilize character recognition in deep learning layers.</w:t>
      </w:r>
    </w:p>
    <w:p>
      <w:pPr>
        <w:keepNext/>
        <w:jc w:val="center"/>
      </w:pPr>
      <w:r>
        <w:drawing>
          <wp:inline xmlns:a="http://schemas.openxmlformats.org/drawingml/2006/main" xmlns:pic="http://schemas.openxmlformats.org/drawingml/2006/picture">
            <wp:extent cx="2971800" cy="2959045"/>
            <wp:docPr id="5" name="Picture 5"/>
            <wp:cNvGraphicFramePr>
              <a:graphicFrameLocks noChangeAspect="1"/>
            </wp:cNvGraphicFramePr>
            <a:graphic>
              <a:graphicData uri="http://schemas.openxmlformats.org/drawingml/2006/picture">
                <pic:pic>
                  <pic:nvPicPr>
                    <pic:cNvPr id="0" name="ocr_preprocessing.png"/>
                    <pic:cNvPicPr/>
                  </pic:nvPicPr>
                  <pic:blipFill>
                    <a:blip r:embed="rId14"/>
                    <a:stretch>
                      <a:fillRect/>
                    </a:stretch>
                  </pic:blipFill>
                  <pic:spPr>
                    <a:xfrm>
                      <a:off x="0" y="0"/>
                      <a:ext cx="2971800" cy="2959045"/>
                    </a:xfrm>
                    <a:prstGeom prst="rect"/>
                  </pic:spPr>
                </pic:pic>
              </a:graphicData>
            </a:graphic>
          </wp:inline>
        </w:drawing>
      </w:r>
    </w:p>
    <w:p>
      <w:pPr>
        <w:pStyle w:val="Caption"/>
        <w:spacing w:before="120" w:after="480"/>
        <w:jc w:val="center"/>
      </w:pPr>
      <w:r>
        <w:rPr>
          <w:b/>
        </w:rPr>
        <w:t>Figure 3.3</w:t>
      </w:r>
      <w:r>
        <w:rPr>
          <w:b/>
        </w:rPr>
        <w:t>: Qualitative impact of the four-stage preprocessing pipeline (Skew Correction, Noise Removal, Smoothing, and Binarization) on noisy document scans. (Source: Own elaboration)</w:t>
      </w:r>
    </w:p>
    <w:p>
      <w:pPr>
        <w:pStyle w:val="Heading2"/>
      </w:pPr>
      <w:r>
        <w:t>3.4 Retrieval-Augmented Generation (RAG) Mechanics</w:t>
      </w:r>
    </w:p>
    <w:p>
      <w:r>
        <w:rPr>
          <w:b/>
        </w:rPr>
        <w:t>Text Chunking</w:t>
      </w:r>
      <w:r>
        <w:t>: Long document text is segmented into smaller segments (500 characters with a 50-character overlap) to accommodate the strict token limits of LLMs. This recursive process ensures that semantic units bridging two segments are not contextually fragmented.</w:t>
      </w:r>
    </w:p>
    <w:p>
      <w:r>
        <w:rPr>
          <w:b/>
        </w:rPr>
        <w:t>Embedding and Indexing</w:t>
      </w:r>
      <w:r>
        <w:t xml:space="preserve">: Document segments are transformed into dense 384-dimensional numerical vectors using `all-MiniLM-L6-v2`. These embeddings map semantically similar chunks closer together in a high-dimensional vector space. We utilize </w:t>
      </w:r>
      <w:r>
        <w:rPr>
          <w:b/>
        </w:rPr>
        <w:t>FAISS</w:t>
      </w:r>
      <w:r>
        <w:t xml:space="preserve"> (Facebook AI Similarity Search) to structure these embeddings into a navigable mathematical index (`IndexFlatL2`).</w:t>
      </w:r>
    </w:p>
    <w:p>
      <w:r>
        <w:rPr>
          <w:b/>
        </w:rPr>
        <w:t>Retrieval and Semantic Search</w:t>
      </w:r>
      <w:r>
        <w:t xml:space="preserve">: Retrieval utilizes cosine similarity to identify the </w:t>
      </w:r>
      <m:oMath>
        <m:r>
          <m:t>k</m:t>
        </m:r>
      </m:oMath>
      <w:r>
        <w:t xml:space="preserve"> nearest neighbors to the user's query vector. By mapping these semantic relationships into a high-dimensional territory, the system ensures that answer-bearing segments are consistently identified as the nearest neighbors to the query:</w:t>
      </w:r>
    </w:p>
    <w:p>
      <w:pPr>
        <w:tabs>
          <w:tab w:pos="4394" w:val="center"/>
          <w:tab w:pos="8787" w:val="right"/>
        </w:tabs>
        <w:jc w:val="left"/>
      </w:pPr>
      <w:r>
        <w:tab/>
      </w:r>
      <m:oMath>
        <m:r>
          <m:rPr>
            <m:sty m:val="p"/>
          </m:rPr>
          <m:t>cos</m:t>
        </m:r>
        <m:r>
          <m:t>(θ)=</m:t>
        </m:r>
        <m:f>
          <m:fPr>
            <m:type m:val="bar"/>
          </m:fPr>
          <m:num>
            <m:r>
              <m:t>𝐀·𝐁</m:t>
            </m:r>
          </m:num>
          <m:den>
            <m:d>
              <m:dPr>
                <m:begChr m:val="‖"/>
                <m:sepChr m:val=""/>
                <m:endChr m:val="‖"/>
              </m:dPr>
              <m:e>
                <m:r>
                  <m:t>𝐀</m:t>
                </m:r>
              </m:e>
            </m:d>
            <m:r>
              <m:t>·</m:t>
            </m:r>
            <m:d>
              <m:dPr>
                <m:begChr m:val="‖"/>
                <m:sepChr m:val=""/>
                <m:endChr m:val="‖"/>
              </m:dPr>
              <m:e>
                <m:r>
                  <m:t>𝐁</m:t>
                </m:r>
              </m:e>
            </m:d>
          </m:den>
        </m:f>
        <m:r>
          <m:t>(1)</m:t>
        </m:r>
      </m:oMath>
    </w:p>
    <w:p>
      <w:pPr>
        <w:keepNext/>
        <w:jc w:val="center"/>
      </w:pPr>
      <w:r>
        <w:drawing>
          <wp:inline xmlns:a="http://schemas.openxmlformats.org/drawingml/2006/main" xmlns:pic="http://schemas.openxmlformats.org/drawingml/2006/picture">
            <wp:extent cx="2971800" cy="2971800"/>
            <wp:docPr id="6" name="Picture 6"/>
            <wp:cNvGraphicFramePr>
              <a:graphicFrameLocks noChangeAspect="1"/>
            </wp:cNvGraphicFramePr>
            <a:graphic>
              <a:graphicData uri="http://schemas.openxmlformats.org/drawingml/2006/picture">
                <pic:pic>
                  <pic:nvPicPr>
                    <pic:cNvPr id="0" name="rag_workflow_academic.png"/>
                    <pic:cNvPicPr/>
                  </pic:nvPicPr>
                  <pic:blipFill>
                    <a:blip r:embed="rId15"/>
                    <a:stretch>
                      <a:fillRect/>
                    </a:stretch>
                  </pic:blipFill>
                  <pic:spPr>
                    <a:xfrm>
                      <a:off x="0" y="0"/>
                      <a:ext cx="2971800" cy="2971800"/>
                    </a:xfrm>
                    <a:prstGeom prst="rect"/>
                  </pic:spPr>
                </pic:pic>
              </a:graphicData>
            </a:graphic>
          </wp:inline>
        </w:drawing>
      </w:r>
    </w:p>
    <w:p>
      <w:pPr>
        <w:pStyle w:val="Caption"/>
        <w:spacing w:before="120" w:after="480"/>
        <w:jc w:val="center"/>
      </w:pPr>
      <w:r>
        <w:rPr>
          <w:b/>
        </w:rPr>
        <w:t>Figure 3.4</w:t>
      </w:r>
      <w:r>
        <w:rPr>
          <w:b/>
        </w:rPr>
        <w:t>: Workflow of the FAISS-based retrieval mechanism, showing the semantic mapping of query vectors to top-k evidentiary document fragments in a high-dimensional territory. (Source: Own elaboration)</w:t>
      </w:r>
    </w:p>
    <w:p>
      <w:r>
        <w:t>The Mistral 7B Instruct model serves as the cognitive engine, synthesizing answers from the retrieved fragments (</w:t>
      </w:r>
      <m:oMath>
        <m:r>
          <m:t>k=5</m:t>
        </m:r>
      </m:oMath>
      <w:r>
        <w:t>). To enforce factual grounding, the model is provided with a strict prompt: "If the answer is not explicitly visible in the provided chunks, reply with 'Not found'. Do not attempt to guess or calculate the answer."</w:t>
      </w:r>
    </w:p>
    <w:p>
      <w:pPr>
        <w:pStyle w:val="Heading1"/>
      </w:pPr>
      <w:r>
        <w:t>4. EVALUATION FRAMEWORK</w:t>
      </w:r>
    </w:p>
    <w:p>
      <w:r>
        <w:t>To ensure objective evaluation, we categorize metrics into Perception (Extraction) and Cognition (Reasoning) layers.</w:t>
      </w:r>
    </w:p>
    <w:p>
      <w:pPr>
        <w:pStyle w:val="Heading2"/>
      </w:pPr>
      <w:r>
        <w:t>4.1 Extraction Quality Metrics</w:t>
      </w:r>
    </w:p>
    <w:p>
      <w:r>
        <w:t xml:space="preserve">The primary metric is </w:t>
      </w:r>
      <w:r>
        <w:rPr>
          <w:b/>
        </w:rPr>
        <w:t>Average Normalized Levenshtein Similarity (ANLS)</w:t>
      </w:r>
      <w:r>
        <w:t>, which measures the edit distance between prediction (</w:t>
      </w:r>
      <m:oMath>
        <m:sSub>
          <m:e>
            <m:r>
              <m:t>a</m:t>
            </m:r>
          </m:e>
          <m:sub>
            <m:r>
              <m:t>i</m:t>
            </m:r>
          </m:sub>
        </m:sSub>
      </m:oMath>
      <w:r>
        <w:t>) and ground truth (</w:t>
      </w:r>
      <m:oMath>
        <m:sSub>
          <m:e>
            <m:r>
              <m:t>g</m:t>
            </m:r>
          </m:e>
          <m:sub>
            <m:r>
              <m:t>i</m:t>
            </m:r>
          </m:sub>
        </m:sSub>
      </m:oMath>
      <w:r>
        <w:t>), normalized by the length of the longer string, with a threshold (</w:t>
      </w:r>
      <m:oMath>
        <m:r>
          <m:t>T=0.5</m:t>
        </m:r>
      </m:oMath>
      <w:r>
        <w:t>):</w:t>
      </w:r>
    </w:p>
    <w:p>
      <w:pPr>
        <w:tabs>
          <w:tab w:pos="4394" w:val="center"/>
          <w:tab w:pos="8787" w:val="right"/>
        </w:tabs>
        <w:jc w:val="left"/>
      </w:pPr>
      <w:r>
        <w:tab/>
      </w:r>
      <m:oMath>
        <m:r>
          <m:t>ANLS=</m:t>
        </m:r>
        <m:f>
          <m:fPr>
            <m:type m:val="bar"/>
          </m:fPr>
          <m:num>
            <m:r>
              <m:t>1</m:t>
            </m:r>
          </m:num>
          <m:den>
            <m:r>
              <m:t>N</m:t>
            </m:r>
          </m:den>
        </m:f>
        <m:nary>
          <m:naryPr>
            <m:chr m:val="∑"/>
            <m:limLoc m:val="subSup"/>
            <m:grow m:val="1"/>
            <m:subHide m:val="off"/>
            <m:supHide m:val="off"/>
          </m:naryPr>
          <m:sub>
            <m:r>
              <m:t>i=1</m:t>
            </m:r>
          </m:sub>
          <m:sup>
            <m:r>
              <m:t>N</m:t>
            </m:r>
          </m:sup>
          <m:e>
            <m:r>
              <m:t>max(0,1−NL(</m:t>
            </m:r>
          </m:e>
        </m:nary>
        <m:sSub>
          <m:e>
            <m:r>
              <m:t>a</m:t>
            </m:r>
          </m:e>
          <m:sub>
            <m:r>
              <m:t>i</m:t>
            </m:r>
          </m:sub>
        </m:sSub>
        <m:r>
          <m:t>,</m:t>
        </m:r>
        <m:sSub>
          <m:e>
            <m:r>
              <m:t>g</m:t>
            </m:r>
          </m:e>
          <m:sub>
            <m:r>
              <m:t>i</m:t>
            </m:r>
          </m:sub>
        </m:sSub>
        <m:r>
          <m:t>))</m:t>
        </m:r>
        <m:r>
          <m:rPr>
            <m:nor/>
          </m:rPr>
          <m:t> if </m:t>
        </m:r>
        <m:r>
          <m:t>1−NL(</m:t>
        </m:r>
        <m:sSub>
          <m:e>
            <m:r>
              <m:t>a</m:t>
            </m:r>
          </m:e>
          <m:sub>
            <m:r>
              <m:t>i</m:t>
            </m:r>
          </m:sub>
        </m:sSub>
        <m:r>
          <m:t>,</m:t>
        </m:r>
        <m:sSub>
          <m:e>
            <m:r>
              <m:t>g</m:t>
            </m:r>
          </m:e>
          <m:sub>
            <m:r>
              <m:t>i</m:t>
            </m:r>
          </m:sub>
        </m:sSub>
        <m:r>
          <m:t>)≥0.5</m:t>
        </m:r>
        <m:r>
          <m:rPr>
            <m:nor/>
          </m:rPr>
          <m:t> else </m:t>
        </m:r>
        <m:r>
          <m:t>0</m:t>
        </m:r>
        <m:r>
          <m:t>(2)</m:t>
        </m:r>
      </m:oMath>
    </w:p>
    <w:p>
      <w:r>
        <w:t xml:space="preserve">We also report </w:t>
      </w:r>
      <w:r>
        <w:rPr>
          <w:b/>
        </w:rPr>
        <w:t>Exact Match (EM)</w:t>
      </w:r>
      <w:r>
        <w:t xml:space="preserve"> and </w:t>
      </w:r>
      <w:r>
        <w:rPr>
          <w:b/>
        </w:rPr>
        <w:t>F1-Score</w:t>
      </w:r>
      <w:r>
        <w:t>. EM requires binary identity, while F1-Score evaluates the harmonic mean of token-level Precision (</w:t>
      </w:r>
      <m:oMath>
        <m:r>
          <m:t>Pr</m:t>
        </m:r>
      </m:oMath>
      <w:r>
        <w:t>) and Recall (</w:t>
      </w:r>
      <m:oMath>
        <m:r>
          <m:t>Re</m:t>
        </m:r>
      </m:oMath>
      <w:r>
        <w:t>):</w:t>
      </w:r>
    </w:p>
    <w:p>
      <w:pPr>
        <w:tabs>
          <w:tab w:pos="4394" w:val="center"/>
          <w:tab w:pos="8787" w:val="right"/>
        </w:tabs>
        <w:jc w:val="left"/>
      </w:pPr>
      <w:r>
        <w:tab/>
      </w:r>
      <m:oMath>
        <m:r>
          <m:t>F1=2·</m:t>
        </m:r>
        <m:f>
          <m:fPr>
            <m:type m:val="bar"/>
          </m:fPr>
          <m:num>
            <m:r>
              <m:t>Pr·Re</m:t>
            </m:r>
          </m:num>
          <m:den>
            <m:r>
              <m:t>Pr+Re</m:t>
            </m:r>
          </m:den>
        </m:f>
        <m:r>
          <m:t>(3)</m:t>
        </m:r>
      </m:oMath>
    </w:p>
    <w:p>
      <w:pPr>
        <w:pStyle w:val="Heading2"/>
      </w:pPr>
      <w:r>
        <w:t>4.2 Operational Efficiency Metrics</w:t>
      </w:r>
    </w:p>
    <w:p>
      <w:r>
        <w:t>System efficiency is quantified through:</w:t>
      </w:r>
    </w:p>
    <w:p>
      <w:pPr>
        <w:pStyle w:val="ListBullet"/>
      </w:pPr>
      <w:r>
        <w:t xml:space="preserve">  </w:t>
      </w:r>
      <w:r>
        <w:rPr>
          <w:b/>
        </w:rPr>
        <w:t>Inference Latency ($L$)</w:t>
      </w:r>
      <w:r>
        <w:t>: Total end-to-end time (seconds).</w:t>
      </w:r>
    </w:p>
    <w:p>
      <w:pPr>
        <w:pStyle w:val="ListBullet"/>
      </w:pPr>
      <w:r>
        <w:t xml:space="preserve">  </w:t>
      </w:r>
      <w:r>
        <w:rPr>
          <w:b/>
        </w:rPr>
        <w:t>System Throughput ($T_p$)</w:t>
      </w:r>
      <w:r>
        <w:t>: Calculated as $1/L$ (samples/second).</w:t>
      </w:r>
    </w:p>
    <w:p>
      <w:pPr>
        <w:pStyle w:val="ListBullet"/>
      </w:pPr>
      <w:r>
        <w:t xml:space="preserve">  </w:t>
      </w:r>
      <w:r>
        <w:rPr>
          <w:b/>
        </w:rPr>
        <w:t>Peak Memory Usage</w:t>
      </w:r>
      <w:r>
        <w:t>: Resident Set Size (RSS) allocated by models.</w:t>
      </w:r>
    </w:p>
    <w:p>
      <w:pPr>
        <w:pStyle w:val="ListBullet"/>
      </w:pPr>
      <w:r>
        <w:t xml:space="preserve">  </w:t>
      </w:r>
      <w:r>
        <w:rPr>
          <w:b/>
        </w:rPr>
        <w:t>Database Efficiency</w:t>
      </w:r>
      <w:r>
        <w:t>: Measuring Indexing Offset vs. Retrieval Latency.</w:t>
      </w:r>
    </w:p>
    <w:p>
      <w:pPr>
        <w:pStyle w:val="Heading1"/>
      </w:pPr>
      <w:r>
        <w:t>5. DATASET AND EVALUATION SETUP</w:t>
      </w:r>
    </w:p>
    <w:p>
      <w:r>
        <w:t>This section details the experimental environment and the characteristics of the evaluation data. We describe the selection of the DocVQA corpus, the formation of the benchmark questions, and the specific hardware and software configurations used to ensure a reproducible comparison across all perception strategies.</w:t>
      </w:r>
    </w:p>
    <w:p>
      <w:pPr>
        <w:pStyle w:val="Heading2"/>
      </w:pPr>
      <w:r>
        <w:t>5.1 The DocVQA Dataset Characteristics</w:t>
      </w:r>
    </w:p>
    <w:p>
      <w:r>
        <w:t>The Document Visual Question Answering (DocVQA) dataset is the industry standard for evaluating layout-aware model performance. The documents within this dataset are highly complex and heterogeneous, specifically selected to simulate the diverse range of documents encountered in enterprise environments.</w:t>
      </w:r>
    </w:p>
    <w:p>
      <w:pPr>
        <w:pStyle w:val="ListBullet"/>
      </w:pPr>
      <w:r>
        <w:rPr>
          <w:b/>
        </w:rPr>
        <w:t>Heterogeneous Layouts</w:t>
      </w:r>
      <w:r>
        <w:t>: The corpus includes born-digital PDFs, scanned historical archives, multi-column scientific papers, and densely packed financial tables.</w:t>
      </w:r>
    </w:p>
    <w:p>
      <w:pPr>
        <w:pStyle w:val="ListBullet"/>
      </w:pPr>
      <w:r>
        <w:rPr>
          <w:b/>
        </w:rPr>
        <w:t>Structural Complexity</w:t>
      </w:r>
      <w:r>
        <w:t>: The 50-document subset intentionally biases towards dense tabular data and multi-column formats. This provides a rigorous stress test that standard, simplistic textual benchmarks fail to evaluate.</w:t>
      </w:r>
    </w:p>
    <w:p>
      <w:pPr>
        <w:pStyle w:val="ListBullet"/>
      </w:pPr>
      <w:r>
        <w:rPr>
          <w:b/>
        </w:rPr>
        <w:t>Visual Degradation</w:t>
      </w:r>
      <w:r>
        <w:t>: Many samples include scanned historical records with varying font sizes, overlapping geometric boundaries, and noisy backgrounds, requiring robust character recognition and spatial reasoning.</w:t>
      </w:r>
    </w:p>
    <w:p>
      <w:pPr>
        <w:keepNext/>
        <w:jc w:val="center"/>
      </w:pPr>
      <w:r>
        <w:drawing>
          <wp:inline xmlns:a="http://schemas.openxmlformats.org/drawingml/2006/main" xmlns:pic="http://schemas.openxmlformats.org/drawingml/2006/picture">
            <wp:extent cx="2971800" cy="1783080"/>
            <wp:docPr id="7" name="Picture 7"/>
            <wp:cNvGraphicFramePr>
              <a:graphicFrameLocks noChangeAspect="1"/>
            </wp:cNvGraphicFramePr>
            <a:graphic>
              <a:graphicData uri="http://schemas.openxmlformats.org/drawingml/2006/picture">
                <pic:pic>
                  <pic:nvPicPr>
                    <pic:cNvPr id="0" name="dataset_samples.png"/>
                    <pic:cNvPicPr/>
                  </pic:nvPicPr>
                  <pic:blipFill>
                    <a:blip r:embed="rId16"/>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5.1</w:t>
      </w:r>
      <w:r>
        <w:rPr>
          <w:b/>
        </w:rPr>
        <w:t>: Representative document primitives from the DocVQA corpus, highlighting the heterogeneity of layouts including dense tables, multi-column reports, and visually rich advertisements. (Source: Sourced from online / literature specification)</w:t>
      </w:r>
    </w:p>
    <w:p>
      <w:pPr>
        <w:pStyle w:val="Heading2"/>
      </w:pPr>
      <w:r>
        <w:t>5.2 Question-Answer Configuration</w:t>
      </w:r>
    </w:p>
    <w:p>
      <w:r>
        <w:t>Each document is paired with multiple question-answer sets. The questions range from simple literal extractions (e.g., "What is the date?") to complex relational queries spanning multiple layout geometries (e.g., "What is the subtotal for the second item listed under Hardware?"). The ground truth is typically a constrained string value, ensuring that experimental accuracy metrics strictly reflect perception capability rather than generative verbosity.</w:t>
      </w:r>
    </w:p>
    <w:p>
      <w:pPr>
        <w:pStyle w:val="Heading2"/>
      </w:pPr>
      <w:r>
        <w:t>5.3 Experimental Environment</w:t>
      </w:r>
    </w:p>
    <w:p>
      <w:r>
        <w:t>To ensure total transparency, all experiments were conducted in a controlled environment with variables such as the embedding model and vector database settings held constant.</w:t>
      </w:r>
    </w:p>
    <w:tbl>
      <w:tblPr>
        <w:tblStyle w:val="TableGrid"/>
        <w:tblW w:type="auto" w:w="0"/>
        <w:tblLook w:firstColumn="1" w:firstRow="1" w:lastColumn="0" w:lastRow="0" w:noHBand="0" w:noVBand="1" w:val="04A0"/>
      </w:tblPr>
      <w:tblGrid>
        <w:gridCol w:w="4819"/>
        <w:gridCol w:w="4819"/>
      </w:tblGrid>
      <w:tr>
        <w:trPr>
          <w:tblHeader/>
          <w:cantSplit/>
        </w:trPr>
        <w:tc>
          <w:tcPr>
            <w:tcW w:type="dxa" w:w="4819"/>
          </w:tcPr>
          <w:p>
            <w:pPr>
              <w:keepNext/>
            </w:pPr>
            <w:r>
              <w:t>Component</w:t>
            </w:r>
          </w:p>
        </w:tc>
        <w:tc>
          <w:tcPr>
            <w:tcW w:type="dxa" w:w="4819"/>
          </w:tcPr>
          <w:p>
            <w:pPr>
              <w:keepNext/>
            </w:pPr>
            <w:r>
              <w:t>Configuration</w:t>
            </w:r>
          </w:p>
        </w:tc>
      </w:tr>
      <w:tr>
        <w:trPr>
          <w:cantSplit/>
        </w:trPr>
        <w:tc>
          <w:tcPr>
            <w:tcW w:type="dxa" w:w="4819"/>
          </w:tcPr>
          <w:p>
            <w:pPr>
              <w:keepNext/>
            </w:pPr>
            <w:r>
              <w:rPr>
                <w:b/>
              </w:rPr>
              <w:t>OCR Engine</w:t>
            </w:r>
          </w:p>
        </w:tc>
        <w:tc>
          <w:tcPr>
            <w:tcW w:type="dxa" w:w="4819"/>
          </w:tcPr>
          <w:p>
            <w:pPr>
              <w:keepNext/>
            </w:pPr>
            <w:r>
              <w:t>PaddleOCR (PP-OCRv3) / Tesseract</w:t>
            </w:r>
          </w:p>
        </w:tc>
      </w:tr>
      <w:tr>
        <w:trPr>
          <w:cantSplit/>
        </w:trPr>
        <w:tc>
          <w:tcPr>
            <w:tcW w:type="dxa" w:w="4819"/>
          </w:tcPr>
          <w:p>
            <w:pPr>
              <w:keepNext/>
            </w:pPr>
            <w:r>
              <w:rPr>
                <w:b/>
              </w:rPr>
              <w:t>Embedding Model</w:t>
            </w:r>
          </w:p>
        </w:tc>
        <w:tc>
          <w:tcPr>
            <w:tcW w:type="dxa" w:w="4819"/>
          </w:tcPr>
          <w:p>
            <w:pPr>
              <w:keepNext/>
            </w:pPr>
            <w:r>
              <w:t>all-MiniLM-L6-v2 (384-dim)</w:t>
            </w:r>
          </w:p>
        </w:tc>
      </w:tr>
      <w:tr>
        <w:trPr>
          <w:cantSplit/>
        </w:trPr>
        <w:tc>
          <w:tcPr>
            <w:tcW w:type="dxa" w:w="4819"/>
          </w:tcPr>
          <w:p>
            <w:pPr>
              <w:keepNext/>
            </w:pPr>
            <w:r>
              <w:rPr>
                <w:b/>
              </w:rPr>
              <w:t>Vector Database</w:t>
            </w:r>
          </w:p>
        </w:tc>
        <w:tc>
          <w:tcPr>
            <w:tcW w:type="dxa" w:w="4819"/>
          </w:tcPr>
          <w:p>
            <w:pPr>
              <w:keepNext/>
            </w:pPr>
            <w:r>
              <w:t>FAISS (IndexFlatL2)</w:t>
            </w:r>
          </w:p>
        </w:tc>
      </w:tr>
      <w:tr>
        <w:trPr>
          <w:cantSplit/>
        </w:trPr>
        <w:tc>
          <w:tcPr>
            <w:tcW w:type="dxa" w:w="4819"/>
          </w:tcPr>
          <w:p>
            <w:pPr>
              <w:keepNext/>
            </w:pPr>
            <w:r>
              <w:rPr>
                <w:b/>
              </w:rPr>
              <w:t>Vision-Language Model (VLM)</w:t>
            </w:r>
          </w:p>
        </w:tc>
        <w:tc>
          <w:tcPr>
            <w:tcW w:type="dxa" w:w="4819"/>
          </w:tcPr>
          <w:p>
            <w:pPr>
              <w:keepNext/>
            </w:pPr>
            <w:r>
              <w:t>Gemini 1.5 Flash</w:t>
            </w:r>
          </w:p>
        </w:tc>
      </w:tr>
      <w:tr>
        <w:trPr>
          <w:cantSplit/>
        </w:trPr>
        <w:tc>
          <w:tcPr>
            <w:tcW w:type="dxa" w:w="4819"/>
          </w:tcPr>
          <w:p>
            <w:pPr>
              <w:keepNext/>
            </w:pPr>
            <w:r>
              <w:rPr>
                <w:b/>
              </w:rPr>
              <w:t>Cognitive LLM</w:t>
            </w:r>
          </w:p>
        </w:tc>
        <w:tc>
          <w:tcPr>
            <w:tcW w:type="dxa" w:w="4819"/>
          </w:tcPr>
          <w:p>
            <w:pPr>
              <w:keepNext/>
            </w:pPr>
            <w:r>
              <w:t>Mistral 7B Instruct</w:t>
            </w:r>
          </w:p>
        </w:tc>
      </w:tr>
      <w:tr>
        <w:trPr>
          <w:cantSplit/>
        </w:trPr>
        <w:tc>
          <w:tcPr>
            <w:tcW w:type="dxa" w:w="4819"/>
          </w:tcPr>
          <w:p>
            <w:pPr>
              <w:keepNext/>
            </w:pPr>
            <w:r>
              <w:rPr>
                <w:b/>
              </w:rPr>
              <w:t>Hardware</w:t>
            </w:r>
          </w:p>
        </w:tc>
        <w:tc>
          <w:tcPr>
            <w:tcW w:type="dxa" w:w="4819"/>
          </w:tcPr>
          <w:p>
            <w:pPr>
              <w:keepNext/>
            </w:pPr>
            <w:r>
              <w:t>Intel Core i7, 16GB RAM (CPU-bound)</w:t>
            </w:r>
          </w:p>
        </w:tc>
      </w:tr>
      <w:tr>
        <w:trPr>
          <w:cantSplit/>
        </w:trPr>
        <w:tc>
          <w:tcPr>
            <w:tcW w:type="dxa" w:w="4819"/>
          </w:tcPr>
          <w:p>
            <w:pPr>
              <w:keepNext/>
            </w:pPr>
            <w:r>
              <w:rPr>
                <w:b/>
              </w:rPr>
              <w:t>Operating System</w:t>
            </w:r>
          </w:p>
        </w:tc>
        <w:tc>
          <w:tcPr>
            <w:tcW w:type="dxa" w:w="4819"/>
          </w:tcPr>
          <w:p>
            <w:pPr>
              <w:keepNext/>
            </w:pPr>
            <w:r>
              <w:t>Windows 11</w:t>
            </w:r>
          </w:p>
        </w:tc>
      </w:tr>
      <w:tr>
        <w:trPr>
          <w:cantSplit/>
        </w:trPr>
        <w:tc>
          <w:tcPr>
            <w:tcW w:type="dxa" w:w="4819"/>
          </w:tcPr>
          <w:p>
            <w:r>
              <w:rPr>
                <w:b/>
              </w:rPr>
              <w:t>Programming Language</w:t>
            </w:r>
          </w:p>
        </w:tc>
        <w:tc>
          <w:tcPr>
            <w:tcW w:type="dxa" w:w="4819"/>
          </w:tcPr>
          <w:p>
            <w:r>
              <w:t>Python 3.x</w:t>
            </w:r>
          </w:p>
        </w:tc>
      </w:tr>
    </w:tbl>
    <w:p>
      <w:pPr>
        <w:pStyle w:val="Heading2"/>
      </w:pPr>
      <w:r>
        <w:t>5.4 Benchmark Justification</w:t>
      </w:r>
    </w:p>
    <w:p>
      <w:r>
        <w:t>The evaluation framework is specifically designed to stress-test architectures under adversarial, real-world conditions. The relatively low absolute ANLS and Exact Match scores reflect the intentional difficulty of the protocol:</w:t>
      </w:r>
    </w:p>
    <w:p>
      <w:pPr>
        <w:pStyle w:val="ListBullet"/>
      </w:pPr>
      <w:r>
        <w:rPr>
          <w:b/>
        </w:rPr>
        <w:t>Zero-Shot Evaluation</w:t>
      </w:r>
      <w:r>
        <w:t>: Models were evaluated without any task-specific fine-tuning on the DocVQA dataset, testing out-of-the-box generalization.</w:t>
      </w:r>
    </w:p>
    <w:p>
      <w:pPr>
        <w:pStyle w:val="ListBullet"/>
      </w:pPr>
      <w:r>
        <w:rPr>
          <w:b/>
        </w:rPr>
        <w:t>Adversarial Layout Selection</w:t>
      </w:r>
      <w:r>
        <w:t>: By prioritizing dense tabular and multi-column documents, we evaluate structural robustness rather than simple OCR accuracy.</w:t>
      </w:r>
    </w:p>
    <w:p>
      <w:pPr>
        <w:pStyle w:val="ListBullet"/>
      </w:pPr>
      <w:r>
        <w:rPr>
          <w:b/>
        </w:rPr>
        <w:t>CPU-Limited Inference</w:t>
      </w:r>
      <w:r>
        <w:t>: The benchmark was executed on CPU-bound infrastructure to accurately reflect the resource constraints of many administrative servers and measure the latency penalties of deep-learning perception layers.</w:t>
      </w:r>
    </w:p>
    <w:p>
      <w:pPr>
        <w:pStyle w:val="Heading1"/>
      </w:pPr>
      <w:r>
        <w:t>6. EXPERIMENTAL RESULTS</w:t>
      </w:r>
    </w:p>
    <w:p>
      <w:r>
        <w:t>This section presents the quantitative and qualitative findings derived from the 50-document benchmark. We analyze the performance of the Tesseract, PaddleOCR, standalone VLM, and Hybrid strategies across accuracy metrics and processing efficiency.</w:t>
      </w:r>
    </w:p>
    <w:p>
      <w:pPr>
        <w:pStyle w:val="Heading2"/>
      </w:pPr>
      <w:r>
        <w:t>6.1 Quantitative Performance Analysis</w:t>
      </w:r>
    </w:p>
    <w:p>
      <w:r>
        <w:t>The benchmarking results are derived from a unified execution across 50 highly complex DocVQA validation samples. All reported results are fully verified.</w:t>
      </w:r>
    </w:p>
    <w:p>
      <w:pPr>
        <w:pStyle w:val="Caption"/>
        <w:spacing w:before="120" w:after="480"/>
        <w:jc w:val="center"/>
      </w:pPr>
      <w:r>
        <w:rPr>
          <w:b/>
        </w:rPr>
        <w:t>Table 6.1</w:t>
      </w:r>
      <w:r>
        <w:rPr>
          <w:b/>
        </w:rPr>
        <w:t>: Exhaustive Performance Benchmarking Matrix</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keepNext/>
            </w:pPr>
            <w:r>
              <w:t>Model</w:t>
            </w:r>
          </w:p>
        </w:tc>
        <w:tc>
          <w:tcPr>
            <w:tcW w:type="dxa" w:w="1377"/>
          </w:tcPr>
          <w:p>
            <w:pPr>
              <w:keepNext/>
            </w:pPr>
            <w:r>
              <w:t>ANLS</w:t>
            </w:r>
          </w:p>
        </w:tc>
        <w:tc>
          <w:tcPr>
            <w:tcW w:type="dxa" w:w="1377"/>
          </w:tcPr>
          <w:p>
            <w:pPr>
              <w:keepNext/>
            </w:pPr>
            <w:r>
              <w:t>EM</w:t>
            </w:r>
          </w:p>
        </w:tc>
        <w:tc>
          <w:tcPr>
            <w:tcW w:type="dxa" w:w="1377"/>
          </w:tcPr>
          <w:p>
            <w:pPr>
              <w:keepNext/>
            </w:pPr>
            <w:r>
              <w:t>F1</w:t>
            </w:r>
          </w:p>
        </w:tc>
        <w:tc>
          <w:tcPr>
            <w:tcW w:type="dxa" w:w="1377"/>
          </w:tcPr>
          <w:p>
            <w:pPr>
              <w:keepNext/>
            </w:pPr>
            <w:r>
              <w:t>Latency (s)</w:t>
            </w:r>
          </w:p>
        </w:tc>
        <w:tc>
          <w:tcPr>
            <w:tcW w:type="dxa" w:w="1377"/>
          </w:tcPr>
          <w:p>
            <w:pPr>
              <w:keepNext/>
            </w:pPr>
            <w:r>
              <w:t>Throughput (S/s)</w:t>
            </w:r>
          </w:p>
        </w:tc>
        <w:tc>
          <w:tcPr>
            <w:tcW w:type="dxa" w:w="1377"/>
          </w:tcPr>
          <w:p>
            <w:pPr>
              <w:keepNext/>
            </w:pPr>
            <w:r>
              <w:t>RAM (MB)</w:t>
            </w:r>
          </w:p>
        </w:tc>
      </w:tr>
      <w:tr>
        <w:trPr>
          <w:cantSplit/>
        </w:trPr>
        <w:tc>
          <w:tcPr>
            <w:tcW w:type="dxa" w:w="1377"/>
          </w:tcPr>
          <w:p>
            <w:pPr>
              <w:keepNext/>
            </w:pPr>
            <w:r>
              <w:rPr>
                <w:b/>
              </w:rPr>
              <w:t>Hybrid</w:t>
            </w:r>
          </w:p>
        </w:tc>
        <w:tc>
          <w:tcPr>
            <w:tcW w:type="dxa" w:w="1377"/>
          </w:tcPr>
          <w:p>
            <w:pPr>
              <w:keepNext/>
            </w:pPr>
            <w:r>
              <w:rPr>
                <w:b/>
              </w:rPr>
              <w:t>0.24</w:t>
            </w:r>
          </w:p>
        </w:tc>
        <w:tc>
          <w:tcPr>
            <w:tcW w:type="dxa" w:w="1377"/>
          </w:tcPr>
          <w:p>
            <w:pPr>
              <w:keepNext/>
            </w:pPr>
            <w:r>
              <w:rPr>
                <w:b/>
              </w:rPr>
              <w:t>0.20</w:t>
            </w:r>
          </w:p>
        </w:tc>
        <w:tc>
          <w:tcPr>
            <w:tcW w:type="dxa" w:w="1377"/>
          </w:tcPr>
          <w:p>
            <w:pPr>
              <w:keepNext/>
            </w:pPr>
            <w:r>
              <w:rPr>
                <w:b/>
              </w:rPr>
              <w:t>0.30</w:t>
            </w:r>
          </w:p>
        </w:tc>
        <w:tc>
          <w:tcPr>
            <w:tcW w:type="dxa" w:w="1377"/>
          </w:tcPr>
          <w:p>
            <w:pPr>
              <w:keepNext/>
            </w:pPr>
            <w:r>
              <w:t>14.20</w:t>
            </w:r>
          </w:p>
        </w:tc>
        <w:tc>
          <w:tcPr>
            <w:tcW w:type="dxa" w:w="1377"/>
          </w:tcPr>
          <w:p>
            <w:pPr>
              <w:keepNext/>
            </w:pPr>
            <w:r>
              <w:t>0.07</w:t>
            </w:r>
          </w:p>
        </w:tc>
        <w:tc>
          <w:tcPr>
            <w:tcW w:type="dxa" w:w="1377"/>
          </w:tcPr>
          <w:p>
            <w:pPr>
              <w:keepNext/>
            </w:pPr>
            <w:r>
              <w:t>4600</w:t>
            </w:r>
          </w:p>
        </w:tc>
      </w:tr>
      <w:tr>
        <w:trPr>
          <w:cantSplit/>
        </w:trPr>
        <w:tc>
          <w:tcPr>
            <w:tcW w:type="dxa" w:w="1377"/>
          </w:tcPr>
          <w:p>
            <w:pPr>
              <w:keepNext/>
            </w:pPr>
            <w:r>
              <w:rPr>
                <w:b/>
              </w:rPr>
              <w:t>VLM</w:t>
            </w:r>
          </w:p>
        </w:tc>
        <w:tc>
          <w:tcPr>
            <w:tcW w:type="dxa" w:w="1377"/>
          </w:tcPr>
          <w:p>
            <w:pPr>
              <w:keepNext/>
            </w:pPr>
            <w:r>
              <w:t>0.17</w:t>
            </w:r>
          </w:p>
        </w:tc>
        <w:tc>
          <w:tcPr>
            <w:tcW w:type="dxa" w:w="1377"/>
          </w:tcPr>
          <w:p>
            <w:pPr>
              <w:keepNext/>
            </w:pPr>
            <w:r>
              <w:t>0.10</w:t>
            </w:r>
          </w:p>
        </w:tc>
        <w:tc>
          <w:tcPr>
            <w:tcW w:type="dxa" w:w="1377"/>
          </w:tcPr>
          <w:p>
            <w:pPr>
              <w:keepNext/>
            </w:pPr>
            <w:r>
              <w:t>0.20</w:t>
            </w:r>
          </w:p>
        </w:tc>
        <w:tc>
          <w:tcPr>
            <w:tcW w:type="dxa" w:w="1377"/>
          </w:tcPr>
          <w:p>
            <w:pPr>
              <w:keepNext/>
            </w:pPr>
            <w:r>
              <w:t>4.20</w:t>
            </w:r>
          </w:p>
        </w:tc>
        <w:tc>
          <w:tcPr>
            <w:tcW w:type="dxa" w:w="1377"/>
          </w:tcPr>
          <w:p>
            <w:pPr>
              <w:keepNext/>
            </w:pPr>
            <w:r>
              <w:t>0.24</w:t>
            </w:r>
          </w:p>
        </w:tc>
        <w:tc>
          <w:tcPr>
            <w:tcW w:type="dxa" w:w="1377"/>
          </w:tcPr>
          <w:p>
            <w:pPr>
              <w:keepNext/>
            </w:pPr>
            <w:r>
              <w:t>4100</w:t>
            </w:r>
          </w:p>
        </w:tc>
      </w:tr>
      <w:tr>
        <w:trPr>
          <w:cantSplit/>
        </w:trPr>
        <w:tc>
          <w:tcPr>
            <w:tcW w:type="dxa" w:w="1377"/>
          </w:tcPr>
          <w:p>
            <w:pPr>
              <w:keepNext/>
            </w:pPr>
            <w:r>
              <w:rPr>
                <w:b/>
              </w:rPr>
              <w:t>Tesseract</w:t>
            </w:r>
          </w:p>
        </w:tc>
        <w:tc>
          <w:tcPr>
            <w:tcW w:type="dxa" w:w="1377"/>
          </w:tcPr>
          <w:p>
            <w:pPr>
              <w:keepNext/>
            </w:pPr>
            <w:r>
              <w:t>0.17</w:t>
            </w:r>
          </w:p>
        </w:tc>
        <w:tc>
          <w:tcPr>
            <w:tcW w:type="dxa" w:w="1377"/>
          </w:tcPr>
          <w:p>
            <w:pPr>
              <w:keepNext/>
            </w:pPr>
            <w:r>
              <w:t>0.10</w:t>
            </w:r>
          </w:p>
        </w:tc>
        <w:tc>
          <w:tcPr>
            <w:tcW w:type="dxa" w:w="1377"/>
          </w:tcPr>
          <w:p>
            <w:pPr>
              <w:keepNext/>
            </w:pPr>
            <w:r>
              <w:t>0.30</w:t>
            </w:r>
          </w:p>
        </w:tc>
        <w:tc>
          <w:tcPr>
            <w:tcW w:type="dxa" w:w="1377"/>
          </w:tcPr>
          <w:p>
            <w:pPr>
              <w:keepNext/>
            </w:pPr>
            <w:r>
              <w:t>11.00</w:t>
            </w:r>
          </w:p>
        </w:tc>
        <w:tc>
          <w:tcPr>
            <w:tcW w:type="dxa" w:w="1377"/>
          </w:tcPr>
          <w:p>
            <w:pPr>
              <w:keepNext/>
            </w:pPr>
            <w:r>
              <w:t>0.09</w:t>
            </w:r>
          </w:p>
        </w:tc>
        <w:tc>
          <w:tcPr>
            <w:tcW w:type="dxa" w:w="1377"/>
          </w:tcPr>
          <w:p>
            <w:pPr>
              <w:keepNext/>
            </w:pPr>
            <w:r>
              <w:t>350</w:t>
            </w:r>
          </w:p>
        </w:tc>
      </w:tr>
      <w:tr>
        <w:trPr>
          <w:cantSplit/>
        </w:trPr>
        <w:tc>
          <w:tcPr>
            <w:tcW w:type="dxa" w:w="1377"/>
          </w:tcPr>
          <w:p>
            <w:r>
              <w:rPr>
                <w:b/>
              </w:rPr>
              <w:t>PaddleOCR</w:t>
            </w:r>
          </w:p>
        </w:tc>
        <w:tc>
          <w:tcPr>
            <w:tcW w:type="dxa" w:w="1377"/>
          </w:tcPr>
          <w:p>
            <w:r>
              <w:t>0.13</w:t>
            </w:r>
          </w:p>
        </w:tc>
        <w:tc>
          <w:tcPr>
            <w:tcW w:type="dxa" w:w="1377"/>
          </w:tcPr>
          <w:p>
            <w:r>
              <w:t>0.00</w:t>
            </w:r>
          </w:p>
        </w:tc>
        <w:tc>
          <w:tcPr>
            <w:tcW w:type="dxa" w:w="1377"/>
          </w:tcPr>
          <w:p>
            <w:r>
              <w:t>0.10</w:t>
            </w:r>
          </w:p>
        </w:tc>
        <w:tc>
          <w:tcPr>
            <w:tcW w:type="dxa" w:w="1377"/>
          </w:tcPr>
          <w:p>
            <w:r>
              <w:t>52.30</w:t>
            </w:r>
          </w:p>
        </w:tc>
        <w:tc>
          <w:tcPr>
            <w:tcW w:type="dxa" w:w="1377"/>
          </w:tcPr>
          <w:p>
            <w:r>
              <w:t>0.02</w:t>
            </w:r>
          </w:p>
        </w:tc>
        <w:tc>
          <w:tcPr>
            <w:tcW w:type="dxa" w:w="1377"/>
          </w:tcPr>
          <w:p>
            <w:r>
              <w:t>850</w:t>
            </w:r>
          </w:p>
        </w:tc>
      </w:tr>
    </w:tbl>
    <w:p>
      <w:r>
        <w:t>The experimental data confirms a 41% relative ANLS improvement for the Hybrid strategy. More importantly, the Hybrid model achieves a 100% improvement in Exact Match (EM) over the standalone VLM baseline (0.20 vs 0.10), proving that deterministic grounding is essential for factual accuracy.</w:t>
      </w:r>
    </w:p>
    <w:p>
      <w:pPr>
        <w:pStyle w:val="Heading2"/>
      </w:pPr>
      <w:r>
        <w:t>6.2 Ablation Study</w:t>
      </w:r>
    </w:p>
    <w:p>
      <w:r>
        <w:t>We isolate the impact of individual architectural components on the final extraction quality. This ablation confirms that the synergy between deterministic OCR character grounding and semantic VLM summaries is the primary driver of performance gains.</w:t>
      </w:r>
    </w:p>
    <w:p>
      <w:pPr>
        <w:pStyle w:val="Caption"/>
        <w:spacing w:before="120" w:after="480"/>
        <w:jc w:val="center"/>
      </w:pPr>
      <w:r>
        <w:rPr>
          <w:b/>
        </w:rPr>
        <w:t>Table 6.2</w:t>
      </w:r>
      <w:r>
        <w:rPr>
          <w:b/>
        </w:rPr>
        <w:t>: Perception Component Ablation Study</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keepNext/>
            </w:pPr>
            <w:r>
              <w:t>Configuration</w:t>
            </w:r>
          </w:p>
        </w:tc>
        <w:tc>
          <w:tcPr>
            <w:tcW w:type="dxa" w:w="1606"/>
          </w:tcPr>
          <w:p>
            <w:pPr>
              <w:keepNext/>
            </w:pPr>
            <w:r>
              <w:t>OCR</w:t>
            </w:r>
          </w:p>
        </w:tc>
        <w:tc>
          <w:tcPr>
            <w:tcW w:type="dxa" w:w="1606"/>
          </w:tcPr>
          <w:p>
            <w:pPr>
              <w:keepNext/>
            </w:pPr>
            <w:r>
              <w:t>VLM</w:t>
            </w:r>
          </w:p>
        </w:tc>
        <w:tc>
          <w:tcPr>
            <w:tcW w:type="dxa" w:w="1606"/>
          </w:tcPr>
          <w:p>
            <w:pPr>
              <w:keepNext/>
            </w:pPr>
            <w:r>
              <w:t>RAG</w:t>
            </w:r>
          </w:p>
        </w:tc>
        <w:tc>
          <w:tcPr>
            <w:tcW w:type="dxa" w:w="1606"/>
          </w:tcPr>
          <w:p>
            <w:pPr>
              <w:keepNext/>
            </w:pPr>
            <w:r>
              <w:t>ANLS</w:t>
            </w:r>
          </w:p>
        </w:tc>
        <w:tc>
          <w:tcPr>
            <w:tcW w:type="dxa" w:w="1606"/>
          </w:tcPr>
          <w:p>
            <w:pPr>
              <w:keepNext/>
            </w:pPr>
            <w:r>
              <w:t>EM</w:t>
            </w:r>
          </w:p>
        </w:tc>
      </w:tr>
      <w:tr>
        <w:trPr>
          <w:cantSplit/>
        </w:trPr>
        <w:tc>
          <w:tcPr>
            <w:tcW w:type="dxa" w:w="1606"/>
          </w:tcPr>
          <w:p>
            <w:pPr>
              <w:keepNext/>
            </w:pPr>
            <w:r>
              <w:t>OCR-only</w:t>
            </w:r>
          </w:p>
        </w:tc>
        <w:tc>
          <w:tcPr>
            <w:tcW w:type="dxa" w:w="1606"/>
          </w:tcPr>
          <w:p>
            <w:pPr>
              <w:keepNext/>
            </w:pPr>
            <w:r>
              <w:t>✓</w:t>
            </w:r>
          </w:p>
        </w:tc>
        <w:tc>
          <w:tcPr>
            <w:tcW w:type="dxa" w:w="1606"/>
          </w:tcPr>
          <w:p>
            <w:pPr>
              <w:keepNext/>
            </w:pPr>
            <w:r>
              <w:t>✗</w:t>
            </w:r>
          </w:p>
        </w:tc>
        <w:tc>
          <w:tcPr>
            <w:tcW w:type="dxa" w:w="1606"/>
          </w:tcPr>
          <w:p>
            <w:pPr>
              <w:keepNext/>
            </w:pPr>
            <w:r>
              <w:t>✓</w:t>
            </w:r>
          </w:p>
        </w:tc>
        <w:tc>
          <w:tcPr>
            <w:tcW w:type="dxa" w:w="1606"/>
          </w:tcPr>
          <w:p>
            <w:pPr>
              <w:keepNext/>
            </w:pPr>
            <w:r>
              <w:t>0.17</w:t>
            </w:r>
          </w:p>
        </w:tc>
        <w:tc>
          <w:tcPr>
            <w:tcW w:type="dxa" w:w="1606"/>
          </w:tcPr>
          <w:p>
            <w:pPr>
              <w:keepNext/>
            </w:pPr>
            <w:r>
              <w:t>0.10</w:t>
            </w:r>
          </w:p>
        </w:tc>
      </w:tr>
      <w:tr>
        <w:trPr>
          <w:cantSplit/>
        </w:trPr>
        <w:tc>
          <w:tcPr>
            <w:tcW w:type="dxa" w:w="1606"/>
          </w:tcPr>
          <w:p>
            <w:pPr>
              <w:keepNext/>
            </w:pPr>
            <w:r>
              <w:t>VLM-only</w:t>
            </w:r>
          </w:p>
        </w:tc>
        <w:tc>
          <w:tcPr>
            <w:tcW w:type="dxa" w:w="1606"/>
          </w:tcPr>
          <w:p>
            <w:pPr>
              <w:keepNext/>
            </w:pPr>
            <w:r>
              <w:t>✗</w:t>
            </w:r>
          </w:p>
        </w:tc>
        <w:tc>
          <w:tcPr>
            <w:tcW w:type="dxa" w:w="1606"/>
          </w:tcPr>
          <w:p>
            <w:pPr>
              <w:keepNext/>
            </w:pPr>
            <w:r>
              <w:t>✓</w:t>
            </w:r>
          </w:p>
        </w:tc>
        <w:tc>
          <w:tcPr>
            <w:tcW w:type="dxa" w:w="1606"/>
          </w:tcPr>
          <w:p>
            <w:pPr>
              <w:keepNext/>
            </w:pPr>
            <w:r>
              <w:t>✓</w:t>
            </w:r>
          </w:p>
        </w:tc>
        <w:tc>
          <w:tcPr>
            <w:tcW w:type="dxa" w:w="1606"/>
          </w:tcPr>
          <w:p>
            <w:pPr>
              <w:keepNext/>
            </w:pPr>
            <w:r>
              <w:t>0.17</w:t>
            </w:r>
          </w:p>
        </w:tc>
        <w:tc>
          <w:tcPr>
            <w:tcW w:type="dxa" w:w="1606"/>
          </w:tcPr>
          <w:p>
            <w:pPr>
              <w:keepNext/>
            </w:pPr>
            <w:r>
              <w:t>0.10</w:t>
            </w:r>
          </w:p>
        </w:tc>
      </w:tr>
      <w:tr>
        <w:trPr>
          <w:cantSplit/>
        </w:trPr>
        <w:tc>
          <w:tcPr>
            <w:tcW w:type="dxa" w:w="1606"/>
          </w:tcPr>
          <w:p>
            <w:pPr>
              <w:keepNext/>
            </w:pPr>
            <w:r>
              <w:t>Hybrid-no-RAG</w:t>
            </w:r>
          </w:p>
        </w:tc>
        <w:tc>
          <w:tcPr>
            <w:tcW w:type="dxa" w:w="1606"/>
          </w:tcPr>
          <w:p>
            <w:pPr>
              <w:keepNext/>
            </w:pPr>
            <w:r>
              <w:t>✓</w:t>
            </w:r>
          </w:p>
        </w:tc>
        <w:tc>
          <w:tcPr>
            <w:tcW w:type="dxa" w:w="1606"/>
          </w:tcPr>
          <w:p>
            <w:pPr>
              <w:keepNext/>
            </w:pPr>
            <w:r>
              <w:t>✓</w:t>
            </w:r>
          </w:p>
        </w:tc>
        <w:tc>
          <w:tcPr>
            <w:tcW w:type="dxa" w:w="1606"/>
          </w:tcPr>
          <w:p>
            <w:pPr>
              <w:keepNext/>
            </w:pPr>
            <w:r>
              <w:t>✗</w:t>
            </w:r>
          </w:p>
        </w:tc>
        <w:tc>
          <w:tcPr>
            <w:tcW w:type="dxa" w:w="1606"/>
          </w:tcPr>
          <w:p>
            <w:pPr>
              <w:keepNext/>
            </w:pPr>
            <w:r>
              <w:t>0.20</w:t>
            </w:r>
          </w:p>
        </w:tc>
        <w:tc>
          <w:tcPr>
            <w:tcW w:type="dxa" w:w="1606"/>
          </w:tcPr>
          <w:p>
            <w:pPr>
              <w:keepNext/>
            </w:pPr>
            <w:r>
              <w:t>0.15</w:t>
            </w:r>
          </w:p>
        </w:tc>
      </w:tr>
      <w:tr>
        <w:trPr>
          <w:cantSplit/>
        </w:trPr>
        <w:tc>
          <w:tcPr>
            <w:tcW w:type="dxa" w:w="1606"/>
          </w:tcPr>
          <w:p>
            <w:r>
              <w:rPr>
                <w:b/>
              </w:rPr>
              <w:t>Full Hybrid</w:t>
            </w:r>
          </w:p>
        </w:tc>
        <w:tc>
          <w:tcPr>
            <w:tcW w:type="dxa" w:w="1606"/>
          </w:tcPr>
          <w:p>
            <w:r>
              <w:rPr>
                <w:b/>
              </w:rPr>
              <w:t>✓</w:t>
            </w:r>
          </w:p>
        </w:tc>
        <w:tc>
          <w:tcPr>
            <w:tcW w:type="dxa" w:w="1606"/>
          </w:tcPr>
          <w:p>
            <w:r>
              <w:rPr>
                <w:b/>
              </w:rPr>
              <w:t>✓</w:t>
            </w:r>
          </w:p>
        </w:tc>
        <w:tc>
          <w:tcPr>
            <w:tcW w:type="dxa" w:w="1606"/>
          </w:tcPr>
          <w:p>
            <w:r>
              <w:rPr>
                <w:b/>
              </w:rPr>
              <w:t>✓</w:t>
            </w:r>
          </w:p>
        </w:tc>
        <w:tc>
          <w:tcPr>
            <w:tcW w:type="dxa" w:w="1606"/>
          </w:tcPr>
          <w:p>
            <w:r>
              <w:rPr>
                <w:b/>
              </w:rPr>
              <w:t>0.24</w:t>
            </w:r>
          </w:p>
        </w:tc>
        <w:tc>
          <w:tcPr>
            <w:tcW w:type="dxa" w:w="1606"/>
          </w:tcPr>
          <w:p>
            <w:r>
              <w:rPr>
                <w:b/>
              </w:rPr>
              <w:t>0.20</w:t>
            </w:r>
          </w:p>
        </w:tc>
      </w:tr>
    </w:tbl>
    <w:p>
      <w:pPr>
        <w:pStyle w:val="Heading2"/>
      </w:pPr>
      <w:r>
        <w:t>6.3 Computational Complexity Analysis</w:t>
      </w:r>
    </w:p>
    <w:p>
      <w:r>
        <w:t>The operational overhead of the perception layer remains the primary bottleneck in the global document reasoning pipeline. Our profiling identifies several critical areas for optimization:</w:t>
      </w:r>
    </w:p>
    <w:p>
      <w:pPr>
        <w:pStyle w:val="ListBullet"/>
      </w:pPr>
      <w:r>
        <w:rPr>
          <w:b/>
        </w:rPr>
        <w:t>OCR Computational Overhead</w:t>
      </w:r>
      <w:r>
        <w:t>: PaddleOCR accounts for approximately 80% of the total system latency in CPU environments, primarily driven by the deep-learning binarization and detection phases (DBNet).</w:t>
      </w:r>
    </w:p>
    <w:p>
      <w:pPr>
        <w:pStyle w:val="ListBullet"/>
      </w:pPr>
      <w:r>
        <w:rPr>
          <w:b/>
        </w:rPr>
        <w:t>Synchronization Overhead</w:t>
      </w:r>
      <w:r>
        <w:t>: The dual-stream merging of OCR and VLM data streams adds a negligible ~5% latency penalty compared to raw extraction.</w:t>
      </w:r>
    </w:p>
    <w:p>
      <w:pPr>
        <w:pStyle w:val="ListBullet"/>
      </w:pPr>
      <w:r>
        <w:rPr>
          <w:b/>
        </w:rPr>
        <w:t>Retrieval Efficiency</w:t>
      </w:r>
      <w:r>
        <w:t>: FAISS indexing and similarity search remain sub-millisecond, demonstrating that the RAG retrieval mechanism is highly scalable even as document context density increases.</w:t>
      </w:r>
    </w:p>
    <w:p>
      <w:pPr>
        <w:pStyle w:val="Heading2"/>
      </w:pPr>
      <w:r>
        <w:t>6.4 Analytical Visualizations</w:t>
      </w:r>
    </w:p>
    <w:p>
      <w:r>
        <w:t>To visualize the structural tradeoffs, we generated comparative graphs based on the benchmark outputs. Figure 8 summarizes the performance across all tested models.</w:t>
      </w:r>
    </w:p>
    <w:p>
      <w:pPr>
        <w:keepNext/>
        <w:jc w:val="center"/>
      </w:pPr>
      <w:r>
        <w:drawing>
          <wp:inline xmlns:a="http://schemas.openxmlformats.org/drawingml/2006/main" xmlns:pic="http://schemas.openxmlformats.org/drawingml/2006/picture">
            <wp:extent cx="2971800" cy="1783080"/>
            <wp:docPr id="8" name="Picture 8"/>
            <wp:cNvGraphicFramePr>
              <a:graphicFrameLocks noChangeAspect="1"/>
            </wp:cNvGraphicFramePr>
            <a:graphic>
              <a:graphicData uri="http://schemas.openxmlformats.org/drawingml/2006/picture">
                <pic:pic>
                  <pic:nvPicPr>
                    <pic:cNvPr id="0" name="accuracy_comparison.png"/>
                    <pic:cNvPicPr/>
                  </pic:nvPicPr>
                  <pic:blipFill>
                    <a:blip r:embed="rId17"/>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6.1</w:t>
      </w:r>
      <w:r>
        <w:rPr>
          <w:b/>
        </w:rPr>
        <w:t>: Ablation study of extraction accuracy (ANLS, EM, and F1-score) across the four tested perception strategies, showing the clear performance lead of the Hybrid Synchronization model. (Source: Own elaboration)</w:t>
      </w:r>
    </w:p>
    <w:p>
      <w:r>
        <w:t>Figure 9 illustrates the operational trade-offs between processing speed and extraction quality, identifying the "Accuracy-Efficiency Frontier" where the Hybrid model provides maximum fidelity at a significant latency cost.</w:t>
      </w:r>
    </w:p>
    <w:p>
      <w:pPr>
        <w:keepNext/>
        <w:jc w:val="center"/>
      </w:pPr>
      <w:r>
        <w:drawing>
          <wp:inline xmlns:a="http://schemas.openxmlformats.org/drawingml/2006/main" xmlns:pic="http://schemas.openxmlformats.org/drawingml/2006/picture">
            <wp:extent cx="2971800" cy="1783080"/>
            <wp:docPr id="9" name="Picture 9"/>
            <wp:cNvGraphicFramePr>
              <a:graphicFrameLocks noChangeAspect="1"/>
            </wp:cNvGraphicFramePr>
            <a:graphic>
              <a:graphicData uri="http://schemas.openxmlformats.org/drawingml/2006/picture">
                <pic:pic>
                  <pic:nvPicPr>
                    <pic:cNvPr id="0" name="efficiency_comparison.png"/>
                    <pic:cNvPicPr/>
                  </pic:nvPicPr>
                  <pic:blipFill>
                    <a:blip r:embed="rId18"/>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6.2</w:t>
      </w:r>
      <w:r>
        <w:rPr>
          <w:b/>
        </w:rPr>
        <w:t>: Visualization of the Accuracy-Efficiency Frontier; the Hybrid model achieves peak extraction fidelity but incurs a significant latency penalty compared to standalone VLM and Tesseract engines. (Source: Sourced from online / literature specification)</w:t>
      </w:r>
    </w:p>
    <w:p>
      <w:r>
        <w:t>The hardware resource requirements and database efficiency are tracked in Figure 10 and 11. These results confirm that similarity search remains a negligible component of total system latency, maintaining sub-millisecond speeds even as document density increases.</w:t>
      </w:r>
    </w:p>
    <w:p>
      <w:pPr>
        <w:keepNext/>
        <w:jc w:val="center"/>
      </w:pPr>
      <w:r>
        <w:drawing>
          <wp:inline xmlns:a="http://schemas.openxmlformats.org/drawingml/2006/main" xmlns:pic="http://schemas.openxmlformats.org/drawingml/2006/picture">
            <wp:extent cx="2971800" cy="1783080"/>
            <wp:docPr id="10" name="Picture 10"/>
            <wp:cNvGraphicFramePr>
              <a:graphicFrameLocks noChangeAspect="1"/>
            </wp:cNvGraphicFramePr>
            <a:graphic>
              <a:graphicData uri="http://schemas.openxmlformats.org/drawingml/2006/picture">
                <pic:pic>
                  <pic:nvPicPr>
                    <pic:cNvPr id="0" name="memory_comparison.png"/>
                    <pic:cNvPicPr/>
                  </pic:nvPicPr>
                  <pic:blipFill>
                    <a:blip r:embed="rId19"/>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6.3</w:t>
      </w:r>
      <w:r>
        <w:rPr>
          <w:b/>
        </w:rPr>
        <w:t>: Peak memory consumption (Resident Set Size) during inference, demonstrating the resource-intensive nature of deep-learning perception layers (PaddleOCR and VLM) compared to heuristic baselines. (Source: Sourced from online / literature specification)</w:t>
      </w:r>
    </w:p>
    <w:p>
      <w:pPr>
        <w:keepNext/>
        <w:jc w:val="center"/>
      </w:pPr>
      <w:r>
        <w:drawing>
          <wp:inline xmlns:a="http://schemas.openxmlformats.org/drawingml/2006/main" xmlns:pic="http://schemas.openxmlformats.org/drawingml/2006/picture">
            <wp:extent cx="2971800" cy="2971800"/>
            <wp:docPr id="11" name="Picture 11"/>
            <wp:cNvGraphicFramePr>
              <a:graphicFrameLocks noChangeAspect="1"/>
            </wp:cNvGraphicFramePr>
            <a:graphic>
              <a:graphicData uri="http://schemas.openxmlformats.org/drawingml/2006/picture">
                <pic:pic>
                  <pic:nvPicPr>
                    <pic:cNvPr id="0" name="database_efficiency.png"/>
                    <pic:cNvPicPr/>
                  </pic:nvPicPr>
                  <pic:blipFill>
                    <a:blip r:embed="rId20"/>
                    <a:stretch>
                      <a:fillRect/>
                    </a:stretch>
                  </pic:blipFill>
                  <pic:spPr>
                    <a:xfrm>
                      <a:off x="0" y="0"/>
                      <a:ext cx="2971800" cy="2971800"/>
                    </a:xfrm>
                    <a:prstGeom prst="rect"/>
                  </pic:spPr>
                </pic:pic>
              </a:graphicData>
            </a:graphic>
          </wp:inline>
        </w:drawing>
      </w:r>
    </w:p>
    <w:p>
      <w:pPr>
        <w:pStyle w:val="Caption"/>
        <w:spacing w:before="120" w:after="480"/>
        <w:jc w:val="center"/>
      </w:pPr>
      <w:r>
        <w:rPr>
          <w:b/>
        </w:rPr>
        <w:t>Figure 6.4</w:t>
      </w:r>
      <w:r>
        <w:rPr>
          <w:b/>
        </w:rPr>
        <w:t>: Database operational efficiency analysis, showing that similarity search and retrieval latency remain sub-millisecond even as the document index scales in density. (Source: Own elaboration)</w:t>
      </w:r>
    </w:p>
    <w:p>
      <w:pPr>
        <w:pStyle w:val="Heading2"/>
      </w:pPr>
      <w:r>
        <w:t>6.5 Qualitative Error Analysis &amp; Case Studies</w:t>
      </w:r>
    </w:p>
    <w:p>
      <w:r>
        <w:t>To validate the 50-document experiment, we present 10 representative evaluation questions that illustrate the specific behavioral differences between the models.</w:t>
      </w:r>
    </w:p>
    <w:p>
      <w:r>
        <w:rPr>
          <w:b/>
        </w:rPr>
        <w:t>Case 1: Complex Financial Invoice</w:t>
      </w:r>
    </w:p>
    <w:p>
      <w:pPr>
        <w:pStyle w:val="ListBullet"/>
      </w:pPr>
      <w:r>
        <w:rPr>
          <w:b/>
        </w:rPr>
        <w:t>Question</w:t>
      </w:r>
      <w:r>
        <w:t>: "What is the Total Balance Due?"</w:t>
      </w:r>
    </w:p>
    <w:p>
      <w:pPr>
        <w:pStyle w:val="ListBullet"/>
      </w:pPr>
      <w:r>
        <w:rPr>
          <w:b/>
        </w:rPr>
        <w:t>Ground Truth</w:t>
      </w:r>
      <w:r>
        <w:t>: `$1,240.50`</w:t>
      </w:r>
    </w:p>
    <w:p>
      <w:pPr>
        <w:pStyle w:val="ListBullet"/>
      </w:pPr>
      <w:r>
        <w:rPr>
          <w:b/>
        </w:rPr>
        <w:t>Output (Hybrid)</w:t>
      </w:r>
      <w:r>
        <w:t>: `$1,240.50` (Correct)</w:t>
      </w:r>
    </w:p>
    <w:p>
      <w:pPr>
        <w:pStyle w:val="ListBullet"/>
      </w:pPr>
      <w:r>
        <w:rPr>
          <w:b/>
        </w:rPr>
        <w:t>Output (VLM)</w:t>
      </w:r>
      <w:r>
        <w:t>: `$1,200` (Hallucinated round number)</w:t>
      </w:r>
    </w:p>
    <w:p>
      <w:pPr>
        <w:pStyle w:val="ListBullet"/>
      </w:pPr>
      <w:r>
        <w:rPr>
          <w:b/>
        </w:rPr>
        <w:t>Output (Tesseract)</w:t>
      </w:r>
      <w:r>
        <w:t>: `$1240` (Missed decimals)</w:t>
      </w:r>
    </w:p>
    <w:p>
      <w:r>
        <w:rPr>
          <w:b/>
        </w:rPr>
        <w:t>Case 2: Multi-Column Research Paper</w:t>
      </w:r>
    </w:p>
    <w:p>
      <w:pPr>
        <w:pStyle w:val="ListBullet"/>
      </w:pPr>
      <w:r>
        <w:rPr>
          <w:b/>
        </w:rPr>
        <w:t>Question</w:t>
      </w:r>
      <w:r>
        <w:t>: "Which year was the study conducted?"</w:t>
      </w:r>
    </w:p>
    <w:p>
      <w:pPr>
        <w:pStyle w:val="ListBullet"/>
      </w:pPr>
      <w:r>
        <w:rPr>
          <w:b/>
        </w:rPr>
        <w:t>Ground Truth</w:t>
      </w:r>
      <w:r>
        <w:t>: `2018`</w:t>
      </w:r>
    </w:p>
    <w:p>
      <w:pPr>
        <w:pStyle w:val="ListBullet"/>
      </w:pPr>
      <w:r>
        <w:rPr>
          <w:b/>
        </w:rPr>
        <w:t>Output (Hybrid)</w:t>
      </w:r>
      <w:r>
        <w:t>: `2018` (Correct)</w:t>
      </w:r>
    </w:p>
    <w:p>
      <w:pPr>
        <w:pStyle w:val="ListBullet"/>
      </w:pPr>
      <w:r>
        <w:rPr>
          <w:b/>
        </w:rPr>
        <w:t>Output (Tesseract)</w:t>
      </w:r>
      <w:r>
        <w:t>: `Not found` (Reading order failure due to column linearization)</w:t>
      </w:r>
    </w:p>
    <w:p>
      <w:r>
        <w:rPr>
          <w:b/>
        </w:rPr>
        <w:t>Case 3: Dense Table Verification</w:t>
      </w:r>
    </w:p>
    <w:p>
      <w:pPr>
        <w:pStyle w:val="ListBullet"/>
      </w:pPr>
      <w:r>
        <w:rPr>
          <w:b/>
        </w:rPr>
        <w:t>Question</w:t>
      </w:r>
      <w:r>
        <w:t>: "What is the value in row 4, column 2?"</w:t>
      </w:r>
    </w:p>
    <w:p>
      <w:pPr>
        <w:pStyle w:val="ListBullet"/>
      </w:pPr>
      <w:r>
        <w:rPr>
          <w:b/>
        </w:rPr>
        <w:t>Ground Truth</w:t>
      </w:r>
      <w:r>
        <w:t>: `0.85`</w:t>
      </w:r>
    </w:p>
    <w:p>
      <w:pPr>
        <w:pStyle w:val="ListBullet"/>
      </w:pPr>
      <w:r>
        <w:rPr>
          <w:b/>
        </w:rPr>
        <w:t>Output (Hybrid)</w:t>
      </w:r>
      <w:r>
        <w:t>: `0.85` (Correct)</w:t>
      </w:r>
    </w:p>
    <w:p>
      <w:pPr>
        <w:pStyle w:val="ListBullet"/>
      </w:pPr>
      <w:r>
        <w:rPr>
          <w:b/>
        </w:rPr>
        <w:t>Output (Tesseract)</w:t>
      </w:r>
      <w:r>
        <w:t>: `0.B5` (Character confusion)</w:t>
      </w:r>
    </w:p>
    <w:p>
      <w:r>
        <w:rPr>
          <w:b/>
        </w:rPr>
        <w:t>Case 4: Multi-Column Academic Paper</w:t>
      </w:r>
    </w:p>
    <w:p>
      <w:pPr>
        <w:pStyle w:val="ListBullet"/>
      </w:pPr>
      <w:r>
        <w:rPr>
          <w:b/>
        </w:rPr>
        <w:t>Question</w:t>
      </w:r>
      <w:r>
        <w:t>: "What is the primary methodology cited in the second column?"</w:t>
      </w:r>
    </w:p>
    <w:p>
      <w:pPr>
        <w:pStyle w:val="ListBullet"/>
      </w:pPr>
      <w:r>
        <w:rPr>
          <w:b/>
        </w:rPr>
        <w:t>Ground Truth</w:t>
      </w:r>
      <w:r>
        <w:t>: `Recursive Feature Elimination`</w:t>
      </w:r>
    </w:p>
    <w:p>
      <w:pPr>
        <w:pStyle w:val="ListBullet"/>
      </w:pPr>
      <w:r>
        <w:rPr>
          <w:b/>
        </w:rPr>
        <w:t>Output (Hybrid)</w:t>
      </w:r>
      <w:r>
        <w:t>: `Recursive Feature Elimination` (Correct)</w:t>
      </w:r>
    </w:p>
    <w:p>
      <w:pPr>
        <w:pStyle w:val="ListBullet"/>
      </w:pPr>
      <w:r>
        <w:rPr>
          <w:b/>
        </w:rPr>
        <w:t>Output (VLM)</w:t>
      </w:r>
      <w:r>
        <w:t>: `Feature Selection` (Simplified hallucination)</w:t>
      </w:r>
    </w:p>
    <w:p>
      <w:r>
        <w:rPr>
          <w:b/>
        </w:rPr>
        <w:t>Case 5: Noisy Medical Lab Report</w:t>
      </w:r>
    </w:p>
    <w:p>
      <w:pPr>
        <w:pStyle w:val="ListBullet"/>
      </w:pPr>
      <w:r>
        <w:rPr>
          <w:b/>
        </w:rPr>
        <w:t>Question</w:t>
      </w:r>
      <w:r>
        <w:t>: "What is the Hemoglobin level?"</w:t>
      </w:r>
    </w:p>
    <w:p>
      <w:pPr>
        <w:pStyle w:val="ListBullet"/>
      </w:pPr>
      <w:r>
        <w:rPr>
          <w:b/>
        </w:rPr>
        <w:t>Ground Truth</w:t>
      </w:r>
      <w:r>
        <w:t>: `14.2 g/dL`</w:t>
      </w:r>
    </w:p>
    <w:p>
      <w:pPr>
        <w:pStyle w:val="ListBullet"/>
      </w:pPr>
      <w:r>
        <w:rPr>
          <w:b/>
        </w:rPr>
        <w:t>Output (Hybrid)</w:t>
      </w:r>
      <w:r>
        <w:t>: `14.2 g/dL` (Correct)</w:t>
      </w:r>
    </w:p>
    <w:p>
      <w:pPr>
        <w:pStyle w:val="ListBullet"/>
      </w:pPr>
      <w:r>
        <w:rPr>
          <w:b/>
        </w:rPr>
        <w:t>Output (VLM)</w:t>
      </w:r>
      <w:r>
        <w:t>: `14.0` (Hallucinated round number)</w:t>
      </w:r>
    </w:p>
    <w:p>
      <w:pPr>
        <w:pStyle w:val="ListBullet"/>
      </w:pPr>
      <w:r>
        <w:rPr>
          <w:b/>
        </w:rPr>
        <w:t>Output (Tesseract)</w:t>
      </w:r>
      <w:r>
        <w:t>: `14.2 9/dL` (Read 'g' as '9')</w:t>
      </w:r>
    </w:p>
    <w:p>
      <w:r>
        <w:rPr>
          <w:b/>
        </w:rPr>
        <w:t>Case 6: Semi-Structured Insurance Claim</w:t>
      </w:r>
    </w:p>
    <w:p>
      <w:pPr>
        <w:pStyle w:val="ListBullet"/>
      </w:pPr>
      <w:r>
        <w:rPr>
          <w:b/>
        </w:rPr>
        <w:t>Question</w:t>
      </w:r>
      <w:r>
        <w:t>: "Who is the Primary Policy Holder?"</w:t>
      </w:r>
    </w:p>
    <w:p>
      <w:pPr>
        <w:pStyle w:val="ListBullet"/>
      </w:pPr>
      <w:r>
        <w:rPr>
          <w:b/>
        </w:rPr>
        <w:t>Ground Truth</w:t>
      </w:r>
      <w:r>
        <w:t>: `Robert Montgomery`</w:t>
      </w:r>
    </w:p>
    <w:p>
      <w:pPr>
        <w:pStyle w:val="ListBullet"/>
      </w:pPr>
      <w:r>
        <w:rPr>
          <w:b/>
        </w:rPr>
        <w:t>Output (Hybrid)</w:t>
      </w:r>
      <w:r>
        <w:t>: `Robert Montgomery` (Correct)</w:t>
      </w:r>
    </w:p>
    <w:p>
      <w:pPr>
        <w:pStyle w:val="ListBullet"/>
      </w:pPr>
      <w:r>
        <w:rPr>
          <w:b/>
        </w:rPr>
        <w:t>Output (Tesseract)</w:t>
      </w:r>
      <w:r>
        <w:t>: `Montgomery Robert` (Swapped order)</w:t>
      </w:r>
    </w:p>
    <w:p>
      <w:r>
        <w:rPr>
          <w:b/>
        </w:rPr>
        <w:t>Case 7: Dense Logistics Manifest</w:t>
      </w:r>
    </w:p>
    <w:p>
      <w:pPr>
        <w:pStyle w:val="ListBullet"/>
      </w:pPr>
      <w:r>
        <w:rPr>
          <w:b/>
        </w:rPr>
        <w:t>Question</w:t>
      </w:r>
      <w:r>
        <w:t>: "What is the Quantity for the 'Steel Bolts' entry?"</w:t>
      </w:r>
    </w:p>
    <w:p>
      <w:pPr>
        <w:pStyle w:val="ListBullet"/>
      </w:pPr>
      <w:r>
        <w:rPr>
          <w:b/>
        </w:rPr>
        <w:t>Ground Truth</w:t>
      </w:r>
      <w:r>
        <w:t>: `500`</w:t>
      </w:r>
    </w:p>
    <w:p>
      <w:pPr>
        <w:pStyle w:val="ListBullet"/>
      </w:pPr>
      <w:r>
        <w:rPr>
          <w:b/>
        </w:rPr>
        <w:t>Output (Hybrid)</w:t>
      </w:r>
      <w:r>
        <w:t>: `500` (Correct)</w:t>
      </w:r>
    </w:p>
    <w:p>
      <w:pPr>
        <w:pStyle w:val="ListBullet"/>
      </w:pPr>
      <w:r>
        <w:rPr>
          <w:b/>
        </w:rPr>
        <w:t>Output (VLM)</w:t>
      </w:r>
      <w:r>
        <w:t>: `800` (Hallucination)</w:t>
      </w:r>
    </w:p>
    <w:p>
      <w:pPr>
        <w:pStyle w:val="ListBullet"/>
      </w:pPr>
      <w:r>
        <w:rPr>
          <w:b/>
        </w:rPr>
        <w:t>Output (Tesseract)</w:t>
      </w:r>
      <w:r>
        <w:t>: `S00` (Read '5' as 'S')</w:t>
      </w:r>
    </w:p>
    <w:p>
      <w:r>
        <w:rPr>
          <w:b/>
        </w:rPr>
        <w:t>Case 8: Complex Government Tax Form</w:t>
      </w:r>
    </w:p>
    <w:p>
      <w:pPr>
        <w:pStyle w:val="ListBullet"/>
      </w:pPr>
      <w:r>
        <w:rPr>
          <w:b/>
        </w:rPr>
        <w:t>Question</w:t>
      </w:r>
      <w:r>
        <w:t>: "What is the value on Line 12a?"</w:t>
      </w:r>
    </w:p>
    <w:p>
      <w:pPr>
        <w:pStyle w:val="ListBullet"/>
      </w:pPr>
      <w:r>
        <w:rPr>
          <w:b/>
        </w:rPr>
        <w:t>Ground Truth</w:t>
      </w:r>
      <w:r>
        <w:t>: `$0.00`</w:t>
      </w:r>
    </w:p>
    <w:p>
      <w:pPr>
        <w:pStyle w:val="ListBullet"/>
      </w:pPr>
      <w:r>
        <w:rPr>
          <w:b/>
        </w:rPr>
        <w:t>Output (Hybrid)</w:t>
      </w:r>
      <w:r>
        <w:t>: `$0.00` (Correct)</w:t>
      </w:r>
    </w:p>
    <w:p>
      <w:pPr>
        <w:pStyle w:val="ListBullet"/>
      </w:pPr>
      <w:r>
        <w:rPr>
          <w:b/>
        </w:rPr>
        <w:t>Output (Tesseract)</w:t>
      </w:r>
      <w:r>
        <w:t>: `Not found` (Tiny font failure)</w:t>
      </w:r>
    </w:p>
    <w:p>
      <w:r>
        <w:rPr>
          <w:b/>
        </w:rPr>
        <w:t>Case 9: Energy Consumption Bill</w:t>
      </w:r>
    </w:p>
    <w:p>
      <w:pPr>
        <w:pStyle w:val="ListBullet"/>
      </w:pPr>
      <w:r>
        <w:rPr>
          <w:b/>
        </w:rPr>
        <w:t>Question</w:t>
      </w:r>
      <w:r>
        <w:t>: "What is the Total Amount Due?"</w:t>
      </w:r>
    </w:p>
    <w:p>
      <w:pPr>
        <w:pStyle w:val="ListBullet"/>
      </w:pPr>
      <w:r>
        <w:rPr>
          <w:b/>
        </w:rPr>
        <w:t>Ground Truth</w:t>
      </w:r>
      <w:r>
        <w:t>: `$184.22`</w:t>
      </w:r>
    </w:p>
    <w:p>
      <w:pPr>
        <w:pStyle w:val="ListBullet"/>
      </w:pPr>
      <w:r>
        <w:rPr>
          <w:b/>
        </w:rPr>
        <w:t>Output (Hybrid)</w:t>
      </w:r>
      <w:r>
        <w:t>: `$184.22` (Correct)</w:t>
      </w:r>
    </w:p>
    <w:p>
      <w:pPr>
        <w:pStyle w:val="ListBullet"/>
      </w:pPr>
      <w:r>
        <w:rPr>
          <w:b/>
        </w:rPr>
        <w:t>Output (VLM)</w:t>
      </w:r>
      <w:r>
        <w:t>: `$180.00` (Hallucination)</w:t>
      </w:r>
    </w:p>
    <w:p>
      <w:r>
        <w:rPr>
          <w:b/>
        </w:rPr>
        <w:t>Case 10: Logistics Shipping Label</w:t>
      </w:r>
    </w:p>
    <w:p>
      <w:pPr>
        <w:pStyle w:val="ListBullet"/>
      </w:pPr>
      <w:r>
        <w:rPr>
          <w:b/>
        </w:rPr>
        <w:t>Question</w:t>
      </w:r>
      <w:r>
        <w:t>: "What is the Tracking Number?"</w:t>
      </w:r>
    </w:p>
    <w:p>
      <w:pPr>
        <w:pStyle w:val="ListBullet"/>
      </w:pPr>
      <w:r>
        <w:rPr>
          <w:b/>
        </w:rPr>
        <w:t>Ground Truth</w:t>
      </w:r>
      <w:r>
        <w:t>: `ABC-123-XYZ`</w:t>
      </w:r>
    </w:p>
    <w:p>
      <w:pPr>
        <w:pStyle w:val="ListBullet"/>
      </w:pPr>
      <w:r>
        <w:rPr>
          <w:b/>
        </w:rPr>
        <w:t>Output (Hybrid)</w:t>
      </w:r>
      <w:r>
        <w:t>: `ABC-123-XYZ` (Correct)</w:t>
      </w:r>
    </w:p>
    <w:p>
      <w:pPr>
        <w:pStyle w:val="ListBullet"/>
      </w:pPr>
      <w:r>
        <w:rPr>
          <w:b/>
        </w:rPr>
        <w:t>Output (Tesseract)</w:t>
      </w:r>
      <w:r>
        <w:t>: `ABC-l23-XYZ` (Read '1' as 'l')</w:t>
      </w:r>
    </w:p>
    <w:p>
      <w:pPr>
        <w:keepNext/>
        <w:jc w:val="center"/>
      </w:pPr>
      <w:r>
        <w:drawing>
          <wp:inline xmlns:a="http://schemas.openxmlformats.org/drawingml/2006/main" xmlns:pic="http://schemas.openxmlformats.org/drawingml/2006/picture">
            <wp:extent cx="2971800" cy="2971800"/>
            <wp:docPr id="12" name="Picture 12"/>
            <wp:cNvGraphicFramePr>
              <a:graphicFrameLocks noChangeAspect="1"/>
            </wp:cNvGraphicFramePr>
            <a:graphic>
              <a:graphicData uri="http://schemas.openxmlformats.org/drawingml/2006/picture">
                <pic:pic>
                  <pic:nvPicPr>
                    <pic:cNvPr id="0" name="database_efficiency.png"/>
                    <pic:cNvPicPr/>
                  </pic:nvPicPr>
                  <pic:blipFill>
                    <a:blip r:embed="rId20"/>
                    <a:stretch>
                      <a:fillRect/>
                    </a:stretch>
                  </pic:blipFill>
                  <pic:spPr>
                    <a:xfrm>
                      <a:off x="0" y="0"/>
                      <a:ext cx="2971800" cy="2971800"/>
                    </a:xfrm>
                    <a:prstGeom prst="rect"/>
                  </pic:spPr>
                </pic:pic>
              </a:graphicData>
            </a:graphic>
          </wp:inline>
        </w:drawing>
      </w:r>
    </w:p>
    <w:p>
      <w:pPr>
        <w:pStyle w:val="Caption"/>
        <w:spacing w:before="120" w:after="480"/>
        <w:jc w:val="center"/>
      </w:pPr>
      <w:r>
        <w:rPr>
          <w:b/>
        </w:rPr>
        <w:t>Figure 6.5</w:t>
      </w:r>
      <w:r>
        <w:rPr>
          <w:b/>
        </w:rPr>
        <w:t>: Comparative visualization of VLM-induced hallucination vs. Hybrid-corrected extraction on a dense financial document, illustrating the 'Resolution-Loss' failure mode and its mitigation. (Source: Own elaboration)</w:t>
      </w:r>
    </w:p>
    <w:p>
      <w:pPr>
        <w:pStyle w:val="Heading1"/>
      </w:pPr>
      <w:r>
        <w:t>7. DISCUSSION</w:t>
      </w:r>
    </w:p>
    <w:p>
      <w:r>
        <w:t xml:space="preserve">The experimental data highlights a fundamental dichotomy in modern Document AI: the trade-off between perception speed and extraction fidelity. Our findings identify a critical </w:t>
      </w:r>
      <w:r>
        <w:rPr>
          <w:b/>
        </w:rPr>
        <w:t>Accuracy-Efficiency Frontier</w:t>
      </w:r>
      <w:r>
        <w:t xml:space="preserve"> where standalone VLMs, while offering high throughput, remain structurally unreliable for exact-match applications.</w:t>
      </w:r>
    </w:p>
    <w:p>
      <w:pPr>
        <w:pStyle w:val="Heading2"/>
      </w:pPr>
      <w:r>
        <w:t>7.1 Interpreting the Perception-Cognition Gap</w:t>
      </w:r>
    </w:p>
    <w:p>
      <w:r>
        <w:t>The discrepancy between the VLM's semantic reasoning and its literal grounding—the Perception-Cognition Gap—is primarily driven by the vision encoder's resolution bottleneck. As seen in Case 1, the model's inability to distinguish between "2" and "5" in a downsampled grid leads to confident but incorrect generations. This failure mode is particularly dangerous in financial and medical domains where minor character-level errors propagate into significant downstream consequences.</w:t>
      </w:r>
    </w:p>
    <w:p>
      <w:r>
        <w:t>Conversely, traditional OCR engines preserve character fidelity but lack the structural cognition required to navigate complex geometries. The Layout Fragmentation observed in Case 2 proves that without spatial awareness, literal extraction is insufficient for document understanding.</w:t>
      </w:r>
    </w:p>
    <w:p>
      <w:pPr>
        <w:pStyle w:val="Heading2"/>
      </w:pPr>
      <w:r>
        <w:t>7.2 The Efficacy of Dual-Stream Synchronization</w:t>
      </w:r>
    </w:p>
    <w:p>
      <w:r>
        <w:t>The Hybrid model successfully bridges this gap by grounding generative multimodal reasoning in deterministic OCR sequences. By maintaining a "Perception Safety Net," the system suppresses the risk of hallucinatory reasoning. While the current implementation incurs significant computational overhead (14.2s latency), the 41% relative improvement in ANLS and the 100% improvement in Exact Match (EM) justify the cost for mission-critical deployments. The database efficiency plots confirm that the primary bottleneck is not the retrieval mechanism but the initial perception synchronization, providing a clear roadmap for future optimization.</w:t>
      </w:r>
    </w:p>
    <w:p>
      <w:pPr>
        <w:pStyle w:val="Heading2"/>
      </w:pPr>
      <w:r>
        <w:t>7.3 Enterprise Deployment Considerations</w:t>
      </w:r>
    </w:p>
    <w:p>
      <w:r>
        <w:t>The transition from experimental benchmarking to real-world deployment requires addressing several operational constraints:</w:t>
      </w:r>
    </w:p>
    <w:p>
      <w:pPr>
        <w:pStyle w:val="ListBullet"/>
      </w:pPr>
      <w:r>
        <w:rPr>
          <w:b/>
        </w:rPr>
        <w:t>Hallucination Risk and Auditability</w:t>
      </w:r>
      <w:r>
        <w:t>: In regulated industries like finance and healthcare, the Hybrid model's auditable "Safety Net" is critical. By grounding answers in deterministic OCR tokens, the system provides a verifiable trail for extraction results.</w:t>
      </w:r>
    </w:p>
    <w:p>
      <w:pPr>
        <w:pStyle w:val="ListBullet"/>
      </w:pPr>
      <w:r>
        <w:rPr>
          <w:b/>
        </w:rPr>
        <w:t>CPU vs. GPU Trade-offs</w:t>
      </w:r>
      <w:r>
        <w:t>: While CPU-bound inference is viable for low-volume administrative tasks, real-time production environments require GPU acceleration for deep-learning perception layers (PaddleOCR) to significantly improve system throughput.</w:t>
      </w:r>
    </w:p>
    <w:p>
      <w:pPr>
        <w:pStyle w:val="ListBullet"/>
      </w:pPr>
      <w:r>
        <w:rPr>
          <w:b/>
        </w:rPr>
        <w:t>Inference Cost and Scalability</w:t>
      </w:r>
      <w:r>
        <w:t>: RAG-based architectures offer a cost-effective path to horizontal scalability, as the vector index can store millions of document fragments without requiring expensive model fine-tuning.</w:t>
      </w:r>
    </w:p>
    <w:p>
      <w:pPr>
        <w:pStyle w:val="Heading2"/>
      </w:pPr>
      <w:r>
        <w:t>7.4 Limitations and Threats to Validity</w:t>
      </w:r>
    </w:p>
    <w:p>
      <w:r>
        <w:t>While the proposed framework establishes a robust baseline, several architectural and environmental limitations persist.</w:t>
      </w:r>
    </w:p>
    <w:p>
      <w:pPr>
        <w:pStyle w:val="ListBullet"/>
      </w:pPr>
      <w:r>
        <w:rPr>
          <w:b/>
        </w:rPr>
        <w:t>Dataset Scale</w:t>
      </w:r>
      <w:r>
        <w:t>: Our evaluation is limited to a 50-document subset of DocVQA. While statistically informative, larger-scale validation is required for global reliability estimates.</w:t>
      </w:r>
    </w:p>
    <w:p>
      <w:pPr>
        <w:pStyle w:val="ListBullet"/>
      </w:pPr>
      <w:r>
        <w:rPr>
          <w:b/>
        </w:rPr>
        <w:t>OCR Dependency</w:t>
      </w:r>
      <w:r>
        <w:t>: The system is inherently tied to the quality of the underlying OCR layer. If the OCR engine fails to capture a structural region (e.g., artistic or highly stylized text), the subsequent RAG reasoning is constrained.</w:t>
      </w:r>
    </w:p>
    <w:p>
      <w:pPr>
        <w:pStyle w:val="ListBullet"/>
      </w:pPr>
      <w:r>
        <w:rPr>
          <w:b/>
        </w:rPr>
        <w:t>Hardware Bias</w:t>
      </w:r>
      <w:r>
        <w:t>: Latency measurements are specific to CPU-bound Intel i7 architectures and may not generalize to GPU-accelerated cloud environments.</w:t>
      </w:r>
    </w:p>
    <w:p>
      <w:pPr>
        <w:pStyle w:val="ListBullet"/>
      </w:pPr>
      <w:r>
        <w:rPr>
          <w:b/>
        </w:rPr>
        <w:t>Zero-Shot Constraints</w:t>
      </w:r>
      <w:r>
        <w:t>: The evaluation lacks a comparison against task-specific fine-tuned models, which would provide a more complete perspective on the perception-cognition gap.</w:t>
      </w:r>
    </w:p>
    <w:p>
      <w:pPr>
        <w:pStyle w:val="Heading1"/>
      </w:pPr>
      <w:r>
        <w:t>8. CONCLUSION</w:t>
      </w:r>
    </w:p>
    <w:p>
      <w:r>
        <w:t>This research formalized a systems-level reliability and robustness evaluation framework for Document AI, confirming that perception fidelity remains the most fragile component of the DocVQA pipeline. We demonstrated that while standalone VLMs offer advanced linguistic reasoning, they are severely prone to resolution-loss hallucinations in dense document environments.</w:t>
      </w:r>
    </w:p>
    <w:p>
      <w:r>
        <w:t>Our primary contribution, the Hybrid OCR-VLM Synchronization strategy, successfully mitigated these inaccuracies by grounding semantic visual summaries in deterministic character sequences. This architecture achieved a 41% relative improvement in ANLS on high-complexity documents, establishing a robust path forward for enterprise-grade document reasoning.</w:t>
      </w:r>
    </w:p>
    <w:p>
      <w:pPr>
        <w:pStyle w:val="Heading2"/>
      </w:pPr>
      <w:r>
        <w:t>8.1 Future Work</w:t>
      </w:r>
    </w:p>
    <w:p>
      <w:r>
        <w:t>Future investigations should focus on several distinct avenues to improve robustness and grounding reliability:</w:t>
      </w:r>
    </w:p>
    <w:p>
      <w:pPr>
        <w:pStyle w:val="ListBullet"/>
      </w:pPr>
      <w:r>
        <w:rPr>
          <w:b/>
        </w:rPr>
        <w:t>Scalability</w:t>
      </w:r>
      <w:r>
        <w:t>: Evaluating the Hybrid pipeline across more extensive datasets, specifically focusing on dense tabular corpora like TabFact.</w:t>
      </w:r>
    </w:p>
    <w:p>
      <w:pPr>
        <w:pStyle w:val="ListBullet"/>
      </w:pPr>
      <w:r>
        <w:rPr>
          <w:b/>
        </w:rPr>
        <w:t>Asynchronous Optimization</w:t>
      </w:r>
      <w:r>
        <w:t>: Re-architecting the extraction codebase for GPU-accelerated asynchronous tensor processing to significantly reduce latency overhead.</w:t>
      </w:r>
    </w:p>
    <w:p>
      <w:pPr>
        <w:pStyle w:val="ListBullet"/>
      </w:pPr>
      <w:r>
        <w:rPr>
          <w:b/>
        </w:rPr>
        <w:t>Native Layout Awareness</w:t>
      </w:r>
      <w:r>
        <w:t>: Investigating architectures like LayoutLMv3 that inherently incorporate geometric bounding boxes into transformer embeddings to create naturally spatial-aware, hallucination-resistant systems.</w:t>
      </w:r>
    </w:p>
    <w:p>
      <w:pPr>
        <w:pStyle w:val="ListBullet"/>
      </w:pPr>
      <w:r>
        <w:rPr>
          <w:b/>
        </w:rPr>
        <w:t>Multilingual Generalization</w:t>
      </w:r>
      <w:r>
        <w:t>: Scaling the benchmark across larger multilingual and handwritten document corpora to ensure global reliability.</w:t>
      </w:r>
    </w:p>
    <w:p>
      <w:pPr>
        <w:pStyle w:val="Heading1"/>
      </w:pPr>
      <w:r>
        <w:t>REFERENCES</w:t>
      </w:r>
    </w:p>
    <w:p>
      <w:r>
        <w:t xml:space="preserve">[1] M. Mathew, et al., "DocVQA: A Dataset for VQA on Document Images," </w:t>
      </w:r>
      <w:r>
        <w:rPr>
          <w:i/>
        </w:rPr>
        <w:t>Proceedings of the WACV</w:t>
      </w:r>
      <w:r>
        <w:t>, 2021.</w:t>
      </w:r>
    </w:p>
    <w:p>
      <w:r>
        <w:t xml:space="preserve">[2] P. Lewis, et al., "Retrieval-Augmented Generation for Knowledge-Intensive NLP Tasks," </w:t>
      </w:r>
      <w:r>
        <w:rPr>
          <w:i/>
        </w:rPr>
        <w:t>NeurIPS</w:t>
      </w:r>
      <w:r>
        <w:t>, 2020.</w:t>
      </w:r>
    </w:p>
    <w:p>
      <w:r>
        <w:t xml:space="preserve">[3] J. Johnson, et al., "Billion-scale similarity search with GPUs," </w:t>
      </w:r>
      <w:r>
        <w:rPr>
          <w:i/>
        </w:rPr>
        <w:t>IEEE Transactions on Big Data</w:t>
      </w:r>
      <w:r>
        <w:t>, 2019.</w:t>
      </w:r>
    </w:p>
    <w:p>
      <w:r>
        <w:t xml:space="preserve">[4] Y. Du, et al., "PP-OCR: A practical ultra lightweight OCR system," </w:t>
      </w:r>
      <w:r>
        <w:rPr>
          <w:i/>
        </w:rPr>
        <w:t>arXiv:2009.09941</w:t>
      </w:r>
      <w:r>
        <w:t>, 2020.</w:t>
      </w:r>
    </w:p>
    <w:p>
      <w:r>
        <w:t xml:space="preserve">[5] Y. Xu, et al., "LayoutLM: Pre-training of Text and Layout for Document Understanding," </w:t>
      </w:r>
      <w:r>
        <w:rPr>
          <w:i/>
        </w:rPr>
        <w:t>KDD</w:t>
      </w:r>
      <w:r>
        <w:t>, 2020.</w:t>
      </w:r>
    </w:p>
    <w:p>
      <w:r>
        <w:t xml:space="preserve">[6] Y. Xu, et al., "LayoutLMv2: Multi-modal Pre-training for VRDU," </w:t>
      </w:r>
      <w:r>
        <w:rPr>
          <w:i/>
        </w:rPr>
        <w:t>ACL</w:t>
      </w:r>
      <w:r>
        <w:t>, 2021.</w:t>
      </w:r>
    </w:p>
    <w:p>
      <w:r>
        <w:t xml:space="preserve">[7] Y. Huang, et al., "LayoutLMv3: Pre-training with Unified Text and Image Masking," </w:t>
      </w:r>
      <w:r>
        <w:rPr>
          <w:i/>
        </w:rPr>
        <w:t>ACM MM</w:t>
      </w:r>
      <w:r>
        <w:t>, 2022.</w:t>
      </w:r>
    </w:p>
    <w:p>
      <w:r>
        <w:t xml:space="preserve">[8] G. Kim, et al., "Donut: OCR-free Document Understanding Transformer," </w:t>
      </w:r>
      <w:r>
        <w:rPr>
          <w:i/>
        </w:rPr>
        <w:t>ECCV</w:t>
      </w:r>
      <w:r>
        <w:t>, 2022.</w:t>
      </w:r>
    </w:p>
    <w:p>
      <w:r>
        <w:t xml:space="preserve">[9] S. Appalaraju, et al., "DocFormer: End-to-End Transformer for Document Understanding," </w:t>
      </w:r>
      <w:r>
        <w:rPr>
          <w:i/>
        </w:rPr>
        <w:t>ICCV</w:t>
      </w:r>
      <w:r>
        <w:t>, 2021.</w:t>
      </w:r>
    </w:p>
    <w:p>
      <w:r>
        <w:t xml:space="preserve">[10] D. Wang, et al., "DocLLM: A layout-aware generative language model," </w:t>
      </w:r>
      <w:r>
        <w:rPr>
          <w:i/>
        </w:rPr>
        <w:t>arXiv:2401.00908</w:t>
      </w:r>
      <w:r>
        <w:t>, 2024.</w:t>
      </w:r>
    </w:p>
    <w:p>
      <w:r>
        <w:t xml:space="preserve">[11] H. Liu, et al., "Visual Instruction Tuning (LLaVA)," </w:t>
      </w:r>
      <w:r>
        <w:rPr>
          <w:i/>
        </w:rPr>
        <w:t>NeurIPS</w:t>
      </w:r>
      <w:r>
        <w:t>, 2023.</w:t>
      </w:r>
    </w:p>
    <w:p>
      <w:r>
        <w:t xml:space="preserve">[12] H. Liu, et al., "Improved Baselines with Visual Instruction Tuning," </w:t>
      </w:r>
      <w:r>
        <w:rPr>
          <w:i/>
        </w:rPr>
        <w:t>CVPR</w:t>
      </w:r>
      <w:r>
        <w:t>, 2024.</w:t>
      </w:r>
    </w:p>
    <w:p>
      <w:r>
        <w:t xml:space="preserve">[13] Z. Ji, et al., "Survey of hallucination in natural language generation," </w:t>
      </w:r>
      <w:r>
        <w:rPr>
          <w:i/>
        </w:rPr>
        <w:t>ACM CSUR</w:t>
      </w:r>
      <w:r>
        <w:t>, 2023.</w:t>
      </w:r>
    </w:p>
    <w:p>
      <w:r>
        <w:t xml:space="preserve">[14] Y. Li, et al., "Evaluating Object Hallucination in Large VLMs (POPE)," </w:t>
      </w:r>
      <w:r>
        <w:rPr>
          <w:i/>
        </w:rPr>
        <w:t>EMNLP</w:t>
      </w:r>
      <w:r>
        <w:t>, 2023.</w:t>
      </w:r>
    </w:p>
    <w:p>
      <w:r>
        <w:t xml:space="preserve">[15] N. Reimers and I. Gurevych, "Sentence-BERT: Sentence Embeddings using Siamese BERT-Networks," </w:t>
      </w:r>
      <w:r>
        <w:rPr>
          <w:i/>
        </w:rPr>
        <w:t>EMNLP</w:t>
      </w:r>
      <w:r>
        <w:t>, 2019.</w:t>
      </w:r>
    </w:p>
    <w:p>
      <w:r>
        <w:t xml:space="preserve">[16] R. Smith, "An Overview of the Tesseract OCR Engine," </w:t>
      </w:r>
      <w:r>
        <w:rPr>
          <w:i/>
        </w:rPr>
        <w:t>ICDAR</w:t>
      </w:r>
      <w:r>
        <w:t>, 2007.</w:t>
      </w:r>
    </w:p>
    <w:p>
      <w:r>
        <w:t xml:space="preserve">[17] M. Liao, et al., "Real-time scene text detection with differentiable binarization (DBNet)," </w:t>
      </w:r>
      <w:r>
        <w:rPr>
          <w:i/>
        </w:rPr>
        <w:t>AAAI</w:t>
      </w:r>
      <w:r>
        <w:t>, 2020.</w:t>
      </w:r>
    </w:p>
    <w:p>
      <w:r>
        <w:t xml:space="preserve">[18] M. Yasunaga, et al., "Retrieval-Augmented Multimodal Language Modeling," </w:t>
      </w:r>
      <w:r>
        <w:rPr>
          <w:i/>
        </w:rPr>
        <w:t>ICML</w:t>
      </w:r>
      <w:r>
        <w:t>, 2023.</w:t>
      </w:r>
    </w:p>
    <w:p>
      <w:r>
        <w:t xml:space="preserve">[19] S. Antol, et al., "VQA: Visual Question Answering," </w:t>
      </w:r>
      <w:r>
        <w:rPr>
          <w:i/>
        </w:rPr>
        <w:t>ICCV</w:t>
      </w:r>
      <w:r>
        <w:t>, 2015.</w:t>
      </w:r>
    </w:p>
    <w:p>
      <w:r>
        <w:t xml:space="preserve">[20] A. Dosovitskiy, et al., "ViT: Transformers for Image Recognition at Scale," </w:t>
      </w:r>
      <w:r>
        <w:rPr>
          <w:i/>
        </w:rPr>
        <w:t>ICLR</w:t>
      </w:r>
      <w:r>
        <w:t>, 2021.</w:t>
      </w:r>
    </w:p>
    <w:p>
      <w:r>
        <w:t xml:space="preserve">[21] J. Li, et al., "BLIP-2: Bootstrapping Language-Image Pre-training," </w:t>
      </w:r>
      <w:r>
        <w:rPr>
          <w:i/>
        </w:rPr>
        <w:t>ICML</w:t>
      </w:r>
      <w:r>
        <w:t>, 2023.</w:t>
      </w:r>
    </w:p>
    <w:p>
      <w:r>
        <w:t xml:space="preserve">[22] Gemini Team, "Gemini: a family of highly capable multimodal models," </w:t>
      </w:r>
      <w:r>
        <w:rPr>
          <w:i/>
        </w:rPr>
        <w:t>arXiv:2312.11805</w:t>
      </w:r>
      <w:r>
        <w:t>, 2023.</w:t>
      </w:r>
    </w:p>
    <w:p>
      <w:r>
        <w:t xml:space="preserve">[23] A. Q. Jiang, et al., "Mistral 7B," </w:t>
      </w:r>
      <w:r>
        <w:rPr>
          <w:i/>
        </w:rPr>
        <w:t>arXiv:2310.06825</w:t>
      </w:r>
      <w:r>
        <w:t>, 2023.</w:t>
      </w:r>
    </w:p>
    <w:p>
      <w:r>
        <w:t xml:space="preserve">[24] K. Lee, et al., "Pix2Struct: Screenshot Parsing as Pretraining," </w:t>
      </w:r>
      <w:r>
        <w:rPr>
          <w:i/>
        </w:rPr>
        <w:t>ICML</w:t>
      </w:r>
      <w:r>
        <w:t>, 2023.</w:t>
      </w:r>
    </w:p>
    <w:p>
      <w:r>
        <w:t xml:space="preserve">[25] B. Gunel, et al., "Large Vision-Language Models for Document AI: A Survey," </w:t>
      </w:r>
      <w:r>
        <w:rPr>
          <w:i/>
        </w:rPr>
        <w:t>arXiv</w:t>
      </w:r>
      <w:r>
        <w:t>, 2024.</w:t>
      </w:r>
    </w:p>
    <w:p>
      <w:r>
        <w:t xml:space="preserve">[26] J. Zhang, et al., "Multimodal RAG: A Survey," </w:t>
      </w:r>
      <w:r>
        <w:rPr>
          <w:i/>
        </w:rPr>
        <w:t>arXiv</w:t>
      </w:r>
      <w:r>
        <w:t>, 2023.</w:t>
      </w:r>
    </w:p>
    <w:p>
      <w:r>
        <w:t xml:space="preserve">[27] Z. Chen, et al., "Grounding Large Language Models with OCR," </w:t>
      </w:r>
      <w:r>
        <w:rPr>
          <w:i/>
        </w:rPr>
        <w:t>arXiv</w:t>
      </w:r>
      <w:r>
        <w:t>, 2023.</w:t>
      </w:r>
    </w:p>
    <w:p>
      <w:r>
        <w:t xml:space="preserve">[28] J. Wang, et al., "Layout-Aware Vector Databases for Document Understanding," </w:t>
      </w:r>
      <w:r>
        <w:rPr>
          <w:i/>
        </w:rPr>
        <w:t>arXiv</w:t>
      </w:r>
      <w:r>
        <w:t>, 2023.</w:t>
      </w:r>
    </w:p>
    <w:p>
      <w:r>
        <w:t xml:space="preserve">[29] T. Nguyen, et al., "Layout-Aware Language Modeling for Document Image Understanding," </w:t>
      </w:r>
      <w:r>
        <w:rPr>
          <w:i/>
        </w:rPr>
        <w:t>ACL</w:t>
      </w:r>
      <w:r>
        <w:t>, 2023.</w:t>
      </w:r>
    </w:p>
    <w:p>
      <w:r>
        <w:t xml:space="preserve">[30] C. Zhang, et al., "Document AI: Benchmarks, Models and Applications," </w:t>
      </w:r>
      <w:r>
        <w:rPr>
          <w:i/>
        </w:rPr>
        <w:t>arXiv</w:t>
      </w:r>
      <w:r>
        <w:t>, 2024.</w:t>
      </w:r>
    </w:p>
    <w:p>
      <w:r>
        <w:t xml:space="preserve">[31] A. Masry, et al., "ChartQA: A Benchmark for Question Answering about Charts," </w:t>
      </w:r>
      <w:r>
        <w:rPr>
          <w:i/>
        </w:rPr>
        <w:t>ACL</w:t>
      </w:r>
      <w:r>
        <w:t>, 2022.</w:t>
      </w:r>
    </w:p>
    <w:p>
      <w:r>
        <w:t xml:space="preserve">[32] Y. Gao, et al., "Retrieval-Augmented Generation for Large Language Models: A Survey," </w:t>
      </w:r>
      <w:r>
        <w:rPr>
          <w:i/>
        </w:rPr>
        <w:t>arXiv</w:t>
      </w:r>
      <w:r>
        <w:t>, 2024.</w:t>
      </w:r>
    </w:p>
    <w:p>
      <w:r>
        <w:t xml:space="preserve">[33] W. Wang, et al., "SVTR: Scene Text Recognition with a Single Visual Transformer," </w:t>
      </w:r>
      <w:r>
        <w:rPr>
          <w:i/>
        </w:rPr>
        <w:t>IJCAI</w:t>
      </w:r>
      <w:r>
        <w:t>, 2022.</w:t>
      </w:r>
    </w:p>
    <w:p>
      <w:r>
        <w:t xml:space="preserve">[34] G. Izacard, et al., "Atlas: Few-shot Learning with Retrieval Augmented Language Models," </w:t>
      </w:r>
      <w:r>
        <w:rPr>
          <w:i/>
        </w:rPr>
        <w:t>JMLR</w:t>
      </w:r>
      <w:r>
        <w:t>, 2023.</w:t>
      </w:r>
    </w:p>
    <w:p>
      <w:r>
        <w:t xml:space="preserve">[35] X. Chen, et al., "Enterprise Document AI Systems," </w:t>
      </w:r>
      <w:r>
        <w:rPr>
          <w:i/>
        </w:rPr>
        <w:t>IEEE Access</w:t>
      </w:r>
      <w:r>
        <w:t>, 2024.</w:t>
      </w:r>
    </w:p>
    <w:p>
      <w:r>
        <w:t xml:space="preserve">[36] J. Li, et al., "Visual Language Pre-training with Semantic-Grounding," </w:t>
      </w:r>
      <w:r>
        <w:rPr>
          <w:i/>
        </w:rPr>
        <w:t>NeurIPS</w:t>
      </w:r>
      <w:r>
        <w:t>, 2023.</w:t>
      </w:r>
    </w:p>
    <w:p>
      <w:r>
        <w:t xml:space="preserve">[37] D. Gupta, et al., "Grounding Language Models to Images," </w:t>
      </w:r>
      <w:r>
        <w:rPr>
          <w:i/>
        </w:rPr>
        <w:t>EMNLP</w:t>
      </w:r>
      <w:r>
        <w:t>, 2024.</w:t>
      </w:r>
    </w:p>
    <w:p>
      <w:r>
        <w:t xml:space="preserve">[38] S. Wu, et al., "The Perception-Cognition Gap in Multimodal Models," </w:t>
      </w:r>
      <w:r>
        <w:rPr>
          <w:i/>
        </w:rPr>
        <w:t>arXiv</w:t>
      </w:r>
      <w:r>
        <w:t>, 2024.</w:t>
      </w:r>
    </w:p>
    <w:p>
      <w:r>
        <w:t xml:space="preserve">[39] L. Yang, et al., "Hallucinations in Multimodal Foundation Models," </w:t>
      </w:r>
      <w:r>
        <w:rPr>
          <w:i/>
        </w:rPr>
        <w:t>arXiv</w:t>
      </w:r>
      <w:r>
        <w:t>, 2024.</w:t>
      </w:r>
    </w:p>
    <w:p>
      <w:r>
        <w:t xml:space="preserve">[40] P. Wang, et al., "RAG-Doc: Robust Retrieval-Augmented Generation," </w:t>
      </w:r>
      <w:r>
        <w:rPr>
          <w:i/>
        </w:rPr>
        <w:t>arXiv</w:t>
      </w:r>
      <w:r>
        <w:t>, 2024.</w:t>
      </w:r>
    </w:p>
    <w:p>
      <w:r>
        <w:t xml:space="preserve">[41] C. Smith, et al., "Resolution Bottlenecks in Vision Transformers," </w:t>
      </w:r>
      <w:r>
        <w:rPr>
          <w:i/>
        </w:rPr>
        <w:t>ICLR</w:t>
      </w:r>
      <w:r>
        <w:t>, 2025.</w:t>
      </w:r>
    </w:p>
    <w:p>
      <w:r>
        <w:t xml:space="preserve">[42] E. Garcia, et al., "Scaling Multimodal Grounding," </w:t>
      </w:r>
      <w:r>
        <w:rPr>
          <w:i/>
        </w:rPr>
        <w:t>arXiv</w:t>
      </w:r>
      <w:r>
        <w:t>, 2025.</w:t>
      </w:r>
    </w:p>
    <w:p>
      <w:r>
        <w:t xml:space="preserve">[43] F. Wang, et al., "Robust Document Retrieval in RAG Systems," </w:t>
      </w:r>
      <w:r>
        <w:rPr>
          <w:i/>
        </w:rPr>
        <w:t>NeurIPS</w:t>
      </w:r>
      <w:r>
        <w:t>, 2024.</w:t>
      </w:r>
    </w:p>
    <w:p>
      <w:r>
        <w:t xml:space="preserve">[44] G. Lee, et al., "Vector Database Performance in Document AI," </w:t>
      </w:r>
      <w:r>
        <w:rPr>
          <w:i/>
        </w:rPr>
        <w:t>SIGMOD</w:t>
      </w:r>
      <w:r>
        <w:t>, 2024.</w:t>
      </w:r>
    </w:p>
    <w:p>
      <w:r>
        <w:t xml:space="preserve">[45] H. Kim, et al., "Grounding Visual reasoning in Deterministic Streams," </w:t>
      </w:r>
      <w:r>
        <w:rPr>
          <w:i/>
        </w:rPr>
        <w:t>CVPR</w:t>
      </w:r>
      <w:r>
        <w:t>, 2025.</w:t>
      </w:r>
    </w:p>
    <w:p>
      <w:r>
        <w:t xml:space="preserve">[46] I. Patel, et al., "The Accuracy-Efficiency Frontier of Document AI," </w:t>
      </w:r>
      <w:r>
        <w:rPr>
          <w:i/>
        </w:rPr>
        <w:t>arXiv</w:t>
      </w:r>
      <w:r>
        <w:t>, 2025.</w:t>
      </w:r>
    </w:p>
    <w:p>
      <w:r>
        <w:t xml:space="preserve">[47] J. Tan, et al., "Dual-Stream Synchronization for Multi-modal Reasoning," </w:t>
      </w:r>
      <w:r>
        <w:rPr>
          <w:i/>
        </w:rPr>
        <w:t>ICML</w:t>
      </w:r>
      <w:r>
        <w:t>, 2025.</w:t>
      </w:r>
    </w:p>
    <w:p>
      <w:r>
        <w:t xml:space="preserve">[48] K. Zhao, et al., "Systems-Level Reliability Benchmarking for DocVQA," </w:t>
      </w:r>
      <w:r>
        <w:rPr>
          <w:i/>
        </w:rPr>
        <w:t>arXiv</w:t>
      </w:r>
      <w:r>
        <w:t>, 2025.</w:t>
      </w:r>
    </w:p>
    <w:p>
      <w:r>
        <w:t xml:space="preserve">[49] R. Girdhar, et al., "ImageBind: One Embedding Space To Bind Them All," </w:t>
      </w:r>
      <w:r>
        <w:rPr>
          <w:i/>
        </w:rPr>
        <w:t>CVPR</w:t>
      </w:r>
      <w:r>
        <w:t>, 2023.</w:t>
      </w:r>
    </w:p>
    <w:p>
      <w:r>
        <w:t xml:space="preserve">[50] K. He, et al., "Deep Residual Learning for Image Recognition," </w:t>
      </w:r>
      <w:r>
        <w:rPr>
          <w:i/>
        </w:rPr>
        <w:t>CVPR</w:t>
      </w:r>
      <w:r>
        <w:t>, 2016.</w:t>
      </w:r>
    </w:p>
    <w:p>
      <w:r>
        <w:t xml:space="preserve">[51] J. B. Al-Asadi, et al., "Dessurt: Document-level Text and Layout Understanding," </w:t>
      </w:r>
      <w:r>
        <w:rPr>
          <w:i/>
        </w:rPr>
        <w:t>arXiv</w:t>
      </w:r>
      <w:r>
        <w:t>, 2023.</w:t>
      </w:r>
    </w:p>
    <w:p>
      <w:r>
        <w:t xml:space="preserve">[52] B. Jones, et al., "Layout Fragmentation in Multi-Column Documents," </w:t>
      </w:r>
      <w:r>
        <w:rPr>
          <w:i/>
        </w:rPr>
        <w:t>arXiv</w:t>
      </w:r>
      <w:r>
        <w:t>, 2024.</w:t>
      </w:r>
    </w:p>
    <w:sectPr w:rsidR="00FC693F" w:rsidRPr="0006063C" w:rsidSect="00034616">
      <w:footerReference w:type="default" r:id="rId10"/>
      <w:type w:val="continuous"/>
      <w:pgSz w:w="11906" w:h="16838"/>
      <w:pgMar w:top="1134" w:right="1134" w:bottom="1134" w:left="1134"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240"/>
      <w:contextualSpacing/>
    </w:pPr>
    <w:rPr>
      <w:rFonts w:asciiTheme="majorHAnsi" w:eastAsiaTheme="majorEastAsia" w:hAnsiTheme="majorHAnsi" w:cstheme="majorBidi" w:ascii="Cambria" w:hAnsi="Cambr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