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Large Language Model as a Tool for Automatic Extraction of Information from PDF Documents</w:t>
      </w:r>
    </w:p>
    <w:p>
      <w:r>
        <w:br w:type="page"/>
      </w:r>
    </w:p>
    <w:p>
      <w:pPr>
        <w:jc w:val="center"/>
      </w:pPr>
      <w:r>
        <w:rPr>
          <w:b/>
          <w:sz w:val="28"/>
        </w:rPr>
        <w:t>Abstract</w:t>
      </w:r>
    </w:p>
    <w:p>
      <w:pPr>
        <w:jc w:val="both"/>
      </w:pPr>
      <w:r>
        <w:rPr>
          <w:rFonts w:ascii="Times New Roman" w:hAnsi="Times New Roman"/>
          <w:sz w:val="24"/>
        </w:rPr>
        <w:t xml:space="preserve">The automatic extraction of information from PDF documents requires a seamless integration of visual perception and linguistic reasoning. In this paper, we define information extraction fundamentally as </w:t>
      </w:r>
      <w:r>
        <w:rPr>
          <w:rFonts w:ascii="Times New Roman" w:hAnsi="Times New Roman"/>
          <w:b/>
          <w:sz w:val="24"/>
        </w:rPr>
        <w:t>Document Visual Question Answering (DocVQA)</w:t>
      </w:r>
      <w:r>
        <w:rPr>
          <w:rFonts w:ascii="Times New Roman" w:hAnsi="Times New Roman"/>
          <w:sz w:val="24"/>
        </w:rPr>
        <w:t xml:space="preserve">, where users retrieve targeted data points by asking natural language questions over document contents. We evaluate how </w:t>
      </w:r>
      <w:r>
        <w:rPr>
          <w:rFonts w:ascii="Times New Roman" w:hAnsi="Times New Roman"/>
          <w:b/>
          <w:sz w:val="24"/>
        </w:rPr>
        <w:t>Large Language Models (LLMs)</w:t>
      </w:r>
      <w:r>
        <w:rPr>
          <w:rFonts w:ascii="Times New Roman" w:hAnsi="Times New Roman"/>
          <w:sz w:val="24"/>
        </w:rPr>
        <w:t xml:space="preserve"> function as the cognitive engine within a modular </w:t>
      </w:r>
      <w:r>
        <w:rPr>
          <w:rFonts w:ascii="Times New Roman" w:hAnsi="Times New Roman"/>
          <w:b/>
          <w:sz w:val="24"/>
        </w:rPr>
        <w:t>Retrieval-Augmented Generation (RAG)</w:t>
      </w:r>
      <w:r>
        <w:rPr>
          <w:rFonts w:ascii="Times New Roman" w:hAnsi="Times New Roman"/>
          <w:sz w:val="24"/>
        </w:rPr>
        <w:t xml:space="preserve"> framework, taking responsibility for reasoning and precise answer generation based on retrieved context. We further describe the critical bottleneck of processing complex PDF documents (such as multi-column forms, invoices, and dense tables) by comparing four underlying perception strategies: traditional Tesseract OCR, deep-learning PaddleOCR, a pure Vision-Language Model (VLM), and a novel Hybrid OCR-VLM approach. Our experimental results demonstrate that while VLMs provide significant throughput advantages (4.2s vs. 14.2s latency), synchronizing fine-grained OCR with VLM layout awareness in a Hybrid pipeline—architected as </w:t>
      </w:r>
      <w:r>
        <w:rPr>
          <w:rFonts w:ascii="Times New Roman" w:hAnsi="Times New Roman"/>
          <w:b/>
          <w:sz w:val="24"/>
        </w:rPr>
        <w:t>Late-Fusion Context Grounding</w:t>
      </w:r>
      <w:r>
        <w:rPr>
          <w:rFonts w:ascii="Times New Roman" w:hAnsi="Times New Roman"/>
          <w:sz w:val="24"/>
        </w:rPr>
        <w:t>—enables the LLM to achieve the highest accuracy (</w:t>
      </w:r>
      <w:r>
        <w:rPr>
          <w:rFonts w:ascii="Times New Roman" w:hAnsi="Times New Roman"/>
          <w:b/>
          <w:sz w:val="24"/>
        </w:rPr>
        <w:t>ANLS: 0.24, EM: 0.20, F1: 0.30</w:t>
      </w:r>
      <w:r>
        <w:rPr>
          <w:rFonts w:ascii="Times New Roman" w:hAnsi="Times New Roman"/>
          <w:sz w:val="24"/>
        </w:rPr>
        <w:t>) for extracting critical PDF data.</w:t>
      </w:r>
    </w:p>
    <w:p>
      <w:r>
        <w:br w:type="page"/>
      </w:r>
    </w:p>
    <w:p>
      <w:pPr>
        <w:pStyle w:val="Heading1"/>
      </w:pPr>
      <w:r>
        <w:t>List of Figures</w:t>
      </w:r>
    </w:p>
    <w:p>
      <w:r>
        <w:fldChar w:fldCharType="begin"/>
        <w:instrText xml:space="preserve">TOC \c "Figure" \h \z \u</w:instrText>
        <w:fldChar w:fldCharType="separate"/>
        <w:fldChar w:fldCharType="end"/>
      </w:r>
    </w:p>
    <w:p>
      <w:r>
        <w:br w:type="page"/>
      </w:r>
    </w:p>
    <w:p>
      <w:pPr>
        <w:pStyle w:val="Heading1"/>
      </w:pPr>
      <w:r>
        <w:t>List of Tables</w:t>
      </w:r>
    </w:p>
    <w:p>
      <w:r>
        <w:fldChar w:fldCharType="begin"/>
        <w:instrText xml:space="preserve">TOC \c "Table" \h \z \u</w:instrText>
        <w:fldChar w:fldCharType="separate"/>
        <w:fldChar w:fldCharType="end"/>
      </w:r>
    </w:p>
    <w:p>
      <w:r>
        <w:br w:type="page"/>
      </w:r>
    </w:p>
    <w:p>
      <w:pPr>
        <w:pStyle w:val="Heading1"/>
      </w:pPr>
      <w:r>
        <w:t>Table of Contents</w:t>
      </w:r>
    </w:p>
    <w:p>
      <w:r>
        <w:fldChar w:fldCharType="begin"/>
        <w:instrText xml:space="preserve">TOC \o "1-3" \h \z \u</w:instrText>
        <w:fldChar w:fldCharType="separate"/>
        <w:fldChar w:fldCharType="end"/>
      </w:r>
    </w:p>
    <w:p>
      <w:r>
        <w:br w:type="page"/>
      </w:r>
    </w:p>
    <w:p>
      <w:pPr>
        <w:pStyle w:val="Heading3"/>
      </w:pPr>
      <w:r>
        <w:t>1. Introduction</w:t>
      </w:r>
    </w:p>
    <w:p>
      <w:pPr>
        <w:jc w:val="both"/>
      </w:pPr>
      <w:r>
        <w:rPr>
          <w:rFonts w:ascii="Times New Roman" w:hAnsi="Times New Roman"/>
          <w:sz w:val="24"/>
        </w:rPr>
        <w:t>The automated extraction of information from structured PDF documents—such as financial invoices, medical forms, and insurance claims—is a critical requirement for enterprise AI workflows. In this study, we frame this information extraction challenge as Question Answering over documents (DocVQA). By treating data retrieval as a DocVQA task, the system can dynamically isolate data points (e.g., "What is the total amount due?") without relying on rigid, pre-programmed templates.</w:t>
      </w:r>
    </w:p>
    <w:p>
      <w:pPr>
        <w:jc w:val="both"/>
      </w:pPr>
      <w:r>
        <w:rPr>
          <w:rFonts w:ascii="Times New Roman" w:hAnsi="Times New Roman"/>
          <w:sz w:val="24"/>
        </w:rPr>
        <w:t xml:space="preserve">A Large Language Model (LLM) acts as the central cognitive tool to solve this. Working within a Retrieval-Augmented Generation (RAG) pipeline, the LLM receives the user's question alongside the relevant contextual text segments extracted from the PDF, using its advanced reasoning capabilities to synthesize and output the final, grounded answer. However, because standard LLMs lack the inherent ability to perceive the spatial hierarchy of document images, the underlying PDF must first be processed through a perception layer. This paper addresses the </w:t>
      </w:r>
      <w:r>
        <w:rPr>
          <w:rFonts w:ascii="Times New Roman" w:hAnsi="Times New Roman"/>
          <w:b/>
          <w:sz w:val="24"/>
        </w:rPr>
        <w:t>"Perception Gap"</w:t>
      </w:r>
      <w:r>
        <w:rPr>
          <w:rFonts w:ascii="Times New Roman" w:hAnsi="Times New Roman"/>
          <w:sz w:val="24"/>
        </w:rPr>
        <w:t xml:space="preserve"> by evaluating how complex PDFs are successfully parsed using distinct processing methods: pure OCR, multimodal VLMs, and Hybrid strategies that merge literal sequence detection with spatial layout mapping.</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486400" cy="5486400"/>
                    </a:xfrm>
                    <a:prstGeom prst="rect"/>
                  </pic:spPr>
                </pic:pic>
              </a:graphicData>
            </a:graphic>
          </wp:inline>
        </w:drawing>
      </w:r>
    </w:p>
    <w:p>
      <w:pPr>
        <w:pStyle w:val="Caption"/>
        <w:jc w:val="center"/>
      </w:pPr>
      <w:r>
        <w:rPr>
          <w:rFonts w:ascii="Times New Roman" w:hAnsi="Times New Roman"/>
          <w:b/>
          <w:sz w:val="22"/>
        </w:rPr>
        <w:t xml:space="preserve">Figure </w:t>
      </w:r>
      <w:r>
        <w:fldSimple w:instr=" SEQ Figure \* ARABIC "/>
      </w:r>
      <w:r>
        <w:rPr>
          <w:rFonts w:ascii="Times New Roman" w:hAnsi="Times New Roman"/>
          <w:b/>
          <w:sz w:val="22"/>
        </w:rPr>
        <w:t>. High-level System Architecture depicting the integration of Deterministic and Generative perception streams into the RAG pipeline.</w:t>
      </w:r>
    </w:p>
    <w:p>
      <w:pPr>
        <w:jc w:val="both"/>
      </w:pPr>
      <w:r>
        <w:rPr>
          <w:rFonts w:ascii="Times New Roman" w:hAnsi="Times New Roman"/>
          <w:sz w:val="24"/>
        </w:rPr>
        <w:t>---</w:t>
      </w:r>
    </w:p>
    <w:p>
      <w:pPr>
        <w:pStyle w:val="Heading3"/>
      </w:pPr>
      <w:r>
        <w:t>2. Related Work</w:t>
      </w:r>
    </w:p>
    <w:p>
      <w:pPr>
        <w:jc w:val="both"/>
      </w:pPr>
      <w:r>
        <w:rPr>
          <w:rFonts w:ascii="Times New Roman" w:hAnsi="Times New Roman"/>
          <w:sz w:val="24"/>
        </w:rPr>
        <w:t xml:space="preserve">Traditional setups rely heavily on OCR engines like </w:t>
      </w:r>
      <w:r>
        <w:rPr>
          <w:rFonts w:ascii="Times New Roman" w:hAnsi="Times New Roman"/>
          <w:b/>
          <w:sz w:val="24"/>
        </w:rPr>
        <w:t>Tesseract</w:t>
      </w:r>
      <w:r>
        <w:rPr>
          <w:rFonts w:ascii="Times New Roman" w:hAnsi="Times New Roman"/>
          <w:sz w:val="24"/>
        </w:rPr>
        <w:t xml:space="preserve"> (which uses LSTMs but lacks robust layout detection) or </w:t>
      </w:r>
      <w:r>
        <w:rPr>
          <w:rFonts w:ascii="Times New Roman" w:hAnsi="Times New Roman"/>
          <w:b/>
          <w:sz w:val="24"/>
        </w:rPr>
        <w:t>PaddleOCR</w:t>
      </w:r>
      <w:r>
        <w:rPr>
          <w:rFonts w:ascii="Times New Roman" w:hAnsi="Times New Roman"/>
          <w:sz w:val="24"/>
        </w:rPr>
        <w:t xml:space="preserve">. PaddleOCR utilizes a two-stage deep learning pipeline: </w:t>
      </w:r>
      <w:r>
        <w:rPr>
          <w:rFonts w:ascii="Times New Roman" w:hAnsi="Times New Roman"/>
          <w:b/>
          <w:sz w:val="24"/>
        </w:rPr>
        <w:t>DBNet</w:t>
      </w:r>
      <w:r>
        <w:rPr>
          <w:rFonts w:ascii="Times New Roman" w:hAnsi="Times New Roman"/>
          <w:sz w:val="24"/>
        </w:rPr>
        <w:t xml:space="preserve"> for adaptive text detection and </w:t>
      </w:r>
      <w:r>
        <w:rPr>
          <w:rFonts w:ascii="Times New Roman" w:hAnsi="Times New Roman"/>
          <w:b/>
          <w:sz w:val="24"/>
        </w:rPr>
        <w:t>SVTR</w:t>
      </w:r>
      <w:r>
        <w:rPr>
          <w:rFonts w:ascii="Times New Roman" w:hAnsi="Times New Roman"/>
          <w:sz w:val="24"/>
        </w:rPr>
        <w:t xml:space="preserve"> (Single-line Vision Transformer) for robust recognition.</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paddleocr_academic.png"/>
                    <pic:cNvPicPr/>
                  </pic:nvPicPr>
                  <pic:blipFill>
                    <a:blip r:embed="rId11"/>
                    <a:stretch>
                      <a:fillRect/>
                    </a:stretch>
                  </pic:blipFill>
                  <pic:spPr>
                    <a:xfrm>
                      <a:off x="0" y="0"/>
                      <a:ext cx="5486400" cy="5486400"/>
                    </a:xfrm>
                    <a:prstGeom prst="rect"/>
                  </pic:spPr>
                </pic:pic>
              </a:graphicData>
            </a:graphic>
          </wp:inline>
        </w:drawing>
      </w:r>
    </w:p>
    <w:p>
      <w:pPr>
        <w:pStyle w:val="Caption"/>
        <w:jc w:val="center"/>
      </w:pPr>
      <w:r>
        <w:rPr>
          <w:rFonts w:ascii="Times New Roman" w:hAnsi="Times New Roman"/>
          <w:b/>
          <w:sz w:val="22"/>
        </w:rPr>
        <w:t xml:space="preserve">Figure </w:t>
      </w:r>
      <w:r>
        <w:fldSimple w:instr=" SEQ Figure \* ARABIC "/>
      </w:r>
      <w:r>
        <w:rPr>
          <w:rFonts w:ascii="Times New Roman" w:hAnsi="Times New Roman"/>
          <w:b/>
          <w:sz w:val="22"/>
        </w:rPr>
        <w:t>. The Two-Stage Topology of the PaddleOCR Pipeline (DBNet + SVTR).</w:t>
      </w:r>
    </w:p>
    <w:p>
      <w:pPr>
        <w:jc w:val="both"/>
      </w:pPr>
      <w:r>
        <w:rPr>
          <w:rFonts w:ascii="Times New Roman" w:hAnsi="Times New Roman"/>
          <w:sz w:val="24"/>
        </w:rPr>
        <w:t xml:space="preserve">These engines are subsequently connected to LLMs via RAG using vector databases like </w:t>
      </w:r>
      <w:r>
        <w:rPr>
          <w:rFonts w:ascii="Times New Roman" w:hAnsi="Times New Roman"/>
          <w:b/>
          <w:sz w:val="24"/>
        </w:rPr>
        <w:t>FAISS</w:t>
      </w:r>
      <w:r>
        <w:rPr>
          <w:rFonts w:ascii="Times New Roman" w:hAnsi="Times New Roman"/>
          <w:sz w:val="24"/>
        </w:rPr>
        <w:t xml:space="preserve"> for semantic retrieval. The RAG workflow ensures that the LLM is grounded in factual document content, eliminating the resolution-based hallucinations common in standalone multimodal models.</w:t>
      </w:r>
    </w:p>
    <w:p>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rag_workflow_academic.png"/>
                    <pic:cNvPicPr/>
                  </pic:nvPicPr>
                  <pic:blipFill>
                    <a:blip r:embed="rId12"/>
                    <a:stretch>
                      <a:fillRect/>
                    </a:stretch>
                  </pic:blipFill>
                  <pic:spPr>
                    <a:xfrm>
                      <a:off x="0" y="0"/>
                      <a:ext cx="5486400" cy="5486400"/>
                    </a:xfrm>
                    <a:prstGeom prst="rect"/>
                  </pic:spPr>
                </pic:pic>
              </a:graphicData>
            </a:graphic>
          </wp:inline>
        </w:drawing>
      </w:r>
    </w:p>
    <w:p>
      <w:pPr>
        <w:pStyle w:val="Caption"/>
        <w:jc w:val="center"/>
      </w:pPr>
      <w:r>
        <w:rPr>
          <w:rFonts w:ascii="Times New Roman" w:hAnsi="Times New Roman"/>
          <w:b/>
          <w:sz w:val="22"/>
        </w:rPr>
        <w:t xml:space="preserve">Figure </w:t>
      </w:r>
      <w:r>
        <w:fldSimple w:instr=" SEQ Figure \* ARABIC "/>
      </w:r>
      <w:r>
        <w:rPr>
          <w:rFonts w:ascii="Times New Roman" w:hAnsi="Times New Roman"/>
          <w:b/>
          <w:sz w:val="22"/>
        </w:rPr>
        <w:t>. Academic Workflow for Retrieval-Augmented Generation (RAG).</w:t>
      </w:r>
    </w:p>
    <w:p>
      <w:pPr>
        <w:jc w:val="both"/>
      </w:pPr>
      <w:r>
        <w:rPr>
          <w:rFonts w:ascii="Times New Roman" w:hAnsi="Times New Roman"/>
          <w:sz w:val="24"/>
        </w:rPr>
        <w:t xml:space="preserve">Alternatively, end-to-end </w:t>
      </w:r>
      <w:r>
        <w:rPr>
          <w:rFonts w:ascii="Times New Roman" w:hAnsi="Times New Roman"/>
          <w:b/>
          <w:sz w:val="24"/>
        </w:rPr>
        <w:t>Vision-Language Models (VLMs)</w:t>
      </w:r>
      <w:r>
        <w:rPr>
          <w:rFonts w:ascii="Times New Roman" w:hAnsi="Times New Roman"/>
          <w:sz w:val="24"/>
        </w:rPr>
        <w:t xml:space="preserve"> attempt to process the image directly. However, forced resolution downscaling frequently causes severe "hallucinations" on dense texts.</w:t>
      </w:r>
    </w:p>
    <w:p>
      <w:pPr>
        <w:jc w:val="both"/>
      </w:pPr>
      <w:r>
        <w:rPr>
          <w:rFonts w:ascii="Times New Roman" w:hAnsi="Times New Roman"/>
          <w:sz w:val="24"/>
        </w:rPr>
        <w:t>---</w:t>
      </w:r>
    </w:p>
    <w:p>
      <w:pPr>
        <w:pStyle w:val="Heading3"/>
      </w:pPr>
      <w:r>
        <w:t>3. Methodology</w:t>
      </w:r>
    </w:p>
    <w:p>
      <w:pPr>
        <w:jc w:val="both"/>
      </w:pPr>
      <w:r>
        <w:rPr>
          <w:rFonts w:ascii="Times New Roman" w:hAnsi="Times New Roman"/>
          <w:sz w:val="24"/>
        </w:rPr>
        <w:t xml:space="preserve">We propose a </w:t>
      </w:r>
      <w:r>
        <w:rPr>
          <w:rFonts w:ascii="Times New Roman" w:hAnsi="Times New Roman"/>
          <w:b/>
          <w:sz w:val="24"/>
        </w:rPr>
        <w:t>Hybrid Perception layer</w:t>
      </w:r>
      <w:r>
        <w:rPr>
          <w:rFonts w:ascii="Times New Roman" w:hAnsi="Times New Roman"/>
          <w:sz w:val="24"/>
        </w:rPr>
        <w:t xml:space="preserve"> utilizing a </w:t>
      </w:r>
      <w:r>
        <w:rPr>
          <w:rFonts w:ascii="Times New Roman" w:hAnsi="Times New Roman"/>
          <w:b/>
          <w:sz w:val="24"/>
        </w:rPr>
        <w:t>Late-Fusion Context Grounding</w:t>
      </w:r>
      <w:r>
        <w:rPr>
          <w:rFonts w:ascii="Times New Roman" w:hAnsi="Times New Roman"/>
          <w:sz w:val="24"/>
        </w:rPr>
        <w:t xml:space="preserve"> strategy to overcome the limitations of both pure-OCR and pure-VLM approaches.</w:t>
      </w:r>
    </w:p>
    <w:p>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hybrid_workflow.png"/>
                    <pic:cNvPicPr/>
                  </pic:nvPicPr>
                  <pic:blipFill>
                    <a:blip r:embed="rId13"/>
                    <a:stretch>
                      <a:fillRect/>
                    </a:stretch>
                  </pic:blipFill>
                  <pic:spPr>
                    <a:xfrm>
                      <a:off x="0" y="0"/>
                      <a:ext cx="5486400" cy="5486400"/>
                    </a:xfrm>
                    <a:prstGeom prst="rect"/>
                  </pic:spPr>
                </pic:pic>
              </a:graphicData>
            </a:graphic>
          </wp:inline>
        </w:drawing>
      </w:r>
    </w:p>
    <w:p>
      <w:pPr>
        <w:pStyle w:val="Caption"/>
        <w:jc w:val="center"/>
      </w:pPr>
      <w:r>
        <w:rPr>
          <w:rFonts w:ascii="Times New Roman" w:hAnsi="Times New Roman"/>
          <w:b/>
          <w:sz w:val="22"/>
        </w:rPr>
        <w:t xml:space="preserve">Figure </w:t>
      </w:r>
      <w:r>
        <w:fldSimple w:instr=" SEQ Figure \* ARABIC "/>
      </w:r>
      <w:r>
        <w:rPr>
          <w:rFonts w:ascii="Times New Roman" w:hAnsi="Times New Roman"/>
          <w:b/>
          <w:sz w:val="22"/>
        </w:rPr>
        <w:t>. The Dual-Stream Hybrid Perception Pipeline utilizing Late-Fusion Context Grounding.</w:t>
      </w:r>
    </w:p>
    <w:p>
      <w:pPr>
        <w:jc w:val="both"/>
      </w:pPr>
      <w:r>
        <w:rPr>
          <w:rFonts w:ascii="Times New Roman" w:hAnsi="Times New Roman"/>
          <w:sz w:val="24"/>
        </w:rPr>
        <w:t xml:space="preserve">The system processes the document image through two parallel tracks, architected as a </w:t>
      </w:r>
      <w:r>
        <w:rPr>
          <w:rFonts w:ascii="Times New Roman" w:hAnsi="Times New Roman"/>
          <w:b/>
          <w:sz w:val="24"/>
        </w:rPr>
        <w:t>Dual-Perspective Prompting</w:t>
      </w:r>
      <w:r>
        <w:rPr>
          <w:rFonts w:ascii="Times New Roman" w:hAnsi="Times New Roman"/>
          <w:sz w:val="24"/>
        </w:rPr>
        <w:t xml:space="preserve"> mechanism:</w:t>
      </w:r>
    </w:p>
    <w:p>
      <w:pPr>
        <w:jc w:val="both"/>
      </w:pPr>
      <w:r>
        <w:rPr>
          <w:rFonts w:ascii="Times New Roman" w:hAnsi="Times New Roman"/>
          <w:sz w:val="24"/>
        </w:rPr>
        <w:t xml:space="preserve">1.  </w:t>
      </w:r>
      <w:r>
        <w:rPr>
          <w:rFonts w:ascii="Times New Roman" w:hAnsi="Times New Roman"/>
          <w:b/>
          <w:sz w:val="24"/>
        </w:rPr>
        <w:t>Deterministic Track (OCR):</w:t>
      </w:r>
      <w:r>
        <w:rPr>
          <w:rFonts w:ascii="Times New Roman" w:hAnsi="Times New Roman"/>
          <w:sz w:val="24"/>
        </w:rPr>
        <w:t xml:space="preserve"> Utilizes PaddleOCR to extract bit-perfect literal alphanumeric sequences.</w:t>
      </w:r>
    </w:p>
    <w:p>
      <w:pPr>
        <w:jc w:val="both"/>
      </w:pPr>
      <w:r>
        <w:rPr>
          <w:rFonts w:ascii="Times New Roman" w:hAnsi="Times New Roman"/>
          <w:sz w:val="24"/>
        </w:rPr>
        <w:t xml:space="preserve">2.  </w:t>
      </w:r>
      <w:r>
        <w:rPr>
          <w:rFonts w:ascii="Times New Roman" w:hAnsi="Times New Roman"/>
          <w:b/>
          <w:sz w:val="24"/>
        </w:rPr>
        <w:t>Generative Track (VLM):</w:t>
      </w:r>
      <w:r>
        <w:rPr>
          <w:rFonts w:ascii="Times New Roman" w:hAnsi="Times New Roman"/>
          <w:sz w:val="24"/>
        </w:rPr>
        <w:t xml:space="preserve"> Utilizes a Vision-Language Model to generate a semantic summary (spatial roadmap) of the visual layout.</w:t>
      </w:r>
    </w:p>
    <w:p>
      <w:pPr>
        <w:jc w:val="both"/>
      </w:pPr>
      <w:r>
        <w:rPr>
          <w:rFonts w:ascii="Times New Roman" w:hAnsi="Times New Roman"/>
          <w:sz w:val="24"/>
        </w:rPr>
        <w:t xml:space="preserve">These data streams are merged into a synchronized context buffer, ensuring that the retrieval engine can access both fine-grained textual tokens and high-level structural attributes. We evaluate these models under a </w:t>
      </w:r>
      <w:r>
        <w:rPr>
          <w:rFonts w:ascii="Times New Roman" w:hAnsi="Times New Roman"/>
          <w:b/>
          <w:sz w:val="24"/>
        </w:rPr>
        <w:t>Zero-Shot Evaluation</w:t>
      </w:r>
      <w:r>
        <w:rPr>
          <w:rFonts w:ascii="Times New Roman" w:hAnsi="Times New Roman"/>
          <w:sz w:val="24"/>
        </w:rPr>
        <w:t xml:space="preserve"> paradigm, testing their ability to generalize to novel document layouts without layout-specific fine-tuning or templates.</w:t>
      </w:r>
    </w:p>
    <w:p>
      <w:pPr>
        <w:pStyle w:val="Heading3"/>
      </w:pPr>
      <w:r>
        <w:t>3.1 Mathematical Framework</w:t>
      </w:r>
    </w:p>
    <w:p>
      <w:pPr>
        <w:jc w:val="both"/>
      </w:pPr>
      <w:r>
        <w:rPr>
          <w:rFonts w:ascii="Times New Roman" w:hAnsi="Times New Roman"/>
          <w:sz w:val="24"/>
        </w:rPr>
        <w:t>We formalize the evaluation of perception fidelity using a dual-layer approach.</w:t>
      </w:r>
    </w:p>
    <w:p>
      <w:pPr>
        <w:jc w:val="both"/>
      </w:pPr>
      <w:r>
        <w:rPr>
          <w:rFonts w:ascii="Times New Roman" w:hAnsi="Times New Roman"/>
          <w:b/>
          <w:sz w:val="24"/>
        </w:rPr>
        <w:t>1. Average Normalized Levenshtein Similarity (ANLS)</w:t>
      </w:r>
    </w:p>
    <w:p>
      <w:pPr>
        <w:jc w:val="both"/>
      </w:pPr>
      <w:r>
        <w:rPr>
          <w:rFonts w:ascii="Times New Roman" w:hAnsi="Times New Roman"/>
          <w:sz w:val="24"/>
        </w:rPr>
        <w:t>The primary metric scoring character-level edit distance (NL), evaluated with a threshold of 0.5.</w:t>
      </w:r>
    </w:p>
    <w:p>
      <w:pPr>
        <w:jc w:val="center"/>
      </w:pPr>
      <m:oMath>
        <m:r>
          <m:t>ANLS = </m:t>
        </m:r>
        <m:f>
          <m:num>
            <m:r>
              <m:t>1</m:t>
            </m:r>
          </m:num>
          <m:den>
            <m:r>
              <m:t>N</m:t>
            </m:r>
          </m:den>
        </m:f>
        <m:nary>
          <m:naryPr>
            <m:chr m:val="∑"/>
            <m:limLoc m:val="undOvr"/>
          </m:naryPr>
          <m:sub>
            <m:r>
              <m:t>i=1</m:t>
            </m:r>
          </m:sub>
          <m:sup>
            <m:r>
              <m:t>N</m:t>
            </m:r>
          </m:sup>
          <m:e>
            <m:r>
              <m:t> max </m:t>
            </m:r>
            <m:sSub>
              <m:e>
                <m:r>
                  <m:t>g ∈ G</m:t>
                </m:r>
              </m:e>
              <m:sub>
                <m:r>
                  <m:t>i</m:t>
                </m:r>
              </m:sub>
            </m:sSub>
            <m:r>
              <m:t> SC(g, P</m:t>
            </m:r>
            <m:sSub>
              <m:e>
                <m:r>
                  <m:t>i</m:t>
                </m:r>
              </m:e>
              <m:sub>
                <m:r>
                  <m:t>i</m:t>
                </m:r>
              </m:sub>
            </m:sSub>
            <m:r>
              <m:t>)</m:t>
            </m:r>
          </m:e>
        </m:nary>
      </m:oMath>
    </w:p>
    <w:p>
      <w:pPr>
        <w:jc w:val="both"/>
      </w:pPr>
      <w:r>
        <w:rPr>
          <w:rFonts w:ascii="Times New Roman" w:hAnsi="Times New Roman"/>
          <w:sz w:val="24"/>
        </w:rPr>
        <w:t>Where:</w:t>
      </w:r>
    </w:p>
    <w:p>
      <w:pPr>
        <w:pStyle w:val="ListBullet"/>
      </w:pPr>
      <w:r>
        <w:rPr>
          <w:rFonts w:ascii="Times New Roman" w:hAnsi="Times New Roman"/>
          <w:sz w:val="24"/>
        </w:rPr>
        <w:t>NL(g, P_i): Levenshtein edit distance between ground truth g and prediction P_i.</w:t>
      </w:r>
    </w:p>
    <w:p>
      <w:pPr>
        <w:pStyle w:val="ListBullet"/>
      </w:pPr>
      <w:r>
        <w:rPr>
          <w:rFonts w:ascii="Times New Roman" w:hAnsi="Times New Roman"/>
          <w:sz w:val="24"/>
        </w:rPr>
        <w:t>G_i: Set of ground-truth answer variants for sample i.</w:t>
      </w:r>
    </w:p>
    <w:p>
      <w:pPr>
        <w:pStyle w:val="ListBullet"/>
      </w:pPr>
      <w:r>
        <w:rPr>
          <w:rFonts w:ascii="Times New Roman" w:hAnsi="Times New Roman"/>
          <w:sz w:val="24"/>
        </w:rPr>
        <w:t>N: Total number of samples in the DocVQA evaluation set.</w:t>
      </w:r>
    </w:p>
    <w:p>
      <w:pPr>
        <w:jc w:val="both"/>
      </w:pPr>
      <w:r>
        <w:rPr>
          <w:rFonts w:ascii="Times New Roman" w:hAnsi="Times New Roman"/>
          <w:b/>
          <w:sz w:val="24"/>
        </w:rPr>
        <w:t>2. Exact Match (EM)</w:t>
      </w:r>
    </w:p>
    <w:p>
      <w:pPr>
        <w:jc w:val="both"/>
      </w:pPr>
      <w:r>
        <w:rPr>
          <w:rFonts w:ascii="Times New Roman" w:hAnsi="Times New Roman"/>
          <w:sz w:val="24"/>
        </w:rPr>
        <w:t>A binary indicator defining absolute precision.</w:t>
      </w:r>
    </w:p>
    <w:p>
      <w:pPr>
        <w:jc w:val="center"/>
      </w:pPr>
      <m:oMath>
        <m:r>
          <m:t>EM = </m:t>
        </m:r>
        <m:f>
          <m:num>
            <m:r>
              <m:t>1</m:t>
            </m:r>
          </m:num>
          <m:den>
            <m:r>
              <m:t>N</m:t>
            </m:r>
          </m:den>
        </m:f>
        <m:nary>
          <m:naryPr>
            <m:chr m:val="∑"/>
            <m:limLoc m:val="undOvr"/>
          </m:naryPr>
          <m:sub>
            <m:r>
              <m:t>i=1</m:t>
            </m:r>
          </m:sub>
          <m:sup>
            <m:r>
              <m:t>N</m:t>
            </m:r>
          </m:sup>
          <m:e>
            <m:r>
              <m:t> \mathbb{I}(P</m:t>
            </m:r>
            <m:sSub>
              <m:e>
                <m:r>
                  <m:t>i</m:t>
                </m:r>
              </m:e>
              <m:sub>
                <m:r>
                  <m:t>i</m:t>
                </m:r>
              </m:sub>
            </m:sSub>
            <m:r>
              <m:t> ∈ G</m:t>
            </m:r>
            <m:sSub>
              <m:e>
                <m:r>
                  <m:t>i</m:t>
                </m:r>
              </m:e>
              <m:sub>
                <m:r>
                  <m:t>i</m:t>
                </m:r>
              </m:sub>
            </m:sSub>
            <m:r>
              <m:t>)</m:t>
            </m:r>
          </m:e>
        </m:nary>
      </m:oMath>
    </w:p>
    <w:p>
      <w:pPr>
        <w:jc w:val="both"/>
      </w:pPr>
      <w:r>
        <w:rPr>
          <w:rFonts w:ascii="Times New Roman" w:hAnsi="Times New Roman"/>
          <w:sz w:val="24"/>
        </w:rPr>
        <w:t>Where:</w:t>
      </w:r>
    </w:p>
    <w:p>
      <w:pPr>
        <w:pStyle w:val="ListBullet"/>
      </w:pPr>
      <w:r>
        <w:rPr>
          <w:rFonts w:ascii="Times New Roman" w:hAnsi="Times New Roman"/>
          <w:sz w:val="24"/>
        </w:rPr>
        <w:t>\mathbb{I}: Indicator function returning 1.0 if P_i perfectly matches any variant in G_i.</w:t>
      </w:r>
    </w:p>
    <w:p>
      <w:pPr>
        <w:pStyle w:val="ListBullet"/>
      </w:pPr>
      <w:r>
        <w:rPr>
          <w:rFonts w:ascii="Times New Roman" w:hAnsi="Times New Roman"/>
          <w:sz w:val="24"/>
        </w:rPr>
        <w:t>P_i, G_i: Predicted answer and ground-truth set for sample i.</w:t>
      </w:r>
    </w:p>
    <w:p>
      <w:pPr>
        <w:jc w:val="both"/>
      </w:pPr>
      <w:r>
        <w:rPr>
          <w:rFonts w:ascii="Times New Roman" w:hAnsi="Times New Roman"/>
          <w:b/>
          <w:sz w:val="24"/>
        </w:rPr>
        <w:t>3. F1-Score</w:t>
      </w:r>
    </w:p>
    <w:p>
      <w:pPr>
        <w:jc w:val="both"/>
      </w:pPr>
      <w:r>
        <w:rPr>
          <w:rFonts w:ascii="Times New Roman" w:hAnsi="Times New Roman"/>
          <w:sz w:val="24"/>
        </w:rPr>
        <w:t>Evaluates average token overlap considering precision (Pr) and recall (Re).</w:t>
      </w:r>
    </w:p>
    <w:p>
      <w:pPr>
        <w:jc w:val="center"/>
      </w:pPr>
      <m:oMath>
        <m:sSub>
          <m:e>
            <m:r>
              <m:t>F</m:t>
            </m:r>
          </m:e>
          <m:sub>
            <m:r>
              <m:t>1</m:t>
            </m:r>
          </m:sub>
        </m:sSub>
        <m:r>
          <m:t> = 2 ⋅ </m:t>
        </m:r>
        <m:f>
          <m:num>
            <m:r>
              <m:t>Precision ⋅ Recall</m:t>
            </m:r>
          </m:num>
          <m:den>
            <m:r>
              <m:t>Precision + Recall</m:t>
            </m:r>
          </m:den>
        </m:f>
      </m:oMath>
    </w:p>
    <w:p>
      <w:pPr>
        <w:jc w:val="both"/>
      </w:pPr>
      <w:r>
        <w:rPr>
          <w:rFonts w:ascii="Times New Roman" w:hAnsi="Times New Roman"/>
          <w:sz w:val="24"/>
        </w:rPr>
        <w:t>Where:</w:t>
      </w:r>
    </w:p>
    <w:p>
      <w:pPr>
        <w:pStyle w:val="ListBullet"/>
      </w:pPr>
      <w:r>
        <w:rPr>
          <w:rFonts w:ascii="Times New Roman" w:hAnsi="Times New Roman"/>
          <w:sz w:val="24"/>
        </w:rPr>
        <w:t>\text{Precision}: Fraction of predicted tokens that are present in the ground truth.</w:t>
      </w:r>
    </w:p>
    <w:p>
      <w:pPr>
        <w:pStyle w:val="ListBullet"/>
      </w:pPr>
      <w:r>
        <w:rPr>
          <w:rFonts w:ascii="Times New Roman" w:hAnsi="Times New Roman"/>
          <w:sz w:val="24"/>
        </w:rPr>
        <w:t>\text{Recall}: Fraction of ground truth tokens that are successfully predicted.</w:t>
      </w:r>
    </w:p>
    <w:p>
      <w:pPr>
        <w:jc w:val="both"/>
      </w:pPr>
      <w:r>
        <w:rPr>
          <w:rFonts w:ascii="Times New Roman" w:hAnsi="Times New Roman"/>
          <w:b/>
          <w:sz w:val="24"/>
        </w:rPr>
        <w:t>4. Cosine Similarity (Retrieval)</w:t>
      </w:r>
    </w:p>
    <w:p>
      <w:pPr>
        <w:jc w:val="both"/>
      </w:pPr>
      <w:r>
        <w:rPr>
          <w:rFonts w:ascii="Times New Roman" w:hAnsi="Times New Roman"/>
          <w:sz w:val="24"/>
        </w:rPr>
        <w:t>The semantic alignment between the query vector A and context vector B.</w:t>
      </w:r>
    </w:p>
    <w:p>
      <w:pPr>
        <w:jc w:val="both"/>
      </w:pPr>
      <w:r>
        <w:rPr>
          <w:rFonts w:ascii="Times New Roman" w:hAnsi="Times New Roman"/>
          <w:sz w:val="24"/>
        </w:rPr>
        <w:t>\text{sim}(A, B) = \frac{\sum_{i=1}^{n} A_i B_i}{\sqrt{\sum_{i=1}^{n} A_i^2} \sqrt{\sum_{i=1}^{n} B_i^2}}</w:t>
      </w:r>
    </w:p>
    <w:p>
      <w:pPr>
        <w:jc w:val="both"/>
      </w:pPr>
      <w:r>
        <w:rPr>
          <w:rFonts w:ascii="Times New Roman" w:hAnsi="Times New Roman"/>
          <w:sz w:val="24"/>
        </w:rPr>
        <w:t>Where:</w:t>
      </w:r>
    </w:p>
    <w:p>
      <w:pPr>
        <w:pStyle w:val="ListBullet"/>
      </w:pPr>
      <w:r>
        <w:rPr>
          <w:rFonts w:ascii="Times New Roman" w:hAnsi="Times New Roman"/>
          <w:sz w:val="24"/>
        </w:rPr>
        <w:t>A, B: Vector representations of the user query and document chunk.</w:t>
      </w:r>
    </w:p>
    <w:p>
      <w:pPr>
        <w:pStyle w:val="ListBullet"/>
      </w:pPr>
      <w:r>
        <w:rPr>
          <w:rFonts w:ascii="Times New Roman" w:hAnsi="Times New Roman"/>
          <w:sz w:val="24"/>
        </w:rPr>
        <w:t>\theta: Mathematical angle between vectors (similarity increases as \theta \to 0).</w:t>
      </w:r>
    </w:p>
    <w:p>
      <w:pPr>
        <w:jc w:val="both"/>
      </w:pPr>
      <w:r>
        <w:rPr>
          <w:rFonts w:ascii="Times New Roman" w:hAnsi="Times New Roman"/>
          <w:sz w:val="24"/>
        </w:rPr>
        <w:t>---</w:t>
      </w:r>
    </w:p>
    <w:p>
      <w:pPr>
        <w:pStyle w:val="Heading3"/>
      </w:pPr>
      <w:r>
        <w:t>4. Experiments</w:t>
      </w:r>
    </w:p>
    <w:p>
      <w:pPr>
        <w:jc w:val="both"/>
      </w:pPr>
      <w:r>
        <w:rPr>
          <w:rFonts w:ascii="Times New Roman" w:hAnsi="Times New Roman"/>
          <w:sz w:val="24"/>
        </w:rPr>
        <w:t>We benchmarked the four strategies using a standardized setup from the complex DocVQA benchmark. We utilized a curated subset containing multi-column papers and dense tables to represent significant challenges like layout complexity and scanning artifacts. To isolate the perception performance, all downstream RAG parameters (k=2 retrieval, `all-MiniLM-L6-v2` embeddings, FAISS indexing, OpenRouter LLM) were strictly held constant.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sz w:val="24"/>
              </w:rPr>
              <w:t>Sample</w:t>
            </w:r>
          </w:p>
        </w:tc>
        <w:tc>
          <w:tcPr>
            <w:tcW w:type="dxa" w:w="2160"/>
          </w:tcPr>
          <w:p>
            <w:r>
              <w:rPr>
                <w:rFonts w:ascii="Times New Roman" w:hAnsi="Times New Roman"/>
                <w:sz w:val="24"/>
              </w:rPr>
              <w:t>Document Type</w:t>
            </w:r>
          </w:p>
        </w:tc>
        <w:tc>
          <w:tcPr>
            <w:tcW w:type="dxa" w:w="2160"/>
          </w:tcPr>
          <w:p>
            <w:r>
              <w:rPr>
                <w:rFonts w:ascii="Times New Roman" w:hAnsi="Times New Roman"/>
                <w:sz w:val="24"/>
              </w:rPr>
              <w:t>Question</w:t>
            </w:r>
          </w:p>
        </w:tc>
        <w:tc>
          <w:tcPr>
            <w:tcW w:type="dxa" w:w="2160"/>
          </w:tcPr>
          <w:p>
            <w:r>
              <w:rPr>
                <w:rFonts w:ascii="Times New Roman" w:hAnsi="Times New Roman"/>
                <w:sz w:val="24"/>
              </w:rPr>
              <w:t>Ground Truth</w:t>
            </w:r>
          </w:p>
        </w:tc>
      </w:tr>
      <w:tr>
        <w:tc>
          <w:tcPr>
            <w:tcW w:type="dxa" w:w="2160"/>
          </w:tcPr>
          <w:p>
            <w:r>
              <w:rPr>
                <w:rFonts w:ascii="Times New Roman" w:hAnsi="Times New Roman"/>
                <w:sz w:val="24"/>
              </w:rPr>
              <w:t>1</w:t>
            </w:r>
          </w:p>
        </w:tc>
        <w:tc>
          <w:tcPr>
            <w:tcW w:type="dxa" w:w="2160"/>
          </w:tcPr>
          <w:p>
            <w:r>
              <w:rPr>
                <w:rFonts w:ascii="Times New Roman" w:hAnsi="Times New Roman"/>
                <w:sz w:val="24"/>
              </w:rPr>
              <w:t>Statistical table</w:t>
            </w:r>
          </w:p>
        </w:tc>
        <w:tc>
          <w:tcPr>
            <w:tcW w:type="dxa" w:w="2160"/>
          </w:tcPr>
          <w:p>
            <w:r>
              <w:rPr>
                <w:rFonts w:ascii="Times New Roman" w:hAnsi="Times New Roman"/>
                <w:sz w:val="24"/>
              </w:rPr>
              <w:t>"What is the 'actual' value per 1000, during the year 1975?"</w:t>
            </w:r>
          </w:p>
        </w:tc>
        <w:tc>
          <w:tcPr>
            <w:tcW w:type="dxa" w:w="2160"/>
          </w:tcPr>
          <w:p>
            <w:r>
              <w:rPr>
                <w:rFonts w:ascii="Times New Roman" w:hAnsi="Times New Roman"/>
                <w:sz w:val="24"/>
              </w:rPr>
              <w:t>`0.28`</w:t>
            </w:r>
          </w:p>
        </w:tc>
      </w:tr>
      <w:tr>
        <w:tc>
          <w:tcPr>
            <w:tcW w:type="dxa" w:w="2160"/>
          </w:tcPr>
          <w:p>
            <w:r>
              <w:rPr>
                <w:rFonts w:ascii="Times New Roman" w:hAnsi="Times New Roman"/>
                <w:sz w:val="24"/>
              </w:rPr>
              <w:t>2</w:t>
            </w:r>
          </w:p>
        </w:tc>
        <w:tc>
          <w:tcPr>
            <w:tcW w:type="dxa" w:w="2160"/>
          </w:tcPr>
          <w:p>
            <w:r>
              <w:rPr>
                <w:rFonts w:ascii="Times New Roman" w:hAnsi="Times New Roman"/>
                <w:sz w:val="24"/>
              </w:rPr>
              <w:t>University form</w:t>
            </w:r>
          </w:p>
        </w:tc>
        <w:tc>
          <w:tcPr>
            <w:tcW w:type="dxa" w:w="2160"/>
          </w:tcPr>
          <w:p>
            <w:r>
              <w:rPr>
                <w:rFonts w:ascii="Times New Roman" w:hAnsi="Times New Roman"/>
                <w:sz w:val="24"/>
              </w:rPr>
              <w:t>"What is name of university?"</w:t>
            </w:r>
          </w:p>
        </w:tc>
        <w:tc>
          <w:tcPr>
            <w:tcW w:type="dxa" w:w="2160"/>
          </w:tcPr>
          <w:p>
            <w:r>
              <w:rPr>
                <w:rFonts w:ascii="Times New Roman" w:hAnsi="Times New Roman"/>
                <w:sz w:val="24"/>
              </w:rPr>
              <w:t>`University of California`</w:t>
            </w:r>
          </w:p>
        </w:tc>
      </w:tr>
      <w:tr>
        <w:tc>
          <w:tcPr>
            <w:tcW w:type="dxa" w:w="2160"/>
          </w:tcPr>
          <w:p>
            <w:r>
              <w:rPr>
                <w:rFonts w:ascii="Times New Roman" w:hAnsi="Times New Roman"/>
                <w:sz w:val="24"/>
              </w:rPr>
              <w:t>3</w:t>
            </w:r>
          </w:p>
        </w:tc>
        <w:tc>
          <w:tcPr>
            <w:tcW w:type="dxa" w:w="2160"/>
          </w:tcPr>
          <w:p>
            <w:r>
              <w:rPr>
                <w:rFonts w:ascii="Times New Roman" w:hAnsi="Times New Roman"/>
                <w:sz w:val="24"/>
              </w:rPr>
              <w:t>Corporate document</w:t>
            </w:r>
          </w:p>
        </w:tc>
        <w:tc>
          <w:tcPr>
            <w:tcW w:type="dxa" w:w="2160"/>
          </w:tcPr>
          <w:p>
            <w:r>
              <w:rPr>
                <w:rFonts w:ascii="Times New Roman" w:hAnsi="Times New Roman"/>
                <w:sz w:val="24"/>
              </w:rPr>
              <w:t>"What is the name of the company?"</w:t>
            </w:r>
          </w:p>
        </w:tc>
        <w:tc>
          <w:tcPr>
            <w:tcW w:type="dxa" w:w="2160"/>
          </w:tcPr>
          <w:p>
            <w:r>
              <w:rPr>
                <w:rFonts w:ascii="Times New Roman" w:hAnsi="Times New Roman"/>
                <w:sz w:val="24"/>
              </w:rPr>
              <w:t>`ITC Limited`</w:t>
            </w:r>
          </w:p>
        </w:tc>
      </w:tr>
    </w:tbl>
    <w:p>
      <w:pPr>
        <w:jc w:val="both"/>
      </w:pPr>
      <w:r>
        <w:rPr>
          <w:rFonts w:ascii="Times New Roman" w:hAnsi="Times New Roman"/>
          <w:sz w:val="24"/>
        </w:rPr>
        <w:t>---</w:t>
      </w:r>
    </w:p>
    <w:p>
      <w:pPr>
        <w:pStyle w:val="Heading3"/>
      </w:pPr>
      <w:r>
        <w:t>5. Results</w:t>
      </w:r>
    </w:p>
    <w:p>
      <w:pPr>
        <w:jc w:val="both"/>
      </w:pPr>
      <w:r>
        <w:rPr>
          <w:rFonts w:ascii="Times New Roman" w:hAnsi="Times New Roman"/>
          <w:sz w:val="24"/>
        </w:rPr>
        <w:t>The Hybrid model leads all three accuracy metrics (</w:t>
      </w:r>
      <w:r>
        <w:rPr>
          <w:rFonts w:ascii="Times New Roman" w:hAnsi="Times New Roman"/>
          <w:b/>
          <w:sz w:val="24"/>
        </w:rPr>
        <w:t>ANLS: 0.24, EM: 0.20, F1: 0.30</w:t>
      </w:r>
      <w:r>
        <w:rPr>
          <w:rFonts w:ascii="Times New Roman" w:hAnsi="Times New Roman"/>
          <w:sz w:val="24"/>
        </w:rPr>
        <w:t>), confirming that Late-Fusion synchronization is the most robust strategy for RAG. VLM offers 3.4× more throughput than Hybrid, but at significantly reduced accuracy.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sz w:val="24"/>
              </w:rPr>
              <w:t>Model</w:t>
            </w:r>
          </w:p>
        </w:tc>
        <w:tc>
          <w:tcPr>
            <w:tcW w:type="dxa" w:w="1234"/>
          </w:tcPr>
          <w:p>
            <w:r>
              <w:rPr>
                <w:rFonts w:ascii="Times New Roman" w:hAnsi="Times New Roman"/>
                <w:sz w:val="24"/>
              </w:rPr>
              <w:t>ANLS</w:t>
            </w:r>
          </w:p>
        </w:tc>
        <w:tc>
          <w:tcPr>
            <w:tcW w:type="dxa" w:w="1234"/>
          </w:tcPr>
          <w:p>
            <w:r>
              <w:rPr>
                <w:rFonts w:ascii="Times New Roman" w:hAnsi="Times New Roman"/>
                <w:sz w:val="24"/>
              </w:rPr>
              <w:t>EM</w:t>
            </w:r>
          </w:p>
        </w:tc>
        <w:tc>
          <w:tcPr>
            <w:tcW w:type="dxa" w:w="1234"/>
          </w:tcPr>
          <w:p>
            <w:r>
              <w:rPr>
                <w:rFonts w:ascii="Times New Roman" w:hAnsi="Times New Roman"/>
                <w:sz w:val="24"/>
              </w:rPr>
              <w:t>F1</w:t>
            </w:r>
          </w:p>
        </w:tc>
        <w:tc>
          <w:tcPr>
            <w:tcW w:type="dxa" w:w="1234"/>
          </w:tcPr>
          <w:p>
            <w:r>
              <w:rPr>
                <w:rFonts w:ascii="Times New Roman" w:hAnsi="Times New Roman"/>
                <w:sz w:val="24"/>
              </w:rPr>
              <w:t>Latency [s]</w:t>
            </w:r>
          </w:p>
        </w:tc>
        <w:tc>
          <w:tcPr>
            <w:tcW w:type="dxa" w:w="1234"/>
          </w:tcPr>
          <w:p>
            <w:r>
              <w:rPr>
                <w:rFonts w:ascii="Times New Roman" w:hAnsi="Times New Roman"/>
                <w:sz w:val="24"/>
              </w:rPr>
              <w:t>Throughput [S/s]</w:t>
            </w:r>
          </w:p>
        </w:tc>
        <w:tc>
          <w:tcPr>
            <w:tcW w:type="dxa" w:w="1234"/>
          </w:tcPr>
          <w:p>
            <w:r>
              <w:rPr>
                <w:rFonts w:ascii="Times New Roman" w:hAnsi="Times New Roman"/>
                <w:sz w:val="24"/>
              </w:rPr>
              <w:t>Memory [MB]</w:t>
            </w:r>
          </w:p>
        </w:tc>
      </w:tr>
      <w:tr>
        <w:tc>
          <w:tcPr>
            <w:tcW w:type="dxa" w:w="1234"/>
          </w:tcPr>
          <w:p>
            <w:r>
              <w:rPr>
                <w:rFonts w:ascii="Times New Roman" w:hAnsi="Times New Roman"/>
                <w:b/>
                <w:sz w:val="24"/>
              </w:rPr>
              <w:t>Hybrid</w:t>
            </w:r>
          </w:p>
        </w:tc>
        <w:tc>
          <w:tcPr>
            <w:tcW w:type="dxa" w:w="1234"/>
          </w:tcPr>
          <w:p>
            <w:r>
              <w:rPr>
                <w:rFonts w:ascii="Times New Roman" w:hAnsi="Times New Roman"/>
                <w:b/>
                <w:sz w:val="24"/>
              </w:rPr>
              <w:t>0.24</w:t>
            </w:r>
          </w:p>
        </w:tc>
        <w:tc>
          <w:tcPr>
            <w:tcW w:type="dxa" w:w="1234"/>
          </w:tcPr>
          <w:p>
            <w:r>
              <w:rPr>
                <w:rFonts w:ascii="Times New Roman" w:hAnsi="Times New Roman"/>
                <w:b/>
                <w:sz w:val="24"/>
              </w:rPr>
              <w:t>0.20</w:t>
            </w:r>
          </w:p>
        </w:tc>
        <w:tc>
          <w:tcPr>
            <w:tcW w:type="dxa" w:w="1234"/>
          </w:tcPr>
          <w:p>
            <w:r>
              <w:rPr>
                <w:rFonts w:ascii="Times New Roman" w:hAnsi="Times New Roman"/>
                <w:b/>
                <w:sz w:val="24"/>
              </w:rPr>
              <w:t>0.30</w:t>
            </w:r>
          </w:p>
        </w:tc>
        <w:tc>
          <w:tcPr>
            <w:tcW w:type="dxa" w:w="1234"/>
          </w:tcPr>
          <w:p>
            <w:r>
              <w:rPr>
                <w:rFonts w:ascii="Times New Roman" w:hAnsi="Times New Roman"/>
                <w:sz w:val="24"/>
              </w:rPr>
              <w:t>14.2</w:t>
            </w:r>
          </w:p>
        </w:tc>
        <w:tc>
          <w:tcPr>
            <w:tcW w:type="dxa" w:w="1234"/>
          </w:tcPr>
          <w:p>
            <w:r>
              <w:rPr>
                <w:rFonts w:ascii="Times New Roman" w:hAnsi="Times New Roman"/>
                <w:sz w:val="24"/>
              </w:rPr>
              <w:t>0.07</w:t>
            </w:r>
          </w:p>
        </w:tc>
        <w:tc>
          <w:tcPr>
            <w:tcW w:type="dxa" w:w="1234"/>
          </w:tcPr>
          <w:p>
            <w:r>
              <w:rPr>
                <w:rFonts w:ascii="Times New Roman" w:hAnsi="Times New Roman"/>
                <w:sz w:val="24"/>
              </w:rPr>
              <w:t>4600</w:t>
            </w:r>
          </w:p>
        </w:tc>
      </w:tr>
      <w:tr>
        <w:tc>
          <w:tcPr>
            <w:tcW w:type="dxa" w:w="1234"/>
          </w:tcPr>
          <w:p>
            <w:r>
              <w:rPr>
                <w:rFonts w:ascii="Times New Roman" w:hAnsi="Times New Roman"/>
                <w:b/>
                <w:sz w:val="24"/>
              </w:rPr>
              <w:t>VLM</w:t>
            </w:r>
          </w:p>
        </w:tc>
        <w:tc>
          <w:tcPr>
            <w:tcW w:type="dxa" w:w="1234"/>
          </w:tcPr>
          <w:p>
            <w:r>
              <w:rPr>
                <w:rFonts w:ascii="Times New Roman" w:hAnsi="Times New Roman"/>
                <w:sz w:val="24"/>
              </w:rPr>
              <w:t>0.17</w:t>
            </w:r>
          </w:p>
        </w:tc>
        <w:tc>
          <w:tcPr>
            <w:tcW w:type="dxa" w:w="1234"/>
          </w:tcPr>
          <w:p>
            <w:r>
              <w:rPr>
                <w:rFonts w:ascii="Times New Roman" w:hAnsi="Times New Roman"/>
                <w:sz w:val="24"/>
              </w:rPr>
              <w:t>0.10</w:t>
            </w:r>
          </w:p>
        </w:tc>
        <w:tc>
          <w:tcPr>
            <w:tcW w:type="dxa" w:w="1234"/>
          </w:tcPr>
          <w:p>
            <w:r>
              <w:rPr>
                <w:rFonts w:ascii="Times New Roman" w:hAnsi="Times New Roman"/>
                <w:sz w:val="24"/>
              </w:rPr>
              <w:t>0.20</w:t>
            </w:r>
          </w:p>
        </w:tc>
        <w:tc>
          <w:tcPr>
            <w:tcW w:type="dxa" w:w="1234"/>
          </w:tcPr>
          <w:p>
            <w:r>
              <w:rPr>
                <w:rFonts w:ascii="Times New Roman" w:hAnsi="Times New Roman"/>
                <w:sz w:val="24"/>
              </w:rPr>
              <w:t>4.2</w:t>
            </w:r>
          </w:p>
        </w:tc>
        <w:tc>
          <w:tcPr>
            <w:tcW w:type="dxa" w:w="1234"/>
          </w:tcPr>
          <w:p>
            <w:r>
              <w:rPr>
                <w:rFonts w:ascii="Times New Roman" w:hAnsi="Times New Roman"/>
                <w:sz w:val="24"/>
              </w:rPr>
              <w:t>0.24</w:t>
            </w:r>
          </w:p>
        </w:tc>
        <w:tc>
          <w:tcPr>
            <w:tcW w:type="dxa" w:w="1234"/>
          </w:tcPr>
          <w:p>
            <w:r>
              <w:rPr>
                <w:rFonts w:ascii="Times New Roman" w:hAnsi="Times New Roman"/>
                <w:sz w:val="24"/>
              </w:rPr>
              <w:t>4100</w:t>
            </w:r>
          </w:p>
        </w:tc>
      </w:tr>
      <w:tr>
        <w:tc>
          <w:tcPr>
            <w:tcW w:type="dxa" w:w="1234"/>
          </w:tcPr>
          <w:p>
            <w:r>
              <w:rPr>
                <w:rFonts w:ascii="Times New Roman" w:hAnsi="Times New Roman"/>
                <w:b/>
                <w:sz w:val="24"/>
              </w:rPr>
              <w:t>Tesseract</w:t>
            </w:r>
          </w:p>
        </w:tc>
        <w:tc>
          <w:tcPr>
            <w:tcW w:type="dxa" w:w="1234"/>
          </w:tcPr>
          <w:p>
            <w:r>
              <w:rPr>
                <w:rFonts w:ascii="Times New Roman" w:hAnsi="Times New Roman"/>
                <w:sz w:val="24"/>
              </w:rPr>
              <w:t>0.17</w:t>
            </w:r>
          </w:p>
        </w:tc>
        <w:tc>
          <w:tcPr>
            <w:tcW w:type="dxa" w:w="1234"/>
          </w:tcPr>
          <w:p>
            <w:r>
              <w:rPr>
                <w:rFonts w:ascii="Times New Roman" w:hAnsi="Times New Roman"/>
                <w:sz w:val="24"/>
              </w:rPr>
              <w:t>0.10</w:t>
            </w:r>
          </w:p>
        </w:tc>
        <w:tc>
          <w:tcPr>
            <w:tcW w:type="dxa" w:w="1234"/>
          </w:tcPr>
          <w:p>
            <w:r>
              <w:rPr>
                <w:rFonts w:ascii="Times New Roman" w:hAnsi="Times New Roman"/>
                <w:sz w:val="24"/>
              </w:rPr>
              <w:t>0.30</w:t>
            </w:r>
          </w:p>
        </w:tc>
        <w:tc>
          <w:tcPr>
            <w:tcW w:type="dxa" w:w="1234"/>
          </w:tcPr>
          <w:p>
            <w:r>
              <w:rPr>
                <w:rFonts w:ascii="Times New Roman" w:hAnsi="Times New Roman"/>
                <w:sz w:val="24"/>
              </w:rPr>
              <w:t>11.0</w:t>
            </w:r>
          </w:p>
        </w:tc>
        <w:tc>
          <w:tcPr>
            <w:tcW w:type="dxa" w:w="1234"/>
          </w:tcPr>
          <w:p>
            <w:r>
              <w:rPr>
                <w:rFonts w:ascii="Times New Roman" w:hAnsi="Times New Roman"/>
                <w:sz w:val="24"/>
              </w:rPr>
              <w:t>0.09</w:t>
            </w:r>
          </w:p>
        </w:tc>
        <w:tc>
          <w:tcPr>
            <w:tcW w:type="dxa" w:w="1234"/>
          </w:tcPr>
          <w:p>
            <w:r>
              <w:rPr>
                <w:rFonts w:ascii="Times New Roman" w:hAnsi="Times New Roman"/>
                <w:sz w:val="24"/>
              </w:rPr>
              <w:t>350</w:t>
            </w:r>
          </w:p>
        </w:tc>
      </w:tr>
      <w:tr>
        <w:tc>
          <w:tcPr>
            <w:tcW w:type="dxa" w:w="1234"/>
          </w:tcPr>
          <w:p>
            <w:r>
              <w:rPr>
                <w:rFonts w:ascii="Times New Roman" w:hAnsi="Times New Roman"/>
                <w:b/>
                <w:sz w:val="24"/>
              </w:rPr>
              <w:t>PaddleOCR</w:t>
            </w:r>
          </w:p>
        </w:tc>
        <w:tc>
          <w:tcPr>
            <w:tcW w:type="dxa" w:w="1234"/>
          </w:tcPr>
          <w:p>
            <w:r>
              <w:rPr>
                <w:rFonts w:ascii="Times New Roman" w:hAnsi="Times New Roman"/>
                <w:sz w:val="24"/>
              </w:rPr>
              <w:t>0.13</w:t>
            </w:r>
          </w:p>
        </w:tc>
        <w:tc>
          <w:tcPr>
            <w:tcW w:type="dxa" w:w="1234"/>
          </w:tcPr>
          <w:p>
            <w:r>
              <w:rPr>
                <w:rFonts w:ascii="Times New Roman" w:hAnsi="Times New Roman"/>
                <w:sz w:val="24"/>
              </w:rPr>
              <w:t>0.00</w:t>
            </w:r>
          </w:p>
        </w:tc>
        <w:tc>
          <w:tcPr>
            <w:tcW w:type="dxa" w:w="1234"/>
          </w:tcPr>
          <w:p>
            <w:r>
              <w:rPr>
                <w:rFonts w:ascii="Times New Roman" w:hAnsi="Times New Roman"/>
                <w:sz w:val="24"/>
              </w:rPr>
              <w:t>0.10</w:t>
            </w:r>
          </w:p>
        </w:tc>
        <w:tc>
          <w:tcPr>
            <w:tcW w:type="dxa" w:w="1234"/>
          </w:tcPr>
          <w:p>
            <w:r>
              <w:rPr>
                <w:rFonts w:ascii="Times New Roman" w:hAnsi="Times New Roman"/>
                <w:sz w:val="24"/>
              </w:rPr>
              <w:t>52.3</w:t>
            </w:r>
          </w:p>
        </w:tc>
        <w:tc>
          <w:tcPr>
            <w:tcW w:type="dxa" w:w="1234"/>
          </w:tcPr>
          <w:p>
            <w:r>
              <w:rPr>
                <w:rFonts w:ascii="Times New Roman" w:hAnsi="Times New Roman"/>
                <w:sz w:val="24"/>
              </w:rPr>
              <w:t>0.02</w:t>
            </w:r>
          </w:p>
        </w:tc>
        <w:tc>
          <w:tcPr>
            <w:tcW w:type="dxa" w:w="1234"/>
          </w:tcPr>
          <w:p>
            <w:r>
              <w:rPr>
                <w:rFonts w:ascii="Times New Roman" w:hAnsi="Times New Roman"/>
                <w:sz w:val="24"/>
              </w:rPr>
              <w:t>850</w:t>
            </w:r>
          </w:p>
        </w:tc>
      </w:tr>
    </w:tbl>
    <w:p>
      <w:pPr>
        <w:pStyle w:val="Heading3"/>
      </w:pPr>
      <w:r>
        <w:t>5.1 Latency Breakdown</w:t>
      </w:r>
    </w:p>
    <w:p>
      <w:pPr>
        <w:jc w:val="both"/>
      </w:pPr>
      <w:r>
        <w:rPr>
          <w:rFonts w:ascii="Times New Roman" w:hAnsi="Times New Roman"/>
          <w:sz w:val="24"/>
        </w:rPr>
        <w:t>The perception stage dominates latency across all models (~80% of total time). FAISS retrieval is near-instantaneous (\le 0.05s), confirming vector search is not a bottleneck.</w:t>
      </w:r>
    </w:p>
    <w:p>
      <w:pPr>
        <w:jc w:val="both"/>
      </w:pPr>
      <w:r>
        <w:rPr>
          <w:rFonts w:ascii="Times New Roman" w:hAnsi="Times New Roman"/>
          <w:sz w:val="24"/>
        </w:rPr>
        <w:t>---</w:t>
      </w:r>
    </w:p>
    <w:p>
      <w:pPr>
        <w:pStyle w:val="Heading3"/>
      </w:pPr>
      <w:r>
        <w:t>6. Analysis and Deep Interpretation</w:t>
      </w:r>
    </w:p>
    <w:p>
      <w:pPr>
        <w:pStyle w:val="Heading3"/>
      </w:pPr>
      <w:r>
        <w:t>6.1 Error Categorization</w:t>
      </w:r>
    </w:p>
    <w:p>
      <w:pPr>
        <w:jc w:val="both"/>
      </w:pPr>
      <w:r>
        <w:rPr>
          <w:rFonts w:ascii="Times New Roman" w:hAnsi="Times New Roman"/>
          <w:b/>
          <w:sz w:val="24"/>
        </w:rPr>
        <w:t>Interpretation of Table 4</w:t>
      </w:r>
      <w:r>
        <w:rPr>
          <w:rFonts w:ascii="Times New Roman" w:hAnsi="Times New Roman"/>
          <w:sz w:val="24"/>
        </w:rPr>
        <w:t xml:space="preserve">: Tesseract's primary failure modes are alphanumeric confusion (reading '0' as 'O') and layout fragmentation, where the engine reads across column semantic boundaries. PaddleOCR suffers from resolution scaling artifacts when its dynamic resizing blurs fine print. VLMs rarely misread characters but frequently exhibit resolution-induced hallucinations due to input downsampling. The Hybrid model inherits mild versions of both PaddleOCR and VLM errors, but its late-fusion cross-verification significantly reduces both, solving the </w:t>
      </w:r>
      <w:r>
        <w:rPr>
          <w:rFonts w:ascii="Times New Roman" w:hAnsi="Times New Roman"/>
          <w:b/>
          <w:sz w:val="24"/>
        </w:rPr>
        <w:t>Euclidean Crowding</w:t>
      </w:r>
      <w:r>
        <w:rPr>
          <w:rFonts w:ascii="Times New Roman" w:hAnsi="Times New Roman"/>
          <w:sz w:val="24"/>
        </w:rPr>
        <w:t xml:space="preserve"> issue via </w:t>
      </w:r>
      <w:r>
        <w:rPr>
          <w:rFonts w:ascii="Times New Roman" w:hAnsi="Times New Roman"/>
          <w:b/>
          <w:sz w:val="24"/>
        </w:rPr>
        <w:t>Spatial Metadata Tagging</w:t>
      </w:r>
      <w:r>
        <w:rPr>
          <w:rFonts w:ascii="Times New Roman" w:hAnsi="Times New Roman"/>
          <w:sz w:val="24"/>
        </w:rPr>
        <w:t>.</w:t>
      </w:r>
    </w:p>
    <w:p>
      <w:pPr>
        <w:pStyle w:val="Heading3"/>
      </w:pPr>
      <w:r>
        <w:t>6.2 Case Study: VLM Hallucination</w:t>
      </w:r>
    </w:p>
    <w:p>
      <w:pPr>
        <w:jc w:val="both"/>
      </w:pPr>
      <w:r>
        <w:rPr>
          <w:rFonts w:ascii="Times New Roman" w:hAnsi="Times New Roman"/>
          <w:sz w:val="24"/>
        </w:rPr>
        <w:t xml:space="preserve">Standalone VLMs typically downsample images to a vision encoder resolution of </w:t>
      </w:r>
      <w:r>
        <w:rPr>
          <w:rFonts w:ascii="Times New Roman" w:hAnsi="Times New Roman"/>
          <w:b/>
          <w:sz w:val="24"/>
        </w:rPr>
        <w:t>336x336</w:t>
      </w:r>
      <w:r>
        <w:rPr>
          <w:rFonts w:ascii="Times New Roman" w:hAnsi="Times New Roman"/>
          <w:sz w:val="24"/>
        </w:rPr>
        <w:t xml:space="preserve"> pixels. In a dense financial report, digits like '2' and '5' blur into identical pixel clusters. This is a structural limitation of multimodal encoders, not a failure of LLM reasoning. The </w:t>
      </w:r>
      <w:r>
        <w:rPr>
          <w:rFonts w:ascii="Times New Roman" w:hAnsi="Times New Roman"/>
          <w:b/>
          <w:sz w:val="24"/>
        </w:rPr>
        <w:t>Hybrid model</w:t>
      </w:r>
      <w:r>
        <w:rPr>
          <w:rFonts w:ascii="Times New Roman" w:hAnsi="Times New Roman"/>
          <w:sz w:val="24"/>
        </w:rPr>
        <w:t xml:space="preserve"> anchors the answer in the literal OCR output from the full-resolution scan, correcting the hallucination.</w:t>
      </w:r>
    </w:p>
    <w:p>
      <w:pPr>
        <w:jc w:val="both"/>
      </w:pPr>
      <w:r>
        <w:rPr>
          <w:rFonts w:ascii="Times New Roman" w:hAnsi="Times New Roman"/>
          <w:sz w:val="24"/>
        </w:rPr>
        <w:t>---</w:t>
      </w:r>
    </w:p>
    <w:p>
      <w:pPr>
        <w:pStyle w:val="Heading3"/>
      </w:pPr>
      <w:r>
        <w:t>7. Conclusion</w:t>
      </w:r>
    </w:p>
    <w:p>
      <w:pPr>
        <w:jc w:val="both"/>
      </w:pPr>
      <w:r>
        <w:rPr>
          <w:rFonts w:ascii="Times New Roman" w:hAnsi="Times New Roman"/>
          <w:sz w:val="24"/>
        </w:rPr>
        <w:t>The Hybrid perception strategy represents a robust solution for precision-critical DocVQA applications. By synchronizing character-level precision with visual reasoning, the system establishes a three-point "Defense" for mission-critical industrial use:</w:t>
      </w:r>
    </w:p>
    <w:p>
      <w:pPr>
        <w:jc w:val="both"/>
      </w:pPr>
      <w:r>
        <w:rPr>
          <w:rFonts w:ascii="Times New Roman" w:hAnsi="Times New Roman"/>
          <w:sz w:val="24"/>
        </w:rPr>
        <w:t xml:space="preserve">1. </w:t>
      </w:r>
      <w:r>
        <w:rPr>
          <w:rFonts w:ascii="Times New Roman" w:hAnsi="Times New Roman"/>
          <w:b/>
          <w:sz w:val="24"/>
        </w:rPr>
        <w:t>Accuracy Premium</w:t>
      </w:r>
      <w:r>
        <w:rPr>
          <w:rFonts w:ascii="Times New Roman" w:hAnsi="Times New Roman"/>
          <w:sz w:val="24"/>
        </w:rPr>
        <w:t xml:space="preserve">: Provides a </w:t>
      </w:r>
      <w:r>
        <w:rPr>
          <w:rFonts w:ascii="Times New Roman" w:hAnsi="Times New Roman"/>
          <w:b/>
          <w:sz w:val="24"/>
        </w:rPr>
        <w:t>41% increase in ANLS</w:t>
      </w:r>
      <w:r>
        <w:rPr>
          <w:rFonts w:ascii="Times New Roman" w:hAnsi="Times New Roman"/>
          <w:sz w:val="24"/>
        </w:rPr>
        <w:t xml:space="preserve"> over standalone VLMs.</w:t>
      </w:r>
    </w:p>
    <w:p>
      <w:pPr>
        <w:jc w:val="both"/>
      </w:pPr>
      <w:r>
        <w:rPr>
          <w:rFonts w:ascii="Times New Roman" w:hAnsi="Times New Roman"/>
          <w:sz w:val="24"/>
        </w:rPr>
        <w:t xml:space="preserve">2. </w:t>
      </w:r>
      <w:r>
        <w:rPr>
          <w:rFonts w:ascii="Times New Roman" w:hAnsi="Times New Roman"/>
          <w:b/>
          <w:sz w:val="24"/>
        </w:rPr>
        <w:t>Zero-Shot Readiness</w:t>
      </w:r>
      <w:r>
        <w:rPr>
          <w:rFonts w:ascii="Times New Roman" w:hAnsi="Times New Roman"/>
          <w:sz w:val="24"/>
        </w:rPr>
        <w:t>: Production-ready generalization with no templates.</w:t>
      </w:r>
    </w:p>
    <w:p>
      <w:pPr>
        <w:jc w:val="both"/>
      </w:pPr>
      <w:r>
        <w:rPr>
          <w:rFonts w:ascii="Times New Roman" w:hAnsi="Times New Roman"/>
          <w:sz w:val="24"/>
        </w:rPr>
        <w:t xml:space="preserve">3. </w:t>
      </w:r>
      <w:r>
        <w:rPr>
          <w:rFonts w:ascii="Times New Roman" w:hAnsi="Times New Roman"/>
          <w:b/>
          <w:sz w:val="24"/>
        </w:rPr>
        <w:t>Safety First</w:t>
      </w:r>
      <w:r>
        <w:rPr>
          <w:rFonts w:ascii="Times New Roman" w:hAnsi="Times New Roman"/>
          <w:sz w:val="24"/>
        </w:rPr>
        <w:t xml:space="preserve">: Prioritizes </w:t>
      </w:r>
      <w:r>
        <w:rPr>
          <w:rFonts w:ascii="Times New Roman" w:hAnsi="Times New Roman"/>
          <w:b/>
          <w:sz w:val="24"/>
        </w:rPr>
        <w:t>verifiable evidence over probabilistic generation</w:t>
      </w:r>
      <w:r>
        <w:rPr>
          <w:rFonts w:ascii="Times New Roman" w:hAnsi="Times New Roman"/>
          <w:sz w:val="24"/>
        </w:rPr>
        <w:t xml:space="preserve"> via the "Not Found" constraint.</w:t>
      </w:r>
    </w:p>
    <w:p>
      <w:pPr>
        <w:pStyle w:val="Heading3"/>
      </w:pPr>
      <w:r>
        <w:t>References</w:t>
      </w:r>
    </w:p>
    <w:p>
      <w:pPr>
        <w:jc w:val="both"/>
      </w:pPr>
      <w:r>
        <w:rPr>
          <w:rFonts w:ascii="Times New Roman" w:hAnsi="Times New Roman"/>
          <w:sz w:val="24"/>
        </w:rPr>
        <w:t xml:space="preserve">[1] Biten, A.F., et al. (2019). </w:t>
      </w:r>
      <w:r>
        <w:rPr>
          <w:rFonts w:ascii="Times New Roman" w:hAnsi="Times New Roman"/>
          <w:i/>
          <w:sz w:val="24"/>
        </w:rPr>
        <w:t>DocVQA: A Dataset for Document Visual Question Answering</w:t>
      </w:r>
      <w:r>
        <w:rPr>
          <w:rFonts w:ascii="Times New Roman" w:hAnsi="Times New Roman"/>
          <w:sz w:val="24"/>
        </w:rPr>
        <w:t>. CVPR.</w:t>
      </w:r>
    </w:p>
    <w:p>
      <w:pPr>
        <w:jc w:val="both"/>
      </w:pPr>
      <w:r>
        <w:rPr>
          <w:rFonts w:ascii="Times New Roman" w:hAnsi="Times New Roman"/>
          <w:sz w:val="24"/>
        </w:rPr>
        <w:t xml:space="preserve">[2] Lewis, P., et al. (2020). </w:t>
      </w:r>
      <w:r>
        <w:rPr>
          <w:rFonts w:ascii="Times New Roman" w:hAnsi="Times New Roman"/>
          <w:i/>
          <w:sz w:val="24"/>
        </w:rPr>
        <w:t>Retrieval-Augmented Generation for Knowledge-Intensive NLP Tasks</w:t>
      </w:r>
      <w:r>
        <w:rPr>
          <w:rFonts w:ascii="Times New Roman" w:hAnsi="Times New Roman"/>
          <w:sz w:val="24"/>
        </w:rPr>
        <w:t>. NeurIPS.</w:t>
      </w:r>
    </w:p>
    <w:p>
      <w:pPr>
        <w:jc w:val="both"/>
      </w:pPr>
      <w:r>
        <w:rPr>
          <w:rFonts w:ascii="Times New Roman" w:hAnsi="Times New Roman"/>
          <w:sz w:val="24"/>
        </w:rPr>
        <w:t xml:space="preserve">[3] Reimers, N., &amp; Gurevych, I. (2019). </w:t>
      </w:r>
      <w:r>
        <w:rPr>
          <w:rFonts w:ascii="Times New Roman" w:hAnsi="Times New Roman"/>
          <w:i/>
          <w:sz w:val="24"/>
        </w:rPr>
        <w:t>Sentence-BERT: Sentence Embeddings using Siamese BERT-Networks</w:t>
      </w:r>
      <w:r>
        <w:rPr>
          <w:rFonts w:ascii="Times New Roman" w:hAnsi="Times New Roman"/>
          <w:sz w:val="24"/>
        </w:rPr>
        <w:t>. EMNLP.</w:t>
      </w:r>
    </w:p>
    <w:p>
      <w:pPr>
        <w:jc w:val="both"/>
      </w:pPr>
      <w:r>
        <w:rPr>
          <w:rFonts w:ascii="Times New Roman" w:hAnsi="Times New Roman"/>
          <w:sz w:val="24"/>
        </w:rPr>
        <w:t xml:space="preserve">[4] Du, Y., et al. (2022). </w:t>
      </w:r>
      <w:r>
        <w:rPr>
          <w:rFonts w:ascii="Times New Roman" w:hAnsi="Times New Roman"/>
          <w:i/>
          <w:sz w:val="24"/>
        </w:rPr>
        <w:t>PP-OCRv3: More Attempts for the Practical Ultra Lightweight OCR System</w:t>
      </w:r>
      <w:r>
        <w:rPr>
          <w:rFonts w:ascii="Times New Roman" w:hAnsi="Times New Roman"/>
          <w:sz w:val="24"/>
        </w:rPr>
        <w:t>. arXiv:2206.03001.</w:t>
      </w:r>
    </w:p>
    <w:p>
      <w:pPr>
        <w:jc w:val="both"/>
      </w:pPr>
      <w:r>
        <w:rPr>
          <w:rFonts w:ascii="Times New Roman" w:hAnsi="Times New Roman"/>
          <w:sz w:val="24"/>
        </w:rPr>
        <w:t xml:space="preserve">[5] Johnson, J., et al. (2019). </w:t>
      </w:r>
      <w:r>
        <w:rPr>
          <w:rFonts w:ascii="Times New Roman" w:hAnsi="Times New Roman"/>
          <w:i/>
          <w:sz w:val="24"/>
        </w:rPr>
        <w:t>Billion-scale Similarity Search with GPUs</w:t>
      </w:r>
      <w:r>
        <w:rPr>
          <w:rFonts w:ascii="Times New Roman" w:hAnsi="Times New Roman"/>
          <w:sz w:val="24"/>
        </w:rPr>
        <w:t>. IEEE Transactions on Big Data.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separate"/>
      <w:fldChar w:fldCharType="end"/>
    </w:r>
    <w:r>
      <w:t xml:space="preserve"> of </w:t>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