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Training and Fine-Tuning Small Language Models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5282"/>
          <w:sz w:val="48"/>
          <w:szCs w:val="48"/>
        </w:rPr>
        <w:t xml:space="preserve">for Agentic AI Systems</w:t>
      </w:r>
    </w:p>
    <w:p>
      <w:pPr>
        <w:spacing w:before="6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A Comprehensive Research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analysis of Small Language Models (SLMs) for agentic AI applications, focusing on models up to 8B parameters such as Llama, Qwen, and Phi series. The research synthesizes current state-of-the-art practices across training techniques, deployment strategies, and integration patterns for enterprise AI systems.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Key findings indicate that SLMs can achieve performance comparable to or exceeding larger models on focused tasks when properly fine-tuned, while offering 20-100x cost reductions and significantly lower latency. The shift toward heterogeneous agentic architectures—combining specialized SLMs with LLM fallback—represents the emerging production standard.</w:t>
      </w:r>
    </w:p>
    <w:p>
      <w:r>
        <w:br w:type="page"/>
      </w:r>
    </w:p>
    <w:p>
      <w:pPr>
        <w:pStyle w:val="Heading1"/>
      </w:pPr>
      <w:r>
        <w:t xml:space="preserve">1. Current State of the Art</w:t>
      </w:r>
    </w:p>
    <w:p>
      <w:pPr>
        <w:pStyle w:val="Heading2"/>
      </w:pPr>
      <w:r>
        <w:t xml:space="preserve">1.1 Definition and Landscape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Small Language Models (SLMs) are typically defined as models with up to 10-12 billion parameters, though some literature extends this to 20B. As of 2025, the SLM ecosystem has matured significantly with leading models including: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Llama 3.2 (1B, 3B) and Llama 3.1 (8B) from Meta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Qwen 2.5 (0.5B to 7B) from Alibaba, now dominating open-weight downloads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Phi-3 and Phi-4-Mini (3.8B) from Microsoft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Gemma 2 (2B, 9B) from Google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Mistral/Ministral (3B, 8B) from Mistral 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DeepSeek-R1-Distill variants for reasoning tasks</w:t>
      </w:r>
    </w:p>
    <w:p>
      <w:pPr>
        <w:pStyle w:val="Heading2"/>
      </w:pPr>
      <w:r>
        <w:t xml:space="preserve">1.2 Key Research Findings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NVIDIA’s 2025 position paper argues that SLMs are “sufficiently powerful, inherently more suitable, and necessarily more economical” for agentic AI systems. The research demonstrates that: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SLMs can achieve 77.55% pass rates on ToolBench, outperforming ChatGPT-CoT (26%) with targeted fine-tuning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80% of typical agentic tasks involve extraction, routing, or simple tool calling—ideal SLM territory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Fine-tuned SLMs with LoRA on 10-50K traces can reduce token costs by 20-100x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Guided decoding and strict JSON Schema outputs close much of the capability gap with larger models</w:t>
      </w:r>
    </w:p>
    <w:p>
      <w:pPr>
        <w:pStyle w:val="Heading2"/>
      </w:pPr>
      <w:r>
        <w:t xml:space="preserve">1.3 SLM Advantages for Agentic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SLM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2-10x faster inference; critical for real-time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20-100x lower per-token costs; enables high-volume deployments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Privacy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On-premise/edge deployment; data never leaves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Specialization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Faster fine-tuning cycles; domain adaptation in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Predictability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More constrained outputs; cleaner JSON/schema compliance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2. Training and Fine-Tuning Techniques</w:t>
      </w:r>
    </w:p>
    <w:p>
      <w:pPr>
        <w:pStyle w:val="Heading2"/>
      </w:pPr>
      <w:r>
        <w:t xml:space="preserve">2.1 Parameter-Efficient Fine-Tuning (PEFT)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PEFT methods have become the standard for SLM adaptation, enabling fine-tuning on consumer hardware while preserving base model capabilities.</w:t>
      </w:r>
    </w:p>
    <w:p>
      <w:pPr>
        <w:pStyle w:val="Heading3"/>
      </w:pPr>
      <w:r>
        <w:t xml:space="preserve">LoRA (Low-Rank Adaptation)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LoRA injects trainable low-rank matrices into transformer layers while freezing pretrained weights. Key findings from 2025 research: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Apply LoRA to ALL layers, not just attention—MLP layers provide equal or greater benefit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Rank 16-64 typically sufficient; higher ranks show diminishing returns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Alpha = 2x Rank is a good starting point (scaling factor 2x)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Dropout of 5-10% recommended depending on model size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properly tuned, LoRA matches full fine-tuning sample efficiency</w:t>
      </w:r>
    </w:p>
    <w:p>
      <w:pPr>
        <w:pStyle w:val="Heading3"/>
      </w:pPr>
      <w:r>
        <w:t xml:space="preserve">QLoRA (Quantized LoRA)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QLoRA combines 4-bit quantization with LoRA for extreme memory efficiency: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Enables 13B model fine-tuning on 16GB GPU; 70B on single consumer GPU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4-bit NormalFloat (NF4) quantization optimized for neural network weight distributions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Double quantization further reduces memory footprint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Slight accuracy trade-off (typically 1-3%) vs full-precision LoRA</w:t>
      </w:r>
    </w:p>
    <w:p>
      <w:pPr>
        <w:pStyle w:val="Heading3"/>
      </w:pPr>
      <w:r>
        <w:t xml:space="preserve">Spectrum (2024 Innovation)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Spectrum uses Signal-to-Noise Ratio analysis to select the most informative layers for fine-tuning: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Selectively fine-tunes top 30% of layers by SNR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Reports 4% higher accuracy than QLoRA on GSM8K mathematical reasoning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Comparable resource requirements to QLoRA</w:t>
      </w:r>
    </w:p>
    <w:p>
      <w:pPr>
        <w:pStyle w:val="Heading2"/>
      </w:pPr>
      <w:r>
        <w:t xml:space="preserve">2.2 Training Configuration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8B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QLoRA or Spectrum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LoRA or Full 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LoRA Rank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16-32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Learning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2e-4 to 5e-4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1e-4 to 3e-4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Batch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8-16 (gradient accum)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16-32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Epochs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1-3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 Modules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all-linear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all-linear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 GPU VRAM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16-24GB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8-12GB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2.3 Performance Optimization Stack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recommended 2025 training stack for 8B models combines multiple optimizations: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QLoRA or Spectrum for parameter efficiency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FlashAttention-2 for memory-efficient attention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Liger Kernels for fused operations (2x speedup)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Gradient checkpointing for memory savings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DeepSpeed ZeRO-3 for multi-GPU distribution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This stack enables Llama-3.1-8B training in approximately 2 hours on a single high-end GPU, or under 30 minutes distributed across 8 GPUs.</w:t>
      </w:r>
    </w:p>
    <w:p>
      <w:r>
        <w:br w:type="page"/>
      </w:r>
    </w:p>
    <w:p>
      <w:pPr>
        <w:pStyle w:val="Heading1"/>
      </w:pPr>
      <w:r>
        <w:t xml:space="preserve">3. Data Preparation Process</w:t>
      </w:r>
    </w:p>
    <w:p>
      <w:pPr>
        <w:pStyle w:val="Heading2"/>
      </w:pPr>
      <w:r>
        <w:t xml:space="preserve">3.1 Dataset Design Principles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Quality dramatically outweighs quantity for SLM fine-tuning. Research consistently shows that 1,000-10,000 high-quality examples often outperform 100,000+ lower-quality samples.</w:t>
      </w:r>
    </w:p>
    <w:p>
      <w:pPr>
        <w:pStyle w:val="Heading3"/>
      </w:pPr>
      <w:r>
        <w:t xml:space="preserve">Instruction-Tuning Dataset Structure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standard format follows the instruction-input-output pattern: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Instruction: Clear task description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Input: Context or data for the task (optional)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Output: Expected model response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For tool-calling agents, include structured outputs with function signatures, parameters, and expected JSON schemas.</w:t>
      </w:r>
    </w:p>
    <w:p>
      <w:pPr>
        <w:pStyle w:val="Heading2"/>
      </w:pPr>
      <w:r>
        <w:t xml:space="preserve">3.2 Data Collection Approaches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Manual Creation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Highest quality; exact domain fit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Time-intensive; limited scale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LLM-Generated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Scalable; consistent format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May inherit biases; needs validation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Production Traces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Real-world distribution; proven tasks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Privacy concerns; may need cleaning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Hybrid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Balances quality and scale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Requires careful curation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Agent-Specific Data Requirements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For agentic SLMs, the dataset must include: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Tool calling examples with correct function signatures and parameters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Multi-step reasoning traces showing planning and execution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Error recovery scenarios demonstrating graceful failure handling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Schema-constrained outputs (JSON, YAML) for structured responses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Escalation patterns for LLM fallback triggers</w:t>
      </w:r>
    </w:p>
    <w:p>
      <w:pPr>
        <w:pStyle w:val="Heading2"/>
      </w:pPr>
      <w:r>
        <w:t xml:space="preserve">3.4 Data Quality Checklist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Deduplication: Remove exact and near-duplicates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Format consistency: Uniform prompt templates across examples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Length balance: Mix of short and long contexts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Difficulty progression: Include easy, medium, and hard examples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Negative examples: Include rejection cases for safety training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Validation split: Reserve 10-20% for evaluation</w:t>
      </w:r>
    </w:p>
    <w:p>
      <w:r>
        <w:br w:type="page"/>
      </w:r>
    </w:p>
    <w:p>
      <w:pPr>
        <w:pStyle w:val="Heading1"/>
      </w:pPr>
      <w:r>
        <w:t xml:space="preserve">4. Metrics for Training and Deployment</w:t>
      </w:r>
    </w:p>
    <w:p>
      <w:pPr>
        <w:pStyle w:val="Heading2"/>
      </w:pPr>
      <w:r>
        <w:t xml:space="preserve">4.1 Training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Training Loss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Monitor for convergence; watch for overfitting after epoch 2-3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Validation Loss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stopping criterion; divergence from train loss indicates overfitting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Perplexity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Lower is better; measures model confidence on held-out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Gradient Norm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Monitor for stability; spikes indicate potential issues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Evaluation Benchmarks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For agentic SLMs, prioritize task-specific evaluations over general benchmarks: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BFCL v3/v4 (Berkeley Function Calling Leaderboard): Function calling accuracy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StableToolBench: Tool use reliability and multi-step task completion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ToolBench: Comprehensive API calling evaluation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AgentBench: Web navigation, tool use, and code tasks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MT-Bench: Multi-turn conversation quality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Domain-specific benchmarks: Custom evaluation sets matching production tasks</w:t>
      </w:r>
    </w:p>
    <w:p>
      <w:pPr>
        <w:pStyle w:val="Heading2"/>
      </w:pPr>
      <w:r>
        <w:t xml:space="preserve">4.3 Production Metrics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survey proposes engineering metrics reflecting real production goals: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Range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 Per Successful Task (CPS)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Track total cost including retries and escalations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Validity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&gt;95% valid JSON/schema outputs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Executable Call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&gt;90% of tool calls execute without errors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p50/p95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p50 &lt; 200ms, p95 &lt; 500ms for interactive agents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Energy Per 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Track for sustainability and cost optimization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Escalation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&lt;5-10% escalations to LLM fallback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5. Secure Inference Endpoint Deployment</w:t>
      </w:r>
    </w:p>
    <w:p>
      <w:pPr>
        <w:pStyle w:val="Heading2"/>
      </w:pPr>
      <w:r>
        <w:t xml:space="preserve">5.1 Inference Engine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vLLM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General production; high throughput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PagedAttention, continuous batching, OpenAI-compatible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TGI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HuggingFace ecosystem; enterprise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Production-ready, telemetry, 13x faster on long prompts (v3)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TensorRT-LLM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NVIDIA-only; maximum perf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FP8/INT4 quantization, 10K+ tokens/sec on H100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SGLang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latency; real-time apps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Superior throughput vs vLLM on complex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Ollama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Local development; simplicity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Easy setup, cross-platform, limited production features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vLLM Production Stack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vLLM has emerged as the dominant choice for production workloads. Key deployment considerations: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PagedAttention eliminates 60-80% memory waste from KV cache fragmentation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Continuous batching maximizes GPU utilization under varying 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Stripe achieved 73% cost reduction serving 50M daily requests on 1/3 GPU fleet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vLLM Production Stack enables Kubernetes deployment with single command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Supports LoRA adapters for multi-tenant deployments</w:t>
      </w:r>
    </w:p>
    <w:p>
      <w:pPr>
        <w:pStyle w:val="Heading2"/>
      </w:pPr>
      <w:r>
        <w:t xml:space="preserve">5.3 Security Considerations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Data Isolation: Process all inference within your infrastructure; no third-party API calls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Model Provenance: Use safetensors format (vLLM, TGI native); eliminates pickle code execution risks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Network Segmentation: Isolate inference endpoints from public networks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Authentication: Implement API key or OAuth2 for endpoint access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Rate Limiting: Prevent abuse and ensure fair resource allocation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Input Validation: Sanitize prompts to prevent injection attacks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Audit Logging: Log all requests/responses for compliance (with PII handling)</w:t>
      </w:r>
    </w:p>
    <w:p>
      <w:pPr>
        <w:pStyle w:val="Heading2"/>
      </w:pPr>
      <w:r>
        <w:t xml:space="preserve">5.4 Deployment Architecture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Recommended production architecture: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Load Balancer: Distribute requests across vLLM instances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API Gateway: Handle authentication, rate limiting, request validation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vLLM Cluster: Multiple replicas with autoscaling based on queue depth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Prefix-Aware Router: Direct requests to instances with cached KV for common prompts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Monitoring Stack: Prometheus metrics, Grafana dashboards, alerting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LMCache: Cross-instance KV cache sharing for efficiency</w:t>
      </w:r>
    </w:p>
    <w:p>
      <w:r>
        <w:br w:type="page"/>
      </w:r>
    </w:p>
    <w:p>
      <w:pPr>
        <w:pStyle w:val="Heading1"/>
      </w:pPr>
      <w:r>
        <w:t xml:space="preserve">6. Streaming vs. On-Demand Inference</w:t>
      </w:r>
    </w:p>
    <w:p>
      <w:pPr>
        <w:pStyle w:val="Heading2"/>
      </w:pPr>
      <w:r>
        <w:t xml:space="preserve">6.1 Key Latency Metrics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Time to First Token (TTFT): Critical for perceived responsiveness; aim for &lt;500ms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Time Per Output Token (TPOT): Determines streaming smoothness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Total Latency: TTFT + (TPOT x output_tokens)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Throughput: Tokens per second across all concurrent requests</w:t>
      </w:r>
    </w:p>
    <w:p>
      <w:pPr>
        <w:pStyle w:val="Heading2"/>
      </w:pPr>
      <w:r>
        <w:t xml:space="preserve">6.2 Streaming Inference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Streaming sends tokens as generated, providing real-time feedback: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Response starts appearing in 200-500ms vs 3-10 seconds for batch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Implementation: Server-Sent Events (SSE) or WebSocket connections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Experience: Feels instant; mimics human typing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Error Handling: More complex; partial responses on failure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Best For: Chat interfaces, interactive agents, user-facing applications</w:t>
      </w:r>
    </w:p>
    <w:p>
      <w:pPr>
        <w:pStyle w:val="Heading2"/>
      </w:pPr>
      <w:r>
        <w:t xml:space="preserve">6.3 Batch/On-Demand Inference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Batch processing waits for complete response before returning: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Higher throughput through continuous batching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Simpler error handling: complete success or failure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Better for validation: can verify full response before returning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Best For: Background processing, API backends, data pipelines</w:t>
      </w:r>
    </w:p>
    <w:p>
      <w:pPr>
        <w:pStyle w:val="Heading2"/>
      </w:pPr>
      <w:r>
        <w:t xml:space="preserve">6.4 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Chat/Conversational UI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Recommended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Poor 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Backend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Optional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Tool Calling Agent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progress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Batch Data Processing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 Generation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User-facing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 tasks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6.5 The Throughput-Latency Tradeoff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There is a fundamental tradeoff between throughput and per-request latency: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Larger batches increase throughput but increase individual request latency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SLMs mitigate this tradeoff due to lower per-request compute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Continuous batching allows dynamic request scheduling without fixed batch windows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interactive agents, prioritize latency; for pipelines, prioritize throughput</w:t>
      </w:r>
    </w:p>
    <w:p>
      <w:r>
        <w:br w:type="page"/>
      </w:r>
    </w:p>
    <w:p>
      <w:pPr>
        <w:pStyle w:val="Heading1"/>
      </w:pPr>
      <w:r>
        <w:t xml:space="preserve">7. Integration into Agentic Architecture</w:t>
      </w:r>
    </w:p>
    <w:p>
      <w:pPr>
        <w:pStyle w:val="Heading2"/>
      </w:pPr>
      <w:r>
        <w:t xml:space="preserve">7.1 Heterogeneous Agent Architecture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emerging standard is SLM-default with LLM-fallback, creating a heterogeneous system that optimizes cost and capability: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SLM Layer: Handles 80-90% of routine tasks (extraction, routing, tool calling, schema enforcement)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LLM Layer: Reserved for ambiguous cases, complex reasoning, novel problems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Router: Uncertainty-aware routing based on task complexity and confidence scores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Verifier Cascade: Validates outputs before execution, triggering escalation on failure</w:t>
      </w:r>
    </w:p>
    <w:p>
      <w:pPr>
        <w:pStyle w:val="Heading2"/>
      </w:pPr>
      <w:r>
        <w:t xml:space="preserve">7.2 SLM-Suitable Tasks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Tasks where SLMs excel in agentic systems: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Entity Extraction: Named entities, dates, amounts from 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Intent Classification: Routing user requests to appropriate handlers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Tool Selection: Choosing which API/function to call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Parameter Extraction: Pulling arguments from natural language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JSON/Schema Generation: Structured output with guided decoding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Simple Summarization: Condensing content with known patterns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Format Transformation: Converting between data representations</w:t>
      </w:r>
    </w:p>
    <w:p>
      <w:pPr>
        <w:pStyle w:val="Heading2"/>
      </w:pPr>
      <w:r>
        <w:t xml:space="preserve">7.3 LLM Escalation Triggers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Escalate to LLM when: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SLM confidence score below threshold (e.g., &lt;0.7)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Schema validation fails after retry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Multi-hop reasoning required (3+ steps)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Open-ended generation requested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Ambiguous or novel task patterns detected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Safety-critical decisions (payments, PII, deletions)</w:t>
      </w:r>
    </w:p>
    <w:p>
      <w:pPr>
        <w:pStyle w:val="Heading2"/>
      </w:pPr>
      <w:r>
        <w:t xml:space="preserve">7.4 Guided Decoding Integration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Guided decoding libraries dramatically improve SLM reliability for agentic tasks: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XGrammar: Grammar-guided generation for strict schema compliance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Outlines: Structured generation with JSON Schema support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Benefits: Near-100% schema validity; reduced retries; predictable parsing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Implementation: Define JSON Schema, pass to guided decoding layer during inference</w:t>
      </w:r>
    </w:p>
    <w:p>
      <w:pPr>
        <w:pStyle w:val="Heading2"/>
      </w:pPr>
      <w:r>
        <w:t xml:space="preserve">7.5 Conversion Algorithm: LLM to SLM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NVIDIA proposes a systematic LLM-to-SLM conversion process: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Collect Task Traces: Log LLM interactions including inputs, outputs, and reasoning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Cluster and Analyze: Identify task patterns; 80% typically extraction/routing/tool-calling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 SLM Candidates: Match tasks to SLM capabilities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Fine-tune Specialists: Train SLMs on 10-50K traces per task type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Deploy with Router: Implement uncertainty-aware routing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Iterate: Retrain periodically with new traces and failure logs</w:t>
      </w:r>
    </w:p>
    <w:p>
      <w:r>
        <w:br w:type="page"/>
      </w:r>
    </w:p>
    <w:p>
      <w:pPr>
        <w:pStyle w:val="Heading1"/>
      </w:pPr>
      <w:r>
        <w:t xml:space="preserve">8. Implementation Recommendations</w:t>
      </w:r>
    </w:p>
    <w:p>
      <w:pPr>
        <w:pStyle w:val="Heading2"/>
      </w:pPr>
      <w:r>
        <w:t xml:space="preserve">8.1 Phased Migration Strategy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Phase 1: Identify Low-Hanging Fruit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Audit current LLM usage for task distribution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 2-3 high-volume, narrow tasks for initial SLM migration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Target: Entity extraction, intent classification, simple formatting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Phase 2: Fine-Tune and Validate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Collect 5-10K production traces per task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Fine-tune using QLoRA on chosen base model (Llama 3.2 3B or Qwen 2.5 7B recommended)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Benchmark against LLM baseline; target 95%+ task match rate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Phase 3: Deploy with Fallback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Deploy SLM behind router with uncertainty scoring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Route low-confidence requests to LLM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Monitor escalation rate; target &lt;10%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Phase 4: Scale and Optimize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more task types progressively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Implement guided decoding for structured outputs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Optimize inference with vLLM production stack</w:t>
      </w:r>
    </w:p>
    <w:p>
      <w:pPr>
        <w:pStyle w:val="Heading2"/>
      </w:pPr>
      <w:r>
        <w:t xml:space="preserve">8.2 Model Selection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Model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Entity Extraction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Llama 3.2 1B/3B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Fast, sufficient for structured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Tool Calling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Qwen 2.5 7B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Strong function calling; good JSON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Reasoning Tasks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Phi-4-Mini, DeepSeek-R1-Distill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Optimized for chain-of-thought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 Tasks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Qwen 2.5-Coder 7B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Code-specialized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Edge/Mobile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Gemma 2 2B, Phi-3-mini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Optimized for constrained environments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8.3 Cost-Benefit Analysis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Expected ROI from SLM migration: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Token Cost Reduction: 20-100x lower per-token costs vs cloud LLM APIs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Latency Improvement: 2-10x faster inference enabling real-time interactions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Infrastructure Savings: Run on smaller GPU instances (T4, A10 vs A100/H100)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Investment Required: Fine-tuning compute (hours to days), data preparation, routing infrastructure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Break-even: Typically achieved at 100K-1M daily requests depending on current LLM spend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shift toward Small Language Models in agentic AI represents a fundamental architectural evolution, not merely a cost optimization. Research and production evidence demonstrate that SLMs, when properly fine-tuned and deployed with appropriate tooling, can match or exceed larger models on focused tasks while dramatically reducing operational costs and latency.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The key success factors for SLM adoption include: high-quality task-specific training data, parameter-efficient fine-tuning techniques (LoRA/QLoRA), guided decoding for structured outputs, and heterogeneous architectures with intelligent routing to LLM fallback.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Organizations beginning this journey should start with well-defined, high-volume tasks where SLMs demonstrate clear advantages: entity extraction, tool calling, classification, and schema-constrained generation. As the ecosystem matures, expect continued improvement in SLM capabilities and tooling, further accelerating the transition to efficient, specialized AI agents.</w:t>
      </w:r>
    </w:p>
    <w:p>
      <w:pPr>
        <w:spacing w:after="400"/>
      </w:pPr>
    </w:p>
    <w:p>
      <w:pPr>
        <w:pStyle w:val="Heading1"/>
      </w:pPr>
      <w:r>
        <w:t xml:space="preserve">Key References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Belcak et al. (2025). “Small Language Models are the Future of Agentic AI.” NVIDIA Research. arXiv:2506.02153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Sharma &amp; Mehta (2025). “Small Language Models for Agentic Systems: A Survey.” arXiv:2510.03847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Hu et al. (2022). “LoRA: Low-Rank Adaptation of Large Language Models.” ICLR 2022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Dettmers et al. (2023). “QLoRA: Efficient Finetuning of Quantized LLMs.” NeurIPS 2023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Thinking Machines Lab (2025). “LoRA Without Regret.”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vLLM Project (2025). Production Stack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HuggingFace (2024). TGI v3.0 Release Notes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SLM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2026-01-31T17:26:46.599Z</dcterms:created>
  <dcterms:modified xsi:type="dcterms:W3CDTF">2026-01-31T17:26:46.600Z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