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Criação dos simulados da OBB com apoio do NotebookLM</w:t>
      </w:r>
    </w:p>
    <w:p>
      <w:pPr>
        <w:spacing w:after="280"/>
      </w:pPr>
      <w:r>
        <w:rPr>
          <w:rFonts w:ascii="Arial" w:hAnsi="Arial"/>
          <w:b/>
          <w:color w:val="444444"/>
          <w:sz w:val="24"/>
        </w:rPr>
        <w:t>Proposta de organização das fontes, análise por áreas e publicação na plataforma</w:t>
      </w:r>
    </w:p>
    <w:p>
      <w:r>
        <w:rPr>
          <w:rFonts w:ascii="Arial" w:hAnsi="Arial"/>
          <w:b w:val="0"/>
          <w:color w:val="000000"/>
          <w:sz w:val="21"/>
        </w:rPr>
        <w:t>Este relatório apresenta uma forma simples e organizada de usar as provas disponíveis no Drive para produzir diagnósticos e simulados da Olimpíada Brasileira de Biologia. A proposta é trabalhar com dois cadernos no NotebookLM, um para cada fase, e classificar cada questão em uma única área de Biologia. As questões novas serão elaboradas com base no perfil das provas anteriores, revisadas pela equipe e, depois, colocadas no modelo de importação da plataforma Olympic School.</w:t>
      </w:r>
    </w:p>
    <w:p>
      <w:pPr>
        <w:pStyle w:val="Heading1"/>
      </w:pPr>
      <w:r>
        <w:t>1 Organização recomendada</w:t>
      </w:r>
    </w:p>
    <w:p>
      <w:r>
        <w:rPr>
          <w:rFonts w:ascii="Arial" w:hAnsi="Arial"/>
          <w:b w:val="0"/>
          <w:color w:val="000000"/>
          <w:sz w:val="21"/>
        </w:rPr>
        <w:t>A criação de dois cadernos é a melhor opção para o projeto. A 1ª e a 2ª fases possuem quantidades de questões e níveis de exigência diferentes. Separá-las evita misturas durante a análise e facilita a criação de simulados adequados a cada etapa. Como os cadernos do NotebookLM não consultam um ao outro, os resultados dos dois serão reunidos em uma planilha de acompanhamento no Drive.</w:t>
      </w:r>
    </w:p>
    <w:tbl>
      <w:tblPr>
        <w:tblW w:type="auto" w:w="0"/>
        <w:jc w:val="center"/>
        <w:tblLayout w:type="fixed"/>
        <w:tblLook w:firstColumn="1" w:firstRow="1" w:lastColumn="0" w:lastRow="0" w:noHBand="0" w:noVBand="1" w:val="04A0"/>
      </w:tblPr>
      <w:tblGrid>
        <w:gridCol w:w="3135"/>
        <w:gridCol w:w="3135"/>
        <w:gridCol w:w="3135"/>
      </w:tblGrid>
      <w:tr>
        <w:trPr>
          <w:tblHeader w:val="true"/>
        </w:trPr>
        <w:tc>
          <w:tcPr>
            <w:tcW w:type="dxa" w:w="1814"/>
            <w:shd w:fill="173F5F"/>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tcPr>
          <w:p>
            <w:pPr>
              <w:spacing w:after="0"/>
              <w:jc w:val="center"/>
            </w:pPr>
            <w:r>
              <w:rPr>
                <w:rFonts w:ascii="Arial" w:hAnsi="Arial"/>
                <w:b/>
                <w:color w:val="FFFFFF"/>
                <w:sz w:val="18"/>
              </w:rPr>
              <w:t>Caderno</w:t>
            </w:r>
          </w:p>
        </w:tc>
        <w:tc>
          <w:tcPr>
            <w:tcW w:type="dxa" w:w="3855"/>
            <w:shd w:fill="173F5F"/>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tcPr>
          <w:p>
            <w:pPr>
              <w:spacing w:after="0"/>
              <w:jc w:val="center"/>
            </w:pPr>
            <w:r>
              <w:rPr>
                <w:rFonts w:ascii="Arial" w:hAnsi="Arial"/>
                <w:b/>
                <w:color w:val="FFFFFF"/>
                <w:sz w:val="18"/>
              </w:rPr>
              <w:t>Fontes</w:t>
            </w:r>
          </w:p>
        </w:tc>
        <w:tc>
          <w:tcPr>
            <w:tcW w:type="dxa" w:w="3969"/>
            <w:shd w:fill="173F5F"/>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tcPr>
          <w:p>
            <w:pPr>
              <w:spacing w:after="0"/>
              <w:jc w:val="center"/>
            </w:pPr>
            <w:r>
              <w:rPr>
                <w:rFonts w:ascii="Arial" w:hAnsi="Arial"/>
                <w:b/>
                <w:color w:val="FFFFFF"/>
                <w:sz w:val="18"/>
              </w:rPr>
              <w:t>Objetivo</w:t>
            </w:r>
          </w:p>
        </w:tc>
      </w:tr>
      <w:tr>
        <w:trPr>
          <w:cantSplit/>
        </w:trPr>
        <w:tc>
          <w:tcPr>
            <w:tcW w:type="dxa" w:w="1814"/>
            <w:shd w:fill="FFFFFF"/>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tcPr>
          <w:p>
            <w:pPr>
              <w:spacing w:after="0" w:line="252" w:lineRule="auto"/>
              <w:jc w:val="center"/>
            </w:pPr>
            <w:r>
              <w:rPr>
                <w:rFonts w:ascii="Arial" w:hAnsi="Arial"/>
                <w:b w:val="0"/>
                <w:color w:val="000000"/>
                <w:sz w:val="17"/>
              </w:rPr>
              <w:t>OBB 1ª fase</w:t>
            </w:r>
          </w:p>
        </w:tc>
        <w:tc>
          <w:tcPr>
            <w:tcW w:type="dxa" w:w="3855"/>
            <w:shd w:fill="FFFFFF"/>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tcPr>
          <w:p>
            <w:pPr>
              <w:spacing w:after="0" w:line="252" w:lineRule="auto"/>
              <w:jc w:val="left"/>
            </w:pPr>
            <w:r>
              <w:rPr>
                <w:rFonts w:ascii="Arial" w:hAnsi="Arial"/>
                <w:b w:val="0"/>
                <w:color w:val="000000"/>
                <w:sz w:val="17"/>
              </w:rPr>
              <w:t>Provas e gabaritos da 1ª fase disponíveis no Drive</w:t>
            </w:r>
          </w:p>
        </w:tc>
        <w:tc>
          <w:tcPr>
            <w:tcW w:type="dxa" w:w="3969"/>
            <w:shd w:fill="FFFFFF"/>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tcPr>
          <w:p>
            <w:pPr>
              <w:spacing w:after="0" w:line="252" w:lineRule="auto"/>
              <w:jc w:val="left"/>
            </w:pPr>
            <w:r>
              <w:rPr>
                <w:rFonts w:ascii="Arial" w:hAnsi="Arial"/>
                <w:b w:val="0"/>
                <w:color w:val="000000"/>
                <w:sz w:val="17"/>
              </w:rPr>
              <w:t>Identificar áreas mais cobradas, nível das questões e formato da 1ª fase</w:t>
            </w:r>
          </w:p>
        </w:tc>
      </w:tr>
      <w:tr>
        <w:trPr>
          <w:cantSplit/>
        </w:trPr>
        <w:tc>
          <w:tcPr>
            <w:tcW w:type="dxa" w:w="1814"/>
            <w:shd w:fill="EAF2F8"/>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tcPr>
          <w:p>
            <w:pPr>
              <w:spacing w:after="0" w:line="252" w:lineRule="auto"/>
              <w:jc w:val="center"/>
            </w:pPr>
            <w:r>
              <w:rPr>
                <w:rFonts w:ascii="Arial" w:hAnsi="Arial"/>
                <w:b w:val="0"/>
                <w:color w:val="000000"/>
                <w:sz w:val="17"/>
              </w:rPr>
              <w:t>OBB 2ª fase</w:t>
            </w:r>
          </w:p>
        </w:tc>
        <w:tc>
          <w:tcPr>
            <w:tcW w:type="dxa" w:w="3855"/>
            <w:shd w:fill="EAF2F8"/>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tcPr>
          <w:p>
            <w:pPr>
              <w:spacing w:after="0" w:line="252" w:lineRule="auto"/>
              <w:jc w:val="left"/>
            </w:pPr>
            <w:r>
              <w:rPr>
                <w:rFonts w:ascii="Arial" w:hAnsi="Arial"/>
                <w:b w:val="0"/>
                <w:color w:val="000000"/>
                <w:sz w:val="17"/>
              </w:rPr>
              <w:t>Provas e gabaritos da 2ª fase disponíveis no Drive</w:t>
            </w:r>
          </w:p>
        </w:tc>
        <w:tc>
          <w:tcPr>
            <w:tcW w:type="dxa" w:w="3969"/>
            <w:shd w:fill="EAF2F8"/>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tcPr>
          <w:p>
            <w:pPr>
              <w:spacing w:after="0" w:line="252" w:lineRule="auto"/>
              <w:jc w:val="left"/>
            </w:pPr>
            <w:r>
              <w:rPr>
                <w:rFonts w:ascii="Arial" w:hAnsi="Arial"/>
                <w:b w:val="0"/>
                <w:color w:val="000000"/>
                <w:sz w:val="17"/>
              </w:rPr>
              <w:t>Identificar áreas mais cobradas, nível das questões e formato da 2ª fase</w:t>
            </w:r>
          </w:p>
        </w:tc>
      </w:tr>
    </w:tbl>
    <w:p>
      <w:pPr>
        <w:spacing w:after="0"/>
      </w:pPr>
    </w:p>
    <w:p>
      <w:r>
        <w:rPr>
          <w:rFonts w:ascii="Arial" w:hAnsi="Arial"/>
          <w:b w:val="0"/>
          <w:color w:val="000000"/>
          <w:sz w:val="21"/>
        </w:rPr>
        <w:t>Cada caderno também deve conter o conteúdo programático oficial da OBB e o documento com as regras de classificação adotadas pela equipe. Livros e materiais de referência podem ser incluídos para conferir conceitos, mas as provas e os gabaritos oficiais continuam sendo as fontes principais da análise.</w:t>
      </w:r>
    </w:p>
    <w:p>
      <w:pPr>
        <w:pStyle w:val="Heading1"/>
      </w:pPr>
      <w:r>
        <w:t>2 Divisão das questões por áreas</w:t>
      </w:r>
    </w:p>
    <w:p>
      <w:r>
        <w:rPr>
          <w:rFonts w:ascii="Arial" w:hAnsi="Arial"/>
          <w:b w:val="0"/>
          <w:color w:val="000000"/>
          <w:sz w:val="21"/>
        </w:rPr>
        <w:t>Para o diagnóstico e para os simulados, cada questão terá somente uma área principal. A área será escolhida pelo conhecimento necessário para chegar à resposta correta, e não apenas pelo tema usado no contexto do enunciado. As interconexões entre conteúdos podem aparecer na explicação, mas não serão usadas como categoria de resultado.</w:t>
      </w:r>
    </w:p>
    <w:p>
      <w:r>
        <w:rPr>
          <w:rFonts w:ascii="Arial" w:hAnsi="Arial"/>
          <w:b w:val="0"/>
          <w:color w:val="000000"/>
          <w:sz w:val="21"/>
        </w:rPr>
        <w:t>A divisão proposta segue as oito áreas apresentadas no conteúdo programático oficial da OBB:</w:t>
      </w:r>
    </w:p>
    <w:tbl>
      <w:tblPr>
        <w:tblW w:type="auto" w:w="0"/>
        <w:jc w:val="center"/>
        <w:tblLayout w:type="fixed"/>
        <w:tblLook w:firstColumn="1" w:firstRow="1" w:lastColumn="0" w:lastRow="0" w:noHBand="0" w:noVBand="1" w:val="04A0"/>
      </w:tblPr>
      <w:tblGrid>
        <w:gridCol w:w="4703"/>
        <w:gridCol w:w="4703"/>
      </w:tblGrid>
      <w:tr>
        <w:trPr>
          <w:tblHeader w:val="true"/>
        </w:trPr>
        <w:tc>
          <w:tcPr>
            <w:tcW w:type="dxa" w:w="2948"/>
            <w:shd w:fill="173F5F"/>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tcPr>
          <w:p>
            <w:pPr>
              <w:spacing w:after="0"/>
              <w:jc w:val="center"/>
            </w:pPr>
            <w:r>
              <w:rPr>
                <w:rFonts w:ascii="Arial" w:hAnsi="Arial"/>
                <w:b/>
                <w:color w:val="FFFFFF"/>
                <w:sz w:val="18"/>
              </w:rPr>
              <w:t>Área</w:t>
            </w:r>
          </w:p>
        </w:tc>
        <w:tc>
          <w:tcPr>
            <w:tcW w:type="dxa" w:w="6690"/>
            <w:shd w:fill="173F5F"/>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tcPr>
          <w:p>
            <w:pPr>
              <w:spacing w:after="0"/>
              <w:jc w:val="center"/>
            </w:pPr>
            <w:r>
              <w:rPr>
                <w:rFonts w:ascii="Arial" w:hAnsi="Arial"/>
                <w:b/>
                <w:color w:val="FFFFFF"/>
                <w:sz w:val="18"/>
              </w:rPr>
              <w:t>Conteúdos principais</w:t>
            </w:r>
          </w:p>
        </w:tc>
      </w:tr>
      <w:tr>
        <w:trPr>
          <w:cantSplit/>
        </w:trPr>
        <w:tc>
          <w:tcPr>
            <w:tcW w:type="dxa" w:w="2948"/>
            <w:shd w:fill="FFFFFF"/>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tcPr>
          <w:p>
            <w:pPr>
              <w:spacing w:after="0" w:line="252" w:lineRule="auto"/>
              <w:jc w:val="center"/>
            </w:pPr>
            <w:r>
              <w:rPr>
                <w:rFonts w:ascii="Arial" w:hAnsi="Arial"/>
                <w:b w:val="0"/>
                <w:color w:val="000000"/>
                <w:sz w:val="17"/>
              </w:rPr>
              <w:t>Citologia</w:t>
            </w:r>
          </w:p>
        </w:tc>
        <w:tc>
          <w:tcPr>
            <w:tcW w:type="dxa" w:w="6690"/>
            <w:shd w:fill="FFFFFF"/>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tcPr>
          <w:p>
            <w:pPr>
              <w:spacing w:after="0" w:line="252" w:lineRule="auto"/>
              <w:jc w:val="left"/>
            </w:pPr>
            <w:r>
              <w:rPr>
                <w:rFonts w:ascii="Arial" w:hAnsi="Arial"/>
                <w:b w:val="0"/>
                <w:color w:val="000000"/>
                <w:sz w:val="17"/>
              </w:rPr>
              <w:t>Células, bioquímica, metabolismo, biologia molecular, vírus e imunologia básica</w:t>
            </w:r>
          </w:p>
        </w:tc>
      </w:tr>
      <w:tr>
        <w:trPr>
          <w:cantSplit/>
        </w:trPr>
        <w:tc>
          <w:tcPr>
            <w:tcW w:type="dxa" w:w="2948"/>
            <w:shd w:fill="EAF2F8"/>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tcPr>
          <w:p>
            <w:pPr>
              <w:spacing w:after="0" w:line="252" w:lineRule="auto"/>
              <w:jc w:val="center"/>
            </w:pPr>
            <w:r>
              <w:rPr>
                <w:rFonts w:ascii="Arial" w:hAnsi="Arial"/>
                <w:b w:val="0"/>
                <w:color w:val="000000"/>
                <w:sz w:val="17"/>
              </w:rPr>
              <w:t>Botânica</w:t>
            </w:r>
          </w:p>
        </w:tc>
        <w:tc>
          <w:tcPr>
            <w:tcW w:type="dxa" w:w="6690"/>
            <w:shd w:fill="EAF2F8"/>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tcPr>
          <w:p>
            <w:pPr>
              <w:spacing w:after="0" w:line="252" w:lineRule="auto"/>
              <w:jc w:val="left"/>
            </w:pPr>
            <w:r>
              <w:rPr>
                <w:rFonts w:ascii="Arial" w:hAnsi="Arial"/>
                <w:b w:val="0"/>
                <w:color w:val="000000"/>
                <w:sz w:val="17"/>
              </w:rPr>
              <w:t>Anatomia, fisiologia, reprodução e diversidade vegetal</w:t>
            </w:r>
          </w:p>
        </w:tc>
      </w:tr>
      <w:tr>
        <w:trPr>
          <w:cantSplit/>
        </w:trPr>
        <w:tc>
          <w:tcPr>
            <w:tcW w:type="dxa" w:w="2948"/>
            <w:shd w:fill="FFFFFF"/>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tcPr>
          <w:p>
            <w:pPr>
              <w:spacing w:after="0" w:line="252" w:lineRule="auto"/>
              <w:jc w:val="center"/>
            </w:pPr>
            <w:r>
              <w:rPr>
                <w:rFonts w:ascii="Arial" w:hAnsi="Arial"/>
                <w:b w:val="0"/>
                <w:color w:val="000000"/>
                <w:sz w:val="17"/>
              </w:rPr>
              <w:t>Zoologia e fisiologia animal</w:t>
            </w:r>
          </w:p>
        </w:tc>
        <w:tc>
          <w:tcPr>
            <w:tcW w:type="dxa" w:w="6690"/>
            <w:shd w:fill="FFFFFF"/>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tcPr>
          <w:p>
            <w:pPr>
              <w:spacing w:after="0" w:line="252" w:lineRule="auto"/>
              <w:jc w:val="left"/>
            </w:pPr>
            <w:r>
              <w:rPr>
                <w:rFonts w:ascii="Arial" w:hAnsi="Arial"/>
                <w:b w:val="0"/>
                <w:color w:val="000000"/>
                <w:sz w:val="17"/>
              </w:rPr>
              <w:t>Zoologia, anatomia, histologia, fisiologia e embriologia animal ou humana</w:t>
            </w:r>
          </w:p>
        </w:tc>
      </w:tr>
      <w:tr>
        <w:trPr>
          <w:cantSplit/>
        </w:trPr>
        <w:tc>
          <w:tcPr>
            <w:tcW w:type="dxa" w:w="2948"/>
            <w:shd w:fill="EAF2F8"/>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tcPr>
          <w:p>
            <w:pPr>
              <w:spacing w:after="0" w:line="252" w:lineRule="auto"/>
              <w:jc w:val="center"/>
            </w:pPr>
            <w:r>
              <w:rPr>
                <w:rFonts w:ascii="Arial" w:hAnsi="Arial"/>
                <w:b w:val="0"/>
                <w:color w:val="000000"/>
                <w:sz w:val="17"/>
              </w:rPr>
              <w:t>Genética e evolução</w:t>
            </w:r>
          </w:p>
        </w:tc>
        <w:tc>
          <w:tcPr>
            <w:tcW w:type="dxa" w:w="6690"/>
            <w:shd w:fill="EAF2F8"/>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tcPr>
          <w:p>
            <w:pPr>
              <w:spacing w:after="0" w:line="252" w:lineRule="auto"/>
              <w:jc w:val="left"/>
            </w:pPr>
            <w:r>
              <w:rPr>
                <w:rFonts w:ascii="Arial" w:hAnsi="Arial"/>
                <w:b w:val="0"/>
                <w:color w:val="000000"/>
                <w:sz w:val="17"/>
              </w:rPr>
              <w:t>Herança, mutações, biotecnologia, genética de populações e evolução</w:t>
            </w:r>
          </w:p>
        </w:tc>
      </w:tr>
      <w:tr>
        <w:trPr>
          <w:cantSplit/>
        </w:trPr>
        <w:tc>
          <w:tcPr>
            <w:tcW w:type="dxa" w:w="2948"/>
            <w:shd w:fill="FFFFFF"/>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tcPr>
          <w:p>
            <w:pPr>
              <w:spacing w:after="0" w:line="252" w:lineRule="auto"/>
              <w:jc w:val="center"/>
            </w:pPr>
            <w:r>
              <w:rPr>
                <w:rFonts w:ascii="Arial" w:hAnsi="Arial"/>
                <w:b w:val="0"/>
                <w:color w:val="000000"/>
                <w:sz w:val="17"/>
              </w:rPr>
              <w:t>Ecologia</w:t>
            </w:r>
          </w:p>
        </w:tc>
        <w:tc>
          <w:tcPr>
            <w:tcW w:type="dxa" w:w="6690"/>
            <w:shd w:fill="FFFFFF"/>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tcPr>
          <w:p>
            <w:pPr>
              <w:spacing w:after="0" w:line="252" w:lineRule="auto"/>
              <w:jc w:val="left"/>
            </w:pPr>
            <w:r>
              <w:rPr>
                <w:rFonts w:ascii="Arial" w:hAnsi="Arial"/>
                <w:b w:val="0"/>
                <w:color w:val="000000"/>
                <w:sz w:val="17"/>
              </w:rPr>
              <w:t>Populações, comunidades, energia, ciclos, biomas e impactos ambientais</w:t>
            </w:r>
          </w:p>
        </w:tc>
      </w:tr>
      <w:tr>
        <w:trPr>
          <w:cantSplit/>
        </w:trPr>
        <w:tc>
          <w:tcPr>
            <w:tcW w:type="dxa" w:w="2948"/>
            <w:shd w:fill="EAF2F8"/>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tcPr>
          <w:p>
            <w:pPr>
              <w:spacing w:after="0" w:line="252" w:lineRule="auto"/>
              <w:jc w:val="center"/>
            </w:pPr>
            <w:r>
              <w:rPr>
                <w:rFonts w:ascii="Arial" w:hAnsi="Arial"/>
                <w:b w:val="0"/>
                <w:color w:val="000000"/>
                <w:sz w:val="17"/>
              </w:rPr>
              <w:t>Etologia</w:t>
            </w:r>
          </w:p>
        </w:tc>
        <w:tc>
          <w:tcPr>
            <w:tcW w:type="dxa" w:w="6690"/>
            <w:shd w:fill="EAF2F8"/>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tcPr>
          <w:p>
            <w:pPr>
              <w:spacing w:after="0" w:line="252" w:lineRule="auto"/>
              <w:jc w:val="left"/>
            </w:pPr>
            <w:r>
              <w:rPr>
                <w:rFonts w:ascii="Arial" w:hAnsi="Arial"/>
                <w:b w:val="0"/>
                <w:color w:val="000000"/>
                <w:sz w:val="17"/>
              </w:rPr>
              <w:t>Comportamento, aprendizagem, instinto e seleção sexual</w:t>
            </w:r>
          </w:p>
        </w:tc>
      </w:tr>
      <w:tr>
        <w:trPr>
          <w:cantSplit/>
        </w:trPr>
        <w:tc>
          <w:tcPr>
            <w:tcW w:type="dxa" w:w="2948"/>
            <w:shd w:fill="FFFFFF"/>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tcPr>
          <w:p>
            <w:pPr>
              <w:spacing w:after="0" w:line="252" w:lineRule="auto"/>
              <w:jc w:val="center"/>
            </w:pPr>
            <w:r>
              <w:rPr>
                <w:rFonts w:ascii="Arial" w:hAnsi="Arial"/>
                <w:b w:val="0"/>
                <w:color w:val="000000"/>
                <w:sz w:val="17"/>
              </w:rPr>
              <w:t>Biossistemática</w:t>
            </w:r>
          </w:p>
        </w:tc>
        <w:tc>
          <w:tcPr>
            <w:tcW w:type="dxa" w:w="6690"/>
            <w:shd w:fill="FFFFFF"/>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tcPr>
          <w:p>
            <w:pPr>
              <w:spacing w:after="0" w:line="252" w:lineRule="auto"/>
              <w:jc w:val="left"/>
            </w:pPr>
            <w:r>
              <w:rPr>
                <w:rFonts w:ascii="Arial" w:hAnsi="Arial"/>
                <w:b w:val="0"/>
                <w:color w:val="000000"/>
                <w:sz w:val="17"/>
              </w:rPr>
              <w:t>Classificação dos seres vivos e análise de cladogramas</w:t>
            </w:r>
          </w:p>
        </w:tc>
      </w:tr>
      <w:tr>
        <w:trPr>
          <w:cantSplit/>
        </w:trPr>
        <w:tc>
          <w:tcPr>
            <w:tcW w:type="dxa" w:w="2948"/>
            <w:shd w:fill="EAF2F8"/>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tcPr>
          <w:p>
            <w:pPr>
              <w:spacing w:after="0" w:line="252" w:lineRule="auto"/>
              <w:jc w:val="center"/>
            </w:pPr>
            <w:r>
              <w:rPr>
                <w:rFonts w:ascii="Arial" w:hAnsi="Arial"/>
                <w:b w:val="0"/>
                <w:color w:val="000000"/>
                <w:sz w:val="17"/>
              </w:rPr>
              <w:t>Noções de farmacologia</w:t>
            </w:r>
          </w:p>
        </w:tc>
        <w:tc>
          <w:tcPr>
            <w:tcW w:type="dxa" w:w="6690"/>
            <w:shd w:fill="EAF2F8"/>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tcPr>
          <w:p>
            <w:pPr>
              <w:spacing w:after="0" w:line="252" w:lineRule="auto"/>
              <w:jc w:val="left"/>
            </w:pPr>
            <w:r>
              <w:rPr>
                <w:rFonts w:ascii="Arial" w:hAnsi="Arial"/>
                <w:b w:val="0"/>
                <w:color w:val="000000"/>
                <w:sz w:val="17"/>
              </w:rPr>
              <w:t>Ação de fármacos, toxicologia e tratamentos previstos no programa</w:t>
            </w:r>
          </w:p>
        </w:tc>
      </w:tr>
    </w:tbl>
    <w:p>
      <w:pPr>
        <w:spacing w:after="0"/>
      </w:pPr>
    </w:p>
    <w:p>
      <w:r>
        <w:rPr>
          <w:rFonts w:ascii="Arial" w:hAnsi="Arial"/>
          <w:b w:val="0"/>
          <w:color w:val="000000"/>
          <w:sz w:val="21"/>
        </w:rPr>
        <w:t>Além da área, a equipe poderá registrar uma habilidade mais específica, como transporte de membrana, genética mendeliana ou ciclos biogeoquímicos. Assim, a plataforma apresenta um resultado geral por área e mantém detalhes suficientes para orientar os estudos.</w:t>
      </w:r>
    </w:p>
    <w:p>
      <w:pPr>
        <w:pStyle w:val="Heading1"/>
      </w:pPr>
      <w:r>
        <w:t>3 Como as provas serão analisadas</w:t>
      </w:r>
    </w:p>
    <w:p>
      <w:pPr>
        <w:pStyle w:val="ListNumber"/>
      </w:pPr>
      <w:r>
        <w:rPr>
          <w:rFonts w:ascii="Arial" w:hAnsi="Arial"/>
          <w:b w:val="0"/>
          <w:color w:val="000000"/>
          <w:sz w:val="21"/>
        </w:rPr>
        <w:t>Organizar no Drive as dez edições disponíveis, separando prova e gabarito definitivo por fase e por ano.</w:t>
      </w:r>
    </w:p>
    <w:p>
      <w:pPr>
        <w:pStyle w:val="ListNumber"/>
      </w:pPr>
      <w:r>
        <w:rPr>
          <w:rFonts w:ascii="Arial" w:hAnsi="Arial"/>
          <w:b w:val="0"/>
          <w:color w:val="000000"/>
          <w:sz w:val="21"/>
        </w:rPr>
        <w:t>Adicionar as fontes da 1ª fase ao primeiro caderno e as fontes da 2ª fase ao segundo caderno.</w:t>
      </w:r>
    </w:p>
    <w:p>
      <w:pPr>
        <w:pStyle w:val="ListNumber"/>
      </w:pPr>
      <w:r>
        <w:rPr>
          <w:rFonts w:ascii="Arial" w:hAnsi="Arial"/>
          <w:b w:val="0"/>
          <w:color w:val="000000"/>
          <w:sz w:val="21"/>
        </w:rPr>
        <w:t>Analisar uma edição por vez. O NotebookLM deverá identificar a área principal, a habilidade, o nível de dificuldade e o gabarito de cada questão.</w:t>
      </w:r>
    </w:p>
    <w:p>
      <w:pPr>
        <w:pStyle w:val="ListNumber"/>
      </w:pPr>
      <w:r>
        <w:rPr>
          <w:rFonts w:ascii="Arial" w:hAnsi="Arial"/>
          <w:b w:val="0"/>
          <w:color w:val="000000"/>
          <w:sz w:val="21"/>
        </w:rPr>
        <w:t>Conferir as citações apresentadas pelo NotebookLM e comparar as respostas com o gabarito definitivo.</w:t>
      </w:r>
    </w:p>
    <w:p>
      <w:pPr>
        <w:pStyle w:val="ListNumber"/>
      </w:pPr>
      <w:r>
        <w:rPr>
          <w:rFonts w:ascii="Arial" w:hAnsi="Arial"/>
          <w:b w:val="0"/>
          <w:color w:val="000000"/>
          <w:sz w:val="21"/>
        </w:rPr>
        <w:t>Revisar a classificação com a professora ou com outro responsável pela área de Biologia.</w:t>
      </w:r>
    </w:p>
    <w:p>
      <w:pPr>
        <w:pStyle w:val="ListNumber"/>
      </w:pPr>
      <w:r>
        <w:rPr>
          <w:rFonts w:ascii="Arial" w:hAnsi="Arial"/>
          <w:b w:val="0"/>
          <w:color w:val="000000"/>
          <w:sz w:val="21"/>
        </w:rPr>
        <w:t>Registrar os resultados aprovados em uma planilha única no Drive.</w:t>
      </w:r>
    </w:p>
    <w:p>
      <w:pPr>
        <w:pStyle w:val="ListNumber"/>
      </w:pPr>
      <w:r>
        <w:rPr>
          <w:rFonts w:ascii="Arial" w:hAnsi="Arial"/>
          <w:b w:val="0"/>
          <w:color w:val="000000"/>
          <w:sz w:val="21"/>
        </w:rPr>
        <w:t>Ao final, calcular separadamente a frequência das áreas na 1ª e na 2ª fases.</w:t>
      </w:r>
    </w:p>
    <w:p>
      <w:r>
        <w:rPr>
          <w:rFonts w:ascii="Arial" w:hAnsi="Arial"/>
          <w:b w:val="0"/>
          <w:color w:val="000000"/>
          <w:sz w:val="21"/>
        </w:rPr>
        <w:t>Os percentuais que já aparecem no relatório parcial podem ser mantidos como resultados iniciais. Depois da classificação completa das dez edições, eles devem ser recalculados a partir da planilha revisada. Isso permitirá apresentar no relatório final quantas questões foram analisadas e como cada percentual foi obtido.</w:t>
      </w:r>
    </w:p>
    <w:p>
      <w:pPr>
        <w:pStyle w:val="Heading1"/>
      </w:pPr>
      <w:r>
        <w:t>4 Como os simulados serão criados</w:t>
      </w:r>
    </w:p>
    <w:p>
      <w:r>
        <w:rPr>
          <w:rFonts w:ascii="Arial" w:hAnsi="Arial"/>
          <w:b w:val="0"/>
          <w:color w:val="000000"/>
          <w:sz w:val="21"/>
        </w:rPr>
        <w:t>As provas anteriores serão usadas para compreender o estilo da OBB, a frequência das áreas, a dificuldade e os tipos de raciocínio exigidos. Os simulados serão autorais. A equipe não deve copiar enunciados ou apenas trocar nomes e números de questões já existentes.</w:t>
      </w:r>
    </w:p>
    <w:p>
      <w:pPr>
        <w:pStyle w:val="ListBullet"/>
      </w:pPr>
      <w:r>
        <w:rPr>
          <w:rFonts w:ascii="Arial" w:hAnsi="Arial"/>
          <w:b w:val="0"/>
          <w:color w:val="000000"/>
          <w:sz w:val="21"/>
        </w:rPr>
        <w:t>Definir a matriz do simulado, indicando quantas questões serão destinadas a cada área.</w:t>
      </w:r>
    </w:p>
    <w:p>
      <w:pPr>
        <w:pStyle w:val="ListBullet"/>
      </w:pPr>
      <w:r>
        <w:rPr>
          <w:rFonts w:ascii="Arial" w:hAnsi="Arial"/>
          <w:b w:val="0"/>
          <w:color w:val="000000"/>
          <w:sz w:val="21"/>
        </w:rPr>
        <w:t>Escolher habilidades e níveis de dificuldade de acordo com o perfil encontrado nas provas anteriores.</w:t>
      </w:r>
    </w:p>
    <w:p>
      <w:pPr>
        <w:pStyle w:val="ListBullet"/>
      </w:pPr>
      <w:r>
        <w:rPr>
          <w:rFonts w:ascii="Arial" w:hAnsi="Arial"/>
          <w:b w:val="0"/>
          <w:color w:val="000000"/>
          <w:sz w:val="21"/>
        </w:rPr>
        <w:t>Usar o NotebookLM para sugerir ideias e rascunhos fundamentados nas fontes do caderno correspondente.</w:t>
      </w:r>
    </w:p>
    <w:p>
      <w:pPr>
        <w:pStyle w:val="ListBullet"/>
      </w:pPr>
      <w:r>
        <w:rPr>
          <w:rFonts w:ascii="Arial" w:hAnsi="Arial"/>
          <w:b w:val="0"/>
          <w:color w:val="000000"/>
          <w:sz w:val="21"/>
        </w:rPr>
        <w:t>Reescrever e revisar cada questão para garantir clareza, originalidade e adequação à fase.</w:t>
      </w:r>
    </w:p>
    <w:p>
      <w:pPr>
        <w:pStyle w:val="ListBullet"/>
      </w:pPr>
      <w:r>
        <w:rPr>
          <w:rFonts w:ascii="Arial" w:hAnsi="Arial"/>
          <w:b w:val="0"/>
          <w:color w:val="000000"/>
          <w:sz w:val="21"/>
        </w:rPr>
        <w:t>Conferir se existe apenas uma alternativa correta e se a explicação do gabarito está completa.</w:t>
      </w:r>
    </w:p>
    <w:p>
      <w:pPr>
        <w:pStyle w:val="ListBullet"/>
      </w:pPr>
      <w:r>
        <w:rPr>
          <w:rFonts w:ascii="Arial" w:hAnsi="Arial"/>
          <w:b w:val="0"/>
          <w:color w:val="000000"/>
          <w:sz w:val="21"/>
        </w:rPr>
        <w:t>Realizar uma revisão final por um responsável de Biologia antes da inclusão na plataforma.</w:t>
      </w:r>
    </w:p>
    <w:p>
      <w:pPr>
        <w:pStyle w:val="ListBullet"/>
      </w:pPr>
      <w:r>
        <w:rPr>
          <w:rFonts w:ascii="Arial" w:hAnsi="Arial"/>
          <w:b w:val="0"/>
          <w:color w:val="000000"/>
          <w:sz w:val="21"/>
        </w:rPr>
        <w:t>Preencher o arquivo CSV e testar a importação antes de liberar o simulado aos estudantes.</w:t>
      </w:r>
    </w:p>
    <w:p>
      <w:r>
        <w:rPr>
          <w:rFonts w:ascii="Arial" w:hAnsi="Arial"/>
          <w:b w:val="0"/>
          <w:color w:val="000000"/>
          <w:sz w:val="21"/>
        </w:rPr>
        <w:t>Como referência atual, a 1ª fase da OBB possui 25 questões e a 2ª fase possui 30 questões, ambas com duração entre 30 e 90 minutos. Essa estrutura pode orientar os simulados, mas deve ser conferida no regulamento de cada nova edição.</w:t>
      </w:r>
    </w:p>
    <w:p>
      <w:pPr>
        <w:pStyle w:val="Heading1"/>
      </w:pPr>
      <w:r>
        <w:t>5 Diagnóstico e avaliação final</w:t>
      </w:r>
    </w:p>
    <w:p>
      <w:r>
        <w:rPr>
          <w:rFonts w:ascii="Arial" w:hAnsi="Arial"/>
          <w:b w:val="0"/>
          <w:color w:val="000000"/>
          <w:sz w:val="21"/>
        </w:rPr>
        <w:t>O diagnóstico precisa mostrar o desempenho dos estudantes em todas as áreas. Por isso, ele deve ter uma distribuição mais equilibrada do que um simulado comum. Em uma avaliação de 25 questões, recomenda-se usar pelo menos duas questões de cada área e distribuir as demais conforme a frequência observada nas provas.</w:t>
      </w:r>
    </w:p>
    <w:p>
      <w:r>
        <w:rPr>
          <w:rFonts w:ascii="Arial" w:hAnsi="Arial"/>
          <w:b w:val="0"/>
          <w:color w:val="000000"/>
          <w:sz w:val="21"/>
        </w:rPr>
        <w:t>A avaliação final deverá seguir a mesma distribuição de áreas e dificuldade do diagnóstico, mas utilizar questões diferentes. As questões usadas durante o treinamento não devem aparecer no diagnóstico, no simulado de validação nem na avaliação final. Essa separação torna a comparação de desempenho mais confiável.</w:t>
      </w:r>
    </w:p>
    <w:p>
      <w:pPr>
        <w:pStyle w:val="Heading1"/>
      </w:pPr>
      <w:r>
        <w:t>6 Uso do modelo da plataforma</w:t>
      </w:r>
    </w:p>
    <w:p>
      <w:r>
        <w:rPr>
          <w:rFonts w:ascii="Arial" w:hAnsi="Arial"/>
          <w:b w:val="0"/>
          <w:color w:val="000000"/>
          <w:sz w:val="21"/>
        </w:rPr>
        <w:t>Depois de revisado, cada simulado deve ser colocado no modelo CSV utilizado pela plataforma. O campo tipo deve receber o valor simulado, e cada arquivo deve conter apenas uma avaliação. O arquivo reúne o título, a fase, o tempo, a área, a habilidade, o enunciado, as alternativas, o gabarito e a explicação de cada questão.</w:t>
      </w:r>
    </w:p>
    <w:p>
      <w:r>
        <w:rPr>
          <w:rFonts w:ascii="Arial" w:hAnsi="Arial"/>
          <w:b w:val="0"/>
          <w:color w:val="000000"/>
          <w:sz w:val="21"/>
        </w:rPr>
        <w:t>Antes de iniciar a publicação da 2ª fase, será necessário ajustar o sistema, pois o importador atual aceita somente questões de 1ª fase. Também será importante adaptar os campos de origem, já que uma questão autoral não possui ano e número original da OBB. Esses ajustes não mudam o trabalho pedagógico descrito neste relatório, mas precisam estar prontos antes da importação dos simulados.</w:t>
      </w:r>
    </w:p>
    <w:p>
      <w:pPr>
        <w:pStyle w:val="Heading1"/>
      </w:pPr>
      <w:r>
        <w:t>7 Registro de como o trabalho foi realizado</w:t>
      </w:r>
    </w:p>
    <w:p>
      <w:r>
        <w:rPr>
          <w:rFonts w:ascii="Arial" w:hAnsi="Arial"/>
          <w:b w:val="0"/>
          <w:color w:val="000000"/>
          <w:sz w:val="21"/>
        </w:rPr>
        <w:t>Para comprovar a metodologia adotada, a equipe deverá manter um conjunto simples de evidências durante o trabalho:</w:t>
      </w:r>
    </w:p>
    <w:p>
      <w:pPr>
        <w:pStyle w:val="ListBullet"/>
      </w:pPr>
      <w:r>
        <w:rPr>
          <w:rFonts w:ascii="Arial" w:hAnsi="Arial"/>
          <w:b w:val="0"/>
          <w:color w:val="000000"/>
          <w:sz w:val="21"/>
        </w:rPr>
        <w:t>lista das provas e dos gabaritos usados em cada caderno;</w:t>
      </w:r>
    </w:p>
    <w:p>
      <w:pPr>
        <w:pStyle w:val="ListBullet"/>
      </w:pPr>
      <w:r>
        <w:rPr>
          <w:rFonts w:ascii="Arial" w:hAnsi="Arial"/>
          <w:b w:val="0"/>
          <w:color w:val="000000"/>
          <w:sz w:val="21"/>
        </w:rPr>
        <w:t>captura da tela com as fontes de cada caderno do NotebookLM;</w:t>
      </w:r>
    </w:p>
    <w:p>
      <w:pPr>
        <w:pStyle w:val="ListBullet"/>
      </w:pPr>
      <w:r>
        <w:rPr>
          <w:rFonts w:ascii="Arial" w:hAnsi="Arial"/>
          <w:b w:val="0"/>
          <w:color w:val="000000"/>
          <w:sz w:val="21"/>
        </w:rPr>
        <w:t>texto dos principais comandos usados para analisar as provas e criar os rascunhos;</w:t>
      </w:r>
    </w:p>
    <w:p>
      <w:pPr>
        <w:pStyle w:val="ListBullet"/>
      </w:pPr>
      <w:r>
        <w:rPr>
          <w:rFonts w:ascii="Arial" w:hAnsi="Arial"/>
          <w:b w:val="0"/>
          <w:color w:val="000000"/>
          <w:sz w:val="21"/>
        </w:rPr>
        <w:t>planilha com a classificação das questões por área;</w:t>
      </w:r>
    </w:p>
    <w:p>
      <w:pPr>
        <w:pStyle w:val="ListBullet"/>
      </w:pPr>
      <w:r>
        <w:rPr>
          <w:rFonts w:ascii="Arial" w:hAnsi="Arial"/>
          <w:b w:val="0"/>
          <w:color w:val="000000"/>
          <w:sz w:val="21"/>
        </w:rPr>
        <w:t>matriz de cada diagnóstico ou simulado;</w:t>
      </w:r>
    </w:p>
    <w:p>
      <w:pPr>
        <w:pStyle w:val="ListBullet"/>
      </w:pPr>
      <w:r>
        <w:rPr>
          <w:rFonts w:ascii="Arial" w:hAnsi="Arial"/>
          <w:b w:val="0"/>
          <w:color w:val="000000"/>
          <w:sz w:val="21"/>
        </w:rPr>
        <w:t>registro das correções feitas durante a revisão;</w:t>
      </w:r>
    </w:p>
    <w:p>
      <w:pPr>
        <w:pStyle w:val="ListBullet"/>
      </w:pPr>
      <w:r>
        <w:rPr>
          <w:rFonts w:ascii="Arial" w:hAnsi="Arial"/>
          <w:b w:val="0"/>
          <w:color w:val="000000"/>
          <w:sz w:val="21"/>
        </w:rPr>
        <w:t>arquivo CSV final e comprovação de publicação na plataforma;</w:t>
      </w:r>
    </w:p>
    <w:p>
      <w:pPr>
        <w:pStyle w:val="ListBullet"/>
      </w:pPr>
      <w:r>
        <w:rPr>
          <w:rFonts w:ascii="Arial" w:hAnsi="Arial"/>
          <w:b w:val="0"/>
          <w:color w:val="000000"/>
          <w:sz w:val="21"/>
        </w:rPr>
        <w:t>resultado do teste-piloto e ajustes realizados antes da aplicação.</w:t>
      </w:r>
    </w:p>
    <w:p>
      <w:r>
        <w:rPr>
          <w:rFonts w:ascii="Arial" w:hAnsi="Arial"/>
          <w:b w:val="0"/>
          <w:color w:val="000000"/>
          <w:sz w:val="21"/>
        </w:rPr>
        <w:t>No relatório final, a equipe poderá informar a quantidade de provas analisadas, o total de questões classificadas, a distribuição por áreas, o número de questões autorais produzidas, os itens corrigidos ou descartados e os simulados publicados.</w:t>
      </w:r>
    </w:p>
    <w:p>
      <w:pPr>
        <w:pStyle w:val="Heading1"/>
      </w:pPr>
      <w:r>
        <w:t>8 Divisão do trabalho</w:t>
      </w:r>
    </w:p>
    <w:tbl>
      <w:tblPr>
        <w:tblW w:type="auto" w:w="0"/>
        <w:jc w:val="center"/>
        <w:tblLayout w:type="fixed"/>
        <w:tblLook w:firstColumn="1" w:firstRow="1" w:lastColumn="0" w:lastRow="0" w:noHBand="0" w:noVBand="1" w:val="04A0"/>
      </w:tblPr>
      <w:tblGrid>
        <w:gridCol w:w="4703"/>
        <w:gridCol w:w="4703"/>
      </w:tblGrid>
      <w:tr>
        <w:trPr>
          <w:tblHeader w:val="true"/>
        </w:trPr>
        <w:tc>
          <w:tcPr>
            <w:tcW w:type="dxa" w:w="2835"/>
            <w:shd w:fill="173F5F"/>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tcPr>
          <w:p>
            <w:pPr>
              <w:spacing w:after="0"/>
              <w:jc w:val="center"/>
            </w:pPr>
            <w:r>
              <w:rPr>
                <w:rFonts w:ascii="Arial" w:hAnsi="Arial"/>
                <w:b/>
                <w:color w:val="FFFFFF"/>
                <w:sz w:val="18"/>
              </w:rPr>
              <w:t>Responsável</w:t>
            </w:r>
          </w:p>
        </w:tc>
        <w:tc>
          <w:tcPr>
            <w:tcW w:type="dxa" w:w="6803"/>
            <w:shd w:fill="173F5F"/>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tcPr>
          <w:p>
            <w:pPr>
              <w:spacing w:after="0"/>
              <w:jc w:val="center"/>
            </w:pPr>
            <w:r>
              <w:rPr>
                <w:rFonts w:ascii="Arial" w:hAnsi="Arial"/>
                <w:b/>
                <w:color w:val="FFFFFF"/>
                <w:sz w:val="18"/>
              </w:rPr>
              <w:t>Atividade</w:t>
            </w:r>
          </w:p>
        </w:tc>
      </w:tr>
      <w:tr>
        <w:trPr>
          <w:cantSplit/>
        </w:trPr>
        <w:tc>
          <w:tcPr>
            <w:tcW w:type="dxa" w:w="2835"/>
            <w:shd w:fill="FFFFFF"/>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tcPr>
          <w:p>
            <w:pPr>
              <w:spacing w:after="0" w:line="252" w:lineRule="auto"/>
              <w:jc w:val="center"/>
            </w:pPr>
            <w:r>
              <w:rPr>
                <w:rFonts w:ascii="Arial" w:hAnsi="Arial"/>
                <w:b w:val="0"/>
                <w:color w:val="000000"/>
                <w:sz w:val="17"/>
              </w:rPr>
              <w:t>Setor REDs</w:t>
            </w:r>
          </w:p>
        </w:tc>
        <w:tc>
          <w:tcPr>
            <w:tcW w:type="dxa" w:w="6803"/>
            <w:shd w:fill="FFFFFF"/>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tcPr>
          <w:p>
            <w:pPr>
              <w:spacing w:after="0" w:line="252" w:lineRule="auto"/>
              <w:jc w:val="left"/>
            </w:pPr>
            <w:r>
              <w:rPr>
                <w:rFonts w:ascii="Arial" w:hAnsi="Arial"/>
                <w:b w:val="0"/>
                <w:color w:val="000000"/>
                <w:sz w:val="17"/>
              </w:rPr>
              <w:t>Organizar as fontes, operar os cadernos, registrar as análises e preparar os rascunhos</w:t>
            </w:r>
          </w:p>
        </w:tc>
      </w:tr>
      <w:tr>
        <w:trPr>
          <w:cantSplit/>
        </w:trPr>
        <w:tc>
          <w:tcPr>
            <w:tcW w:type="dxa" w:w="2835"/>
            <w:shd w:fill="EAF2F8"/>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tcPr>
          <w:p>
            <w:pPr>
              <w:spacing w:after="0" w:line="252" w:lineRule="auto"/>
              <w:jc w:val="center"/>
            </w:pPr>
            <w:r>
              <w:rPr>
                <w:rFonts w:ascii="Arial" w:hAnsi="Arial"/>
                <w:b w:val="0"/>
                <w:color w:val="000000"/>
                <w:sz w:val="17"/>
              </w:rPr>
              <w:t>Responsável de Biologia</w:t>
            </w:r>
          </w:p>
        </w:tc>
        <w:tc>
          <w:tcPr>
            <w:tcW w:type="dxa" w:w="6803"/>
            <w:shd w:fill="EAF2F8"/>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tcPr>
          <w:p>
            <w:pPr>
              <w:spacing w:after="0" w:line="252" w:lineRule="auto"/>
              <w:jc w:val="left"/>
            </w:pPr>
            <w:r>
              <w:rPr>
                <w:rFonts w:ascii="Arial" w:hAnsi="Arial"/>
                <w:b w:val="0"/>
                <w:color w:val="000000"/>
                <w:sz w:val="17"/>
              </w:rPr>
              <w:t>Revisar áreas, conteúdos, alternativas, gabaritos e explicações</w:t>
            </w:r>
          </w:p>
        </w:tc>
      </w:tr>
      <w:tr>
        <w:trPr>
          <w:cantSplit/>
        </w:trPr>
        <w:tc>
          <w:tcPr>
            <w:tcW w:type="dxa" w:w="2835"/>
            <w:shd w:fill="FFFFFF"/>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tcPr>
          <w:p>
            <w:pPr>
              <w:spacing w:after="0" w:line="252" w:lineRule="auto"/>
              <w:jc w:val="center"/>
            </w:pPr>
            <w:r>
              <w:rPr>
                <w:rFonts w:ascii="Arial" w:hAnsi="Arial"/>
                <w:b w:val="0"/>
                <w:color w:val="000000"/>
                <w:sz w:val="17"/>
              </w:rPr>
              <w:t>Equipe de desenvolvimento</w:t>
            </w:r>
          </w:p>
        </w:tc>
        <w:tc>
          <w:tcPr>
            <w:tcW w:type="dxa" w:w="6803"/>
            <w:shd w:fill="FFFFFF"/>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tcPr>
          <w:p>
            <w:pPr>
              <w:spacing w:after="0" w:line="252" w:lineRule="auto"/>
              <w:jc w:val="left"/>
            </w:pPr>
            <w:r>
              <w:rPr>
                <w:rFonts w:ascii="Arial" w:hAnsi="Arial"/>
                <w:b w:val="0"/>
                <w:color w:val="000000"/>
                <w:sz w:val="17"/>
              </w:rPr>
              <w:t>Ajustar o importador, testar o CSV e publicar os simulados</w:t>
            </w:r>
          </w:p>
        </w:tc>
      </w:tr>
      <w:tr>
        <w:trPr>
          <w:cantSplit/>
        </w:trPr>
        <w:tc>
          <w:tcPr>
            <w:tcW w:type="dxa" w:w="2835"/>
            <w:shd w:fill="EAF2F8"/>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tcPr>
          <w:p>
            <w:pPr>
              <w:spacing w:after="0" w:line="252" w:lineRule="auto"/>
              <w:jc w:val="center"/>
            </w:pPr>
            <w:r>
              <w:rPr>
                <w:rFonts w:ascii="Arial" w:hAnsi="Arial"/>
                <w:b w:val="0"/>
                <w:color w:val="000000"/>
                <w:sz w:val="17"/>
              </w:rPr>
              <w:t>Coordenação</w:t>
            </w:r>
          </w:p>
        </w:tc>
        <w:tc>
          <w:tcPr>
            <w:tcW w:type="dxa" w:w="6803"/>
            <w:shd w:fill="EAF2F8"/>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tcPr>
          <w:p>
            <w:pPr>
              <w:spacing w:after="0" w:line="252" w:lineRule="auto"/>
              <w:jc w:val="left"/>
            </w:pPr>
            <w:r>
              <w:rPr>
                <w:rFonts w:ascii="Arial" w:hAnsi="Arial"/>
                <w:b w:val="0"/>
                <w:color w:val="000000"/>
                <w:sz w:val="17"/>
              </w:rPr>
              <w:t>Acompanhar as versões e reunir as evidências para o relatório final</w:t>
            </w:r>
          </w:p>
        </w:tc>
      </w:tr>
      <w:tr>
        <w:trPr>
          <w:cantSplit/>
        </w:trPr>
        <w:tc>
          <w:tcPr>
            <w:tcW w:type="dxa" w:w="2835"/>
            <w:shd w:fill="FFFFFF"/>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tcPr>
          <w:p>
            <w:pPr>
              <w:spacing w:after="0" w:line="252" w:lineRule="auto"/>
              <w:jc w:val="center"/>
            </w:pPr>
            <w:r>
              <w:rPr>
                <w:rFonts w:ascii="Arial" w:hAnsi="Arial"/>
                <w:b w:val="0"/>
                <w:color w:val="000000"/>
                <w:sz w:val="17"/>
              </w:rPr>
              <w:t>Equipe piloto</w:t>
            </w:r>
          </w:p>
        </w:tc>
        <w:tc>
          <w:tcPr>
            <w:tcW w:type="dxa" w:w="6803"/>
            <w:shd w:fill="FFFFFF"/>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tcPr>
          <w:p>
            <w:pPr>
              <w:spacing w:after="0" w:line="252" w:lineRule="auto"/>
              <w:jc w:val="left"/>
            </w:pPr>
            <w:r>
              <w:rPr>
                <w:rFonts w:ascii="Arial" w:hAnsi="Arial"/>
                <w:b w:val="0"/>
                <w:color w:val="000000"/>
                <w:sz w:val="17"/>
              </w:rPr>
              <w:t>Testar clareza, tempo, acessibilidade e funcionamento da avaliação</w:t>
            </w:r>
          </w:p>
        </w:tc>
      </w:tr>
    </w:tbl>
    <w:p>
      <w:pPr>
        <w:spacing w:after="0"/>
      </w:pPr>
    </w:p>
    <w:p>
      <w:pPr>
        <w:pStyle w:val="Heading1"/>
      </w:pPr>
      <w:r>
        <w:t>9 Modelo simples de comando para o NotebookLM</w:t>
      </w:r>
    </w:p>
    <w:p>
      <w:r>
        <w:rPr>
          <w:rFonts w:ascii="Arial" w:hAnsi="Arial"/>
          <w:b w:val="0"/>
          <w:color w:val="000000"/>
          <w:sz w:val="21"/>
        </w:rPr>
        <w:t>Analise somente a prova, o gabarito definitivo e o conteúdo programático selecionados. Para cada questão, informe o número, a alternativa correta, uma única área principal, a habilidade avaliada e o nível de dificuldade. Escolha a área pelo conhecimento necessário para resolver a questão. Use apenas estas áreas: Citologia; Botânica; Zoologia e fisiologia animal; Genética e evolução; Ecologia; Etologia; Biossistemática; Noções de farmacologia. Apresente citações da prova e do gabarito. Quando houver dúvida, marque a questão para revisão em vez de escolher sem segurança.</w:t>
      </w:r>
    </w:p>
    <w:p>
      <w:pPr>
        <w:pStyle w:val="Heading1"/>
      </w:pPr>
      <w:r>
        <w:t>10 Conclusão</w:t>
      </w:r>
    </w:p>
    <w:p>
      <w:r>
        <w:rPr>
          <w:rFonts w:ascii="Arial" w:hAnsi="Arial"/>
          <w:b w:val="0"/>
          <w:color w:val="000000"/>
          <w:sz w:val="21"/>
        </w:rPr>
        <w:t>A proposta com dois cadernos organiza melhor as fontes e respeita as diferenças entre as fases da OBB. A planilha única permite reunir os resultados sem misturar as análises. A escolha de uma área principal por questão facilita a leitura do diagnóstico e ajuda a equipe a planejar conteúdos, treinos e simulados.</w:t>
      </w:r>
    </w:p>
    <w:p>
      <w:r>
        <w:rPr>
          <w:rFonts w:ascii="Arial" w:hAnsi="Arial"/>
          <w:b w:val="0"/>
          <w:color w:val="000000"/>
          <w:sz w:val="21"/>
        </w:rPr>
        <w:t>O NotebookLM será uma ferramenta de apoio para localizar informações, identificar padrões e preparar rascunhos. A qualidade final dependerá da revisão da equipe, do registro das fontes e do teste das questões antes da publicação.</w:t>
      </w:r>
    </w:p>
    <w:p>
      <w:pPr>
        <w:pStyle w:val="Heading1"/>
      </w:pPr>
      <w:r>
        <w:t>Referências</w:t>
      </w:r>
    </w:p>
    <w:p>
      <w:pPr>
        <w:ind w:left="283" w:hanging="283"/>
      </w:pPr>
      <w:r>
        <w:rPr>
          <w:rFonts w:ascii="Arial" w:hAnsi="Arial"/>
          <w:b w:val="0"/>
          <w:color w:val="000000"/>
          <w:sz w:val="19"/>
        </w:rPr>
        <w:t>GOOGLE. Create a notebook in Gemini Notebook. Disponível em: https://support.google.com/gemininotebook/answer/16206563. Acesso em: 9 out. 2026.</w:t>
      </w:r>
    </w:p>
    <w:p>
      <w:pPr>
        <w:ind w:left="283" w:hanging="283"/>
      </w:pPr>
      <w:r>
        <w:rPr>
          <w:rFonts w:ascii="Arial" w:hAnsi="Arial"/>
          <w:b w:val="0"/>
          <w:color w:val="000000"/>
          <w:sz w:val="19"/>
        </w:rPr>
        <w:t>GOOGLE. Add or discover new sources for your notebook. Disponível em: https://support.google.com/gemininotebook/answer/16215270. Acesso em: 9 out. 2026.</w:t>
      </w:r>
    </w:p>
    <w:p>
      <w:pPr>
        <w:ind w:left="283" w:hanging="283"/>
      </w:pPr>
      <w:r>
        <w:rPr>
          <w:rFonts w:ascii="Arial" w:hAnsi="Arial"/>
          <w:b w:val="0"/>
          <w:color w:val="000000"/>
          <w:sz w:val="19"/>
        </w:rPr>
        <w:t>GOOGLE. Use chat in Gemini Notebook. Disponível em: https://support.google.com/gemininotebook/answer/16179559. Acesso em: 9 out. 2026.</w:t>
      </w:r>
    </w:p>
    <w:p>
      <w:pPr>
        <w:ind w:left="283" w:hanging="283"/>
      </w:pPr>
      <w:r>
        <w:rPr>
          <w:rFonts w:ascii="Arial" w:hAnsi="Arial"/>
          <w:b w:val="0"/>
          <w:color w:val="000000"/>
          <w:sz w:val="19"/>
        </w:rPr>
        <w:t>INSTITUTO BUTANTAN. Conteúdo geral da Olimpíada Brasileira de Biologia. Disponível em: https://olimpiadasdebiologia.butantan.gov.br/conteudo-abordado/conteudo-geral. Acesso em: 9 out. 2026.</w:t>
      </w:r>
    </w:p>
    <w:p>
      <w:pPr>
        <w:ind w:left="283" w:hanging="283"/>
      </w:pPr>
      <w:r>
        <w:rPr>
          <w:rFonts w:ascii="Arial" w:hAnsi="Arial"/>
          <w:b w:val="0"/>
          <w:color w:val="000000"/>
          <w:sz w:val="19"/>
        </w:rPr>
        <w:t>INSTITUTO BUTANTAN. Fases e inscrições da XXII Olimpíada Brasileira de Biologia. Disponível em: https://olimpiadasdebiologia.butantan.gov.br/fases-e-inscricoes. Acesso em: 9 out. 2026.</w:t>
      </w:r>
    </w:p>
    <w:p>
      <w:pPr>
        <w:ind w:left="283" w:hanging="283"/>
      </w:pPr>
      <w:r>
        <w:rPr>
          <w:rFonts w:ascii="Arial" w:hAnsi="Arial"/>
          <w:b w:val="0"/>
          <w:color w:val="000000"/>
          <w:sz w:val="19"/>
        </w:rPr>
        <w:t>OLYMPIC SCHOOL. Relatório Parcial MED TEC 2026. Documento interno do projeto, 2026.</w:t>
      </w:r>
    </w:p>
    <w:sectPr w:rsidR="00FC693F" w:rsidRPr="0006063C" w:rsidSect="00034616">
      <w:headerReference w:type="default" r:id="rId9"/>
      <w:footerReference w:type="default" r:id="rId10"/>
      <w:pgSz w:w="12240" w:h="15840"/>
      <w:pgMar w:top="1304"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color w:val="666666"/>
        <w:sz w:val="16"/>
      </w:rPr>
      <w:t>Relatório metodológico | Outubro de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color w:val="666666"/>
        <w:sz w:val="16"/>
      </w:rPr>
      <w:t>Olympic School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Criação dos simulados da OBB com apoio do NotebookLM</dc:title>
  <dc:subject>Organização das fontes, análise por áreas e publicação na Olympic School</dc:subject>
  <dc:creator>Equipe Olympic School</dc:creator>
  <cp:keywords/>
  <dc:description>generated by python-docx</dc:description>
  <cp:lastModifiedBy/>
  <cp:revision>1</cp:revision>
  <dcterms:created xsi:type="dcterms:W3CDTF">2013-12-23T23:15:00Z</dcterms:created>
  <dcterms:modified xsi:type="dcterms:W3CDTF">2013-12-23T23:15:00Z</dcterms:modified>
  <cp:category/>
</cp:coreProperties>
</file>